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0D47A1"/>
          <w:sz w:val="40"/>
        </w:rPr>
        <w:t>INFORME TÉCNICO</w:t>
      </w:r>
    </w:p>
    <w:p>
      <w:pPr>
        <w:jc w:val="center"/>
      </w:pPr>
      <w:r>
        <w:rPr>
          <w:b/>
          <w:color w:val="1565C0"/>
          <w:sz w:val="28"/>
        </w:rPr>
        <w:t>Enfoque 1 — Combinaciones de Componentes Activos</w:t>
      </w:r>
    </w:p>
    <w:p/>
    <w:p>
      <w:pPr>
        <w:jc w:val="center"/>
      </w:pPr>
      <w:r>
        <w:rPr>
          <w:b/>
          <w:sz w:val="22"/>
        </w:rPr>
        <w:t xml:space="preserve">Asignatura: </w:t>
      </w:r>
      <w:r>
        <w:rPr>
          <w:sz w:val="22"/>
        </w:rPr>
        <w:t>SCY1101 - Programación para la Ciencia de Datos</w:t>
      </w:r>
    </w:p>
    <w:p>
      <w:pPr>
        <w:jc w:val="center"/>
      </w:pPr>
      <w:r>
        <w:rPr>
          <w:b/>
          <w:sz w:val="22"/>
        </w:rPr>
        <w:t xml:space="preserve">Dataset: </w:t>
      </w:r>
      <w:r>
        <w:rPr>
          <w:sz w:val="22"/>
        </w:rPr>
        <w:t>Medicine_Details.csv</w:t>
      </w:r>
    </w:p>
    <w:p>
      <w:pPr>
        <w:jc w:val="center"/>
      </w:pPr>
      <w:r>
        <w:rPr>
          <w:b/>
          <w:sz w:val="22"/>
        </w:rPr>
        <w:t xml:space="preserve">Institución: </w:t>
      </w:r>
      <w:r>
        <w:rPr>
          <w:sz w:val="22"/>
        </w:rPr>
        <w:t>DuocUC</w:t>
      </w:r>
    </w:p>
    <w:p>
      <w:pPr>
        <w:jc w:val="center"/>
      </w:pPr>
      <w:r>
        <w:rPr>
          <w:b/>
          <w:sz w:val="22"/>
        </w:rPr>
        <w:t xml:space="preserve">Año: </w:t>
      </w:r>
      <w:r>
        <w:rPr>
          <w:sz w:val="22"/>
        </w:rPr>
        <w:t>2026</w:t>
      </w:r>
    </w:p>
    <w:p>
      <w:r>
        <w:br w:type="page"/>
      </w:r>
    </w:p>
    <w:p>
      <w:pPr>
        <w:pStyle w:val="Heading1"/>
      </w:pPr>
      <w:r>
        <w:rPr>
          <w:color w:val="0D47A1"/>
        </w:rPr>
        <w:t>1. Descripción del Foco de Análisis</w:t>
      </w:r>
    </w:p>
    <w:p>
      <w:pPr>
        <w:spacing w:after="80"/>
      </w:pPr>
      <w:r>
        <w:rPr>
          <w:sz w:val="20"/>
        </w:rPr>
        <w:t xml:space="preserve">El </w:t>
      </w:r>
      <w:r>
        <w:rPr>
          <w:b/>
          <w:sz w:val="20"/>
        </w:rPr>
        <w:t>Enfoque 1</w:t>
      </w:r>
      <w:r>
        <w:rPr>
          <w:sz w:val="20"/>
        </w:rPr>
        <w:t xml:space="preserve"> estudia la estructura interna de las formulaciones farmacéuticas: qué principios activos componen cada medicamento, qué combinaciones son más frecuentes y cómo se relacionan entre sí en el mercado representado por el dataset.</w:t>
      </w:r>
    </w:p>
    <w:p>
      <w:pPr>
        <w:spacing w:after="80"/>
      </w:pPr>
      <w:r>
        <w:rPr>
          <w:sz w:val="20"/>
        </w:rPr>
        <w:t xml:space="preserve">La columna principal analizada es </w:t>
      </w:r>
      <w:r>
        <w:rPr>
          <w:b/>
          <w:sz w:val="20"/>
        </w:rPr>
        <w:t>Composition</w:t>
      </w:r>
      <w:r>
        <w:rPr>
          <w:sz w:val="20"/>
        </w:rPr>
        <w:t>, que contiene cadenas del tipo "Amoxycillin (500mg) + Clavulanic Acid (125mg)". El enfoque extrae los nombres de los componentes descartando las dosis y construye una red de co-ocurrencias para revelar los patrones de combinación.</w:t>
      </w:r>
    </w:p>
    <w:p>
      <w:pPr>
        <w:pStyle w:val="Heading2"/>
      </w:pPr>
      <w:r>
        <w:rPr>
          <w:color w:val="1565C0"/>
        </w:rPr>
        <w:t>Preguntas de investigación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252"/>
            <w:vAlign w:val="center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Pregunta</w:t>
            </w:r>
          </w:p>
        </w:tc>
        <w:tc>
          <w:tcPr>
            <w:tcW w:type="dxa" w:w="5102"/>
            <w:vAlign w:val="center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Respuesta</w:t>
            </w:r>
          </w:p>
        </w:tc>
      </w:tr>
      <w:tr>
        <w:tc>
          <w:tcPr>
            <w:tcW w:type="dxa" w:w="4252"/>
            <w:vAlign w:val="center"/>
            <w:shd w:val="clear" w:color="auto" w:fill="F5F5F5"/>
          </w:tcPr>
          <w:p>
            <w:r>
              <w:rPr>
                <w:sz w:val="18"/>
              </w:rPr>
              <w:t>¿Qué componentes individuales dominan el mercado?</w:t>
            </w:r>
          </w:p>
        </w:tc>
        <w:tc>
          <w:tcPr>
            <w:tcW w:type="dxa" w:w="5102"/>
            <w:vAlign w:val="center"/>
            <w:shd w:val="clear" w:color="auto" w:fill="F5F5F5"/>
          </w:tcPr>
          <w:p>
            <w:r>
              <w:rPr>
                <w:sz w:val="18"/>
              </w:rPr>
              <w:t>Metformin (664), Telmisartan (379), Glimepiride (379), Paracetamol (359)</w:t>
            </w:r>
          </w:p>
        </w:tc>
      </w:tr>
      <w:tr>
        <w:tc>
          <w:tcPr>
            <w:tcW w:type="dxa" w:w="4252"/>
            <w:vAlign w:val="center"/>
            <w:shd w:val="clear" w:color="auto" w:fill="FFFFFF"/>
          </w:tcPr>
          <w:p>
            <w:r>
              <w:rPr>
                <w:sz w:val="18"/>
              </w:rPr>
              <w:t>¿Qué pares de componentes son más frecuentes?</w:t>
            </w:r>
          </w:p>
        </w:tc>
        <w:tc>
          <w:tcPr>
            <w:tcW w:type="dxa" w:w="5102"/>
            <w:vAlign w:val="center"/>
            <w:shd w:val="clear" w:color="auto" w:fill="FFFFFF"/>
          </w:tcPr>
          <w:p>
            <w:r>
              <w:rPr>
                <w:sz w:val="18"/>
              </w:rPr>
              <w:t>Glimepiride + Metformin (325 medicamentos), dominando ampliamente</w:t>
            </w:r>
          </w:p>
        </w:tc>
      </w:tr>
      <w:tr>
        <w:tc>
          <w:tcPr>
            <w:tcW w:type="dxa" w:w="4252"/>
            <w:vAlign w:val="center"/>
            <w:shd w:val="clear" w:color="auto" w:fill="F5F5F5"/>
          </w:tcPr>
          <w:p>
            <w:r>
              <w:rPr>
                <w:sz w:val="18"/>
              </w:rPr>
              <w:t>¿El mercado está dominado por mono o multi-componentes?</w:t>
            </w:r>
          </w:p>
        </w:tc>
        <w:tc>
          <w:tcPr>
            <w:tcW w:type="dxa" w:w="5102"/>
            <w:vAlign w:val="center"/>
            <w:shd w:val="clear" w:color="auto" w:fill="F5F5F5"/>
          </w:tcPr>
          <w:p>
            <w:r>
              <w:rPr>
                <w:sz w:val="18"/>
              </w:rPr>
              <w:t>Sí: 59,8% monocomponente, 30,4% dúos. El 90,2% tiene 1–2 componentes</w:t>
            </w:r>
          </w:p>
        </w:tc>
      </w:tr>
      <w:tr>
        <w:tc>
          <w:tcPr>
            <w:tcW w:type="dxa" w:w="4252"/>
            <w:vAlign w:val="center"/>
            <w:shd w:val="clear" w:color="auto" w:fill="FFFFFF"/>
          </w:tcPr>
          <w:p>
            <w:r>
              <w:rPr>
                <w:sz w:val="18"/>
              </w:rPr>
              <w:t>¿Más componentes implica más efectos secundarios?</w:t>
            </w:r>
          </w:p>
        </w:tc>
        <w:tc>
          <w:tcPr>
            <w:tcW w:type="dxa" w:w="5102"/>
            <w:vAlign w:val="center"/>
            <w:shd w:val="clear" w:color="auto" w:fill="FFFFFF"/>
          </w:tcPr>
          <w:p>
            <w:r>
              <w:rPr>
                <w:sz w:val="18"/>
              </w:rPr>
              <w:t>No. Los complejos (5+) tienen la mediana de efectos más baja</w:t>
            </w:r>
          </w:p>
        </w:tc>
      </w:tr>
      <w:tr>
        <w:tc>
          <w:tcPr>
            <w:tcW w:type="dxa" w:w="4252"/>
            <w:vAlign w:val="center"/>
            <w:shd w:val="clear" w:color="auto" w:fill="F5F5F5"/>
          </w:tcPr>
          <w:p>
            <w:r>
              <w:rPr>
                <w:sz w:val="18"/>
              </w:rPr>
              <w:t>¿La valoración varía con el número de componentes?</w:t>
            </w:r>
          </w:p>
        </w:tc>
        <w:tc>
          <w:tcPr>
            <w:tcW w:type="dxa" w:w="5102"/>
            <w:vAlign w:val="center"/>
            <w:shd w:val="clear" w:color="auto" w:fill="F5F5F5"/>
          </w:tcPr>
          <w:p>
            <w:r>
              <w:rPr>
                <w:sz w:val="18"/>
              </w:rPr>
              <w:t>Los dúos (~41%) tienen la mejor valoración; decrece desde tríos en adelante</w:t>
            </w:r>
          </w:p>
        </w:tc>
      </w:tr>
      <w:tr>
        <w:tc>
          <w:tcPr>
            <w:tcW w:type="dxa" w:w="4252"/>
            <w:vAlign w:val="center"/>
            <w:shd w:val="clear" w:color="auto" w:fill="FFFFFF"/>
          </w:tcPr>
          <w:p>
            <w:r>
              <w:rPr>
                <w:sz w:val="18"/>
              </w:rPr>
              <w:t>¿Existen componentes hub?</w:t>
            </w:r>
          </w:p>
        </w:tc>
        <w:tc>
          <w:tcPr>
            <w:tcW w:type="dxa" w:w="5102"/>
            <w:vAlign w:val="center"/>
            <w:shd w:val="clear" w:color="auto" w:fill="FFFFFF"/>
          </w:tcPr>
          <w:p>
            <w:r>
              <w:rPr>
                <w:sz w:val="18"/>
              </w:rPr>
              <w:t>Sí. Metformin es el hub absoluto con 664 apariciones en el dataset</w:t>
            </w:r>
          </w:p>
        </w:tc>
      </w:tr>
    </w:tbl>
    <w:p/>
    <w:p>
      <w:pPr>
        <w:pStyle w:val="Heading1"/>
      </w:pPr>
      <w:r>
        <w:rPr>
          <w:color w:val="0D47A1"/>
        </w:rPr>
        <w:t>2. Archivos Desarrollados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252"/>
            <w:vAlign w:val="center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Archivo</w:t>
            </w:r>
          </w:p>
        </w:tc>
        <w:tc>
          <w:tcPr>
            <w:tcW w:type="dxa" w:w="5102"/>
            <w:vAlign w:val="center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4252"/>
            <w:vAlign w:val="center"/>
            <w:shd w:val="clear" w:color="auto" w:fill="F5F5F5"/>
          </w:tcPr>
          <w:p>
            <w:r>
              <w:rPr>
                <w:sz w:val="18"/>
              </w:rPr>
              <w:t>src/enfoque_01_combinaciones_componentes/cleaning.py</w:t>
            </w:r>
          </w:p>
        </w:tc>
        <w:tc>
          <w:tcPr>
            <w:tcW w:type="dxa" w:w="5102"/>
            <w:vAlign w:val="center"/>
            <w:shd w:val="clear" w:color="auto" w:fill="F5F5F5"/>
          </w:tcPr>
          <w:p>
            <w:r>
              <w:rPr>
                <w:sz w:val="18"/>
              </w:rPr>
              <w:t>Limpieza del dataset: duplicados, normalización, extracción de componentes, columnas derivadas</w:t>
            </w:r>
          </w:p>
        </w:tc>
      </w:tr>
      <w:tr>
        <w:tc>
          <w:tcPr>
            <w:tcW w:type="dxa" w:w="4252"/>
            <w:vAlign w:val="center"/>
            <w:shd w:val="clear" w:color="auto" w:fill="FFFFFF"/>
          </w:tcPr>
          <w:p>
            <w:r>
              <w:rPr>
                <w:sz w:val="18"/>
              </w:rPr>
              <w:t>src/enfoque_01_combinaciones_componentes/transform.py</w:t>
            </w:r>
          </w:p>
        </w:tc>
        <w:tc>
          <w:tcPr>
            <w:tcW w:type="dxa" w:w="5102"/>
            <w:vAlign w:val="center"/>
            <w:shd w:val="clear" w:color="auto" w:fill="FFFFFF"/>
          </w:tcPr>
          <w:p>
            <w:r>
              <w:rPr>
                <w:sz w:val="18"/>
              </w:rPr>
              <w:t>Transformaciones: explode por componente, generación de pares, construcción de matriz de co-ocurrencia</w:t>
            </w:r>
          </w:p>
        </w:tc>
      </w:tr>
      <w:tr>
        <w:tc>
          <w:tcPr>
            <w:tcW w:type="dxa" w:w="4252"/>
            <w:vAlign w:val="center"/>
            <w:shd w:val="clear" w:color="auto" w:fill="F5F5F5"/>
          </w:tcPr>
          <w:p>
            <w:r>
              <w:rPr>
                <w:sz w:val="18"/>
              </w:rPr>
              <w:t>src/enfoque_01_combinaciones_componentes/analysis.py</w:t>
            </w:r>
          </w:p>
        </w:tc>
        <w:tc>
          <w:tcPr>
            <w:tcW w:type="dxa" w:w="5102"/>
            <w:vAlign w:val="center"/>
            <w:shd w:val="clear" w:color="auto" w:fill="F5F5F5"/>
          </w:tcPr>
          <w:p>
            <w:r>
              <w:rPr>
                <w:sz w:val="18"/>
              </w:rPr>
              <w:t>Visualizaciones y exportación de gráficos (.png) y tablas (.csv)</w:t>
            </w:r>
          </w:p>
        </w:tc>
      </w:tr>
      <w:tr>
        <w:tc>
          <w:tcPr>
            <w:tcW w:type="dxa" w:w="4252"/>
            <w:vAlign w:val="center"/>
            <w:shd w:val="clear" w:color="auto" w:fill="FFFFFF"/>
          </w:tcPr>
          <w:p>
            <w:r>
              <w:rPr>
                <w:sz w:val="18"/>
              </w:rPr>
              <w:t>src/enfoque_01_combinaciones_componentes/validation.py</w:t>
            </w:r>
          </w:p>
        </w:tc>
        <w:tc>
          <w:tcPr>
            <w:tcW w:type="dxa" w:w="5102"/>
            <w:vAlign w:val="center"/>
            <w:shd w:val="clear" w:color="auto" w:fill="FFFFFF"/>
          </w:tcPr>
          <w:p>
            <w:r>
              <w:rPr>
                <w:sz w:val="18"/>
              </w:rPr>
              <w:t>Validación de integridad: checksum MD5, esquema del DataFrame, comparación de shapes</w:t>
            </w:r>
          </w:p>
        </w:tc>
      </w:tr>
    </w:tbl>
    <w:p/>
    <w:p>
      <w:pPr>
        <w:pStyle w:val="Heading1"/>
      </w:pPr>
      <w:r>
        <w:rPr>
          <w:color w:val="0D47A1"/>
        </w:rPr>
        <w:t>3. Pipeline Implementado</w:t>
      </w:r>
    </w:p>
    <w:p>
      <w:pPr>
        <w:pStyle w:val="Heading2"/>
      </w:pPr>
      <w:r>
        <w:rPr>
          <w:color w:val="1565C0"/>
        </w:rPr>
        <w:t>3.1 Limpieza (cleaning.py)</w:t>
      </w:r>
    </w:p>
    <w:p>
      <w:pPr>
        <w:spacing w:after="80"/>
      </w:pPr>
      <w:r>
        <w:rPr>
          <w:sz w:val="20"/>
        </w:rPr>
        <w:t xml:space="preserve">Función principal: </w:t>
      </w:r>
      <w:r>
        <w:rPr>
          <w:b/>
          <w:sz w:val="20"/>
        </w:rPr>
        <w:t>run_cleaning_pipeline(df)</w:t>
      </w:r>
      <w:r>
        <w:rPr>
          <w:sz w:val="20"/>
        </w:rPr>
        <w:t>. Ejecuta 5 pasos en orden con trazabilidad completa de cada decisión.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680"/>
            <w:vAlign w:val="center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Paso</w:t>
            </w:r>
          </w:p>
        </w:tc>
        <w:tc>
          <w:tcPr>
            <w:tcW w:type="dxa" w:w="3118"/>
            <w:vAlign w:val="center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Función</w:t>
            </w:r>
          </w:p>
        </w:tc>
        <w:tc>
          <w:tcPr>
            <w:tcW w:type="dxa" w:w="5556"/>
            <w:vAlign w:val="center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Acción</w:t>
            </w:r>
          </w:p>
        </w:tc>
      </w:tr>
      <w:tr>
        <w:tc>
          <w:tcPr>
            <w:tcW w:type="dxa" w:w="680"/>
            <w:vAlign w:val="center"/>
            <w:shd w:val="clear" w:color="auto" w:fill="F5F5F5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118"/>
            <w:vAlign w:val="center"/>
            <w:shd w:val="clear" w:color="auto" w:fill="F5F5F5"/>
          </w:tcPr>
          <w:p>
            <w:r>
              <w:rPr>
                <w:sz w:val="18"/>
              </w:rPr>
              <w:t>eliminar_duplicados()</w:t>
            </w:r>
          </w:p>
        </w:tc>
        <w:tc>
          <w:tcPr>
            <w:tcW w:type="dxa" w:w="5556"/>
            <w:vAlign w:val="center"/>
            <w:shd w:val="clear" w:color="auto" w:fill="F5F5F5"/>
          </w:tcPr>
          <w:p>
            <w:r>
              <w:rPr>
                <w:sz w:val="18"/>
              </w:rPr>
              <w:t>Elimina 84 filas completamente idénticas</w:t>
            </w:r>
          </w:p>
        </w:tc>
      </w:tr>
      <w:tr>
        <w:tc>
          <w:tcPr>
            <w:tcW w:type="dxa" w:w="680"/>
            <w:vAlign w:val="center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r>
              <w:rPr>
                <w:sz w:val="18"/>
              </w:rPr>
              <w:t>normalizar_composicion()</w:t>
            </w:r>
          </w:p>
        </w:tc>
        <w:tc>
          <w:tcPr>
            <w:tcW w:type="dxa" w:w="5556"/>
            <w:vAlign w:val="center"/>
            <w:shd w:val="clear" w:color="auto" w:fill="FFFFFF"/>
          </w:tcPr>
          <w:p>
            <w:r>
              <w:rPr>
                <w:sz w:val="18"/>
              </w:rPr>
              <w:t>Estandariza espacios y el separador + en Composition</w:t>
            </w:r>
          </w:p>
        </w:tc>
      </w:tr>
      <w:tr>
        <w:tc>
          <w:tcPr>
            <w:tcW w:type="dxa" w:w="680"/>
            <w:vAlign w:val="center"/>
            <w:shd w:val="clear" w:color="auto" w:fill="F5F5F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118"/>
            <w:vAlign w:val="center"/>
            <w:shd w:val="clear" w:color="auto" w:fill="F5F5F5"/>
          </w:tcPr>
          <w:p>
            <w:r>
              <w:rPr>
                <w:sz w:val="18"/>
              </w:rPr>
              <w:t>extraer_componentes()</w:t>
            </w:r>
          </w:p>
        </w:tc>
        <w:tc>
          <w:tcPr>
            <w:tcW w:type="dxa" w:w="5556"/>
            <w:vAlign w:val="center"/>
            <w:shd w:val="clear" w:color="auto" w:fill="F5F5F5"/>
          </w:tcPr>
          <w:p>
            <w:r>
              <w:rPr>
                <w:sz w:val="18"/>
              </w:rPr>
              <w:t>Parsea nombres de principios activos, descarta dosis entre paréntesis, aplica Title Case</w:t>
            </w:r>
          </w:p>
        </w:tc>
      </w:tr>
      <w:tr>
        <w:tc>
          <w:tcPr>
            <w:tcW w:type="dxa" w:w="680"/>
            <w:vAlign w:val="center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r>
              <w:rPr>
                <w:sz w:val="18"/>
              </w:rPr>
              <w:t>añadir_columnas_componentes()</w:t>
            </w:r>
          </w:p>
        </w:tc>
        <w:tc>
          <w:tcPr>
            <w:tcW w:type="dxa" w:w="5556"/>
            <w:vAlign w:val="center"/>
            <w:shd w:val="clear" w:color="auto" w:fill="FFFFFF"/>
          </w:tcPr>
          <w:p>
            <w:r>
              <w:rPr>
                <w:sz w:val="18"/>
              </w:rPr>
              <w:t>Genera components_list, n_components y size_category (pd.Categorical ordered=True)</w:t>
            </w:r>
          </w:p>
        </w:tc>
      </w:tr>
      <w:tr>
        <w:tc>
          <w:tcPr>
            <w:tcW w:type="dxa" w:w="680"/>
            <w:vAlign w:val="center"/>
            <w:shd w:val="clear" w:color="auto" w:fill="F5F5F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118"/>
            <w:vAlign w:val="center"/>
            <w:shd w:val="clear" w:color="auto" w:fill="F5F5F5"/>
          </w:tcPr>
          <w:p>
            <w:r>
              <w:rPr>
                <w:sz w:val="18"/>
              </w:rPr>
              <w:t>flag_anomalies()</w:t>
            </w:r>
          </w:p>
        </w:tc>
        <w:tc>
          <w:tcPr>
            <w:tcW w:type="dxa" w:w="5556"/>
            <w:vAlign w:val="center"/>
            <w:shd w:val="clear" w:color="auto" w:fill="F5F5F5"/>
          </w:tcPr>
          <w:p>
            <w:r>
              <w:rPr>
                <w:sz w:val="18"/>
              </w:rPr>
              <w:t>Marca registros con n_components == 0 sin eliminarlos automáticamente</w:t>
            </w:r>
          </w:p>
        </w:tc>
      </w:tr>
    </w:tbl>
    <w:p/>
    <w:p>
      <w:pPr>
        <w:spacing w:after="80"/>
      </w:pPr>
      <w:r>
        <w:rPr>
          <w:b/>
          <w:sz w:val="20"/>
        </w:rPr>
        <w:t>Columnas generadas por la limpieza: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268"/>
            <w:vAlign w:val="center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Columna</w:t>
            </w:r>
          </w:p>
        </w:tc>
        <w:tc>
          <w:tcPr>
            <w:tcW w:type="dxa" w:w="1701"/>
            <w:vAlign w:val="center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5386"/>
            <w:vAlign w:val="center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268"/>
            <w:vAlign w:val="center"/>
            <w:shd w:val="clear" w:color="auto" w:fill="F5F5F5"/>
          </w:tcPr>
          <w:p>
            <w:r>
              <w:rPr>
                <w:sz w:val="18"/>
              </w:rPr>
              <w:t>components_list</w:t>
            </w:r>
          </w:p>
        </w:tc>
        <w:tc>
          <w:tcPr>
            <w:tcW w:type="dxa" w:w="1701"/>
            <w:vAlign w:val="center"/>
            <w:shd w:val="clear" w:color="auto" w:fill="F5F5F5"/>
          </w:tcPr>
          <w:p>
            <w:r>
              <w:rPr>
                <w:sz w:val="18"/>
              </w:rPr>
              <w:t>list[str]</w:t>
            </w:r>
          </w:p>
        </w:tc>
        <w:tc>
          <w:tcPr>
            <w:tcW w:type="dxa" w:w="5386"/>
            <w:vAlign w:val="center"/>
            <w:shd w:val="clear" w:color="auto" w:fill="F5F5F5"/>
          </w:tcPr>
          <w:p>
            <w:r>
              <w:rPr>
                <w:sz w:val="18"/>
              </w:rPr>
              <w:t>Lista de componentes sin dosis (ej: ['Amoxycillin', 'Clavulanic Acid'])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r>
              <w:rPr>
                <w:sz w:val="18"/>
              </w:rPr>
              <w:t>n_components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5386"/>
            <w:vAlign w:val="center"/>
            <w:shd w:val="clear" w:color="auto" w:fill="FFFFFF"/>
          </w:tcPr>
          <w:p>
            <w:r>
              <w:rPr>
                <w:sz w:val="18"/>
              </w:rPr>
              <w:t>Número de principios activos por medicamento</w:t>
            </w:r>
          </w:p>
        </w:tc>
      </w:tr>
      <w:tr>
        <w:tc>
          <w:tcPr>
            <w:tcW w:type="dxa" w:w="2268"/>
            <w:vAlign w:val="center"/>
            <w:shd w:val="clear" w:color="auto" w:fill="F5F5F5"/>
          </w:tcPr>
          <w:p>
            <w:r>
              <w:rPr>
                <w:sz w:val="18"/>
              </w:rPr>
              <w:t>size_category</w:t>
            </w:r>
          </w:p>
        </w:tc>
        <w:tc>
          <w:tcPr>
            <w:tcW w:type="dxa" w:w="1701"/>
            <w:vAlign w:val="center"/>
            <w:shd w:val="clear" w:color="auto" w:fill="F5F5F5"/>
          </w:tcPr>
          <w:p>
            <w:r>
              <w:rPr>
                <w:sz w:val="18"/>
              </w:rPr>
              <w:t>pd.Categorical</w:t>
            </w:r>
          </w:p>
        </w:tc>
        <w:tc>
          <w:tcPr>
            <w:tcW w:type="dxa" w:w="5386"/>
            <w:vAlign w:val="center"/>
            <w:shd w:val="clear" w:color="auto" w:fill="F5F5F5"/>
          </w:tcPr>
          <w:p>
            <w:r>
              <w:rPr>
                <w:sz w:val="18"/>
              </w:rPr>
              <w:t>Categoría ordinal: mono &lt; duo &lt; trio &lt; cuádruple &lt; complejo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r>
              <w:rPr>
                <w:sz w:val="18"/>
              </w:rPr>
              <w:t>composition_anomaly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r>
              <w:rPr>
                <w:sz w:val="18"/>
              </w:rPr>
              <w:t>bool</w:t>
            </w:r>
          </w:p>
        </w:tc>
        <w:tc>
          <w:tcPr>
            <w:tcW w:type="dxa" w:w="5386"/>
            <w:vAlign w:val="center"/>
            <w:shd w:val="clear" w:color="auto" w:fill="FFFFFF"/>
          </w:tcPr>
          <w:p>
            <w:r>
              <w:rPr>
                <w:sz w:val="18"/>
              </w:rPr>
              <w:t>True si no se extrajo ningún componente válido</w:t>
            </w:r>
          </w:p>
        </w:tc>
      </w:tr>
    </w:tbl>
    <w:p/>
    <w:p>
      <w:pPr>
        <w:spacing w:after="80"/>
      </w:pPr>
      <w:r>
        <w:rPr>
          <w:b/>
          <w:sz w:val="20"/>
        </w:rPr>
        <w:t>Impacto cuantificado de la limpieza: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3969"/>
            <w:vAlign w:val="center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Métrica</w:t>
            </w:r>
          </w:p>
        </w:tc>
        <w:tc>
          <w:tcPr>
            <w:tcW w:type="dxa" w:w="5386"/>
            <w:vAlign w:val="center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3969"/>
            <w:vAlign w:val="center"/>
            <w:shd w:val="clear" w:color="auto" w:fill="F5F5F5"/>
          </w:tcPr>
          <w:p>
            <w:r>
              <w:rPr>
                <w:sz w:val="18"/>
              </w:rPr>
              <w:t>Filas raw</w:t>
            </w:r>
          </w:p>
        </w:tc>
        <w:tc>
          <w:tcPr>
            <w:tcW w:type="dxa" w:w="5386"/>
            <w:vAlign w:val="center"/>
            <w:shd w:val="clear" w:color="auto" w:fill="F5F5F5"/>
          </w:tcPr>
          <w:p>
            <w:r>
              <w:rPr>
                <w:sz w:val="18"/>
              </w:rPr>
              <w:t>11.825</w:t>
            </w:r>
          </w:p>
        </w:tc>
      </w:tr>
      <w:tr>
        <w:tc>
          <w:tcPr>
            <w:tcW w:type="dxa" w:w="3969"/>
            <w:vAlign w:val="center"/>
            <w:shd w:val="clear" w:color="auto" w:fill="FFFFFF"/>
          </w:tcPr>
          <w:p>
            <w:r>
              <w:rPr>
                <w:sz w:val="18"/>
              </w:rPr>
              <w:t>Duplicados eliminados</w:t>
            </w:r>
          </w:p>
        </w:tc>
        <w:tc>
          <w:tcPr>
            <w:tcW w:type="dxa" w:w="5386"/>
            <w:vAlign w:val="center"/>
            <w:shd w:val="clear" w:color="auto" w:fill="FFFFFF"/>
          </w:tcPr>
          <w:p>
            <w:r>
              <w:rPr>
                <w:sz w:val="18"/>
              </w:rPr>
              <w:t>84 (−0,71%)</w:t>
            </w:r>
          </w:p>
        </w:tc>
      </w:tr>
      <w:tr>
        <w:tc>
          <w:tcPr>
            <w:tcW w:type="dxa" w:w="3969"/>
            <w:vAlign w:val="center"/>
            <w:shd w:val="clear" w:color="auto" w:fill="F5F5F5"/>
          </w:tcPr>
          <w:p>
            <w:r>
              <w:rPr>
                <w:sz w:val="18"/>
              </w:rPr>
              <w:t>Filas post-limpieza</w:t>
            </w:r>
          </w:p>
        </w:tc>
        <w:tc>
          <w:tcPr>
            <w:tcW w:type="dxa" w:w="5386"/>
            <w:vAlign w:val="center"/>
            <w:shd w:val="clear" w:color="auto" w:fill="F5F5F5"/>
          </w:tcPr>
          <w:p>
            <w:r>
              <w:rPr>
                <w:sz w:val="18"/>
              </w:rPr>
              <w:t>11.741</w:t>
            </w:r>
          </w:p>
        </w:tc>
      </w:tr>
      <w:tr>
        <w:tc>
          <w:tcPr>
            <w:tcW w:type="dxa" w:w="3969"/>
            <w:vAlign w:val="center"/>
            <w:shd w:val="clear" w:color="auto" w:fill="FFFFFF"/>
          </w:tcPr>
          <w:p>
            <w:r>
              <w:rPr>
                <w:sz w:val="18"/>
              </w:rPr>
              <w:t>Columnas añadidas</w:t>
            </w:r>
          </w:p>
        </w:tc>
        <w:tc>
          <w:tcPr>
            <w:tcW w:type="dxa" w:w="5386"/>
            <w:vAlign w:val="center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3969"/>
            <w:vAlign w:val="center"/>
            <w:shd w:val="clear" w:color="auto" w:fill="F5F5F5"/>
          </w:tcPr>
          <w:p>
            <w:r>
              <w:rPr>
                <w:sz w:val="18"/>
              </w:rPr>
              <w:t>Componentes únicos detectados</w:t>
            </w:r>
          </w:p>
        </w:tc>
        <w:tc>
          <w:tcPr>
            <w:tcW w:type="dxa" w:w="5386"/>
            <w:vAlign w:val="center"/>
            <w:shd w:val="clear" w:color="auto" w:fill="F5F5F5"/>
          </w:tcPr>
          <w:p>
            <w:r>
              <w:rPr>
                <w:sz w:val="18"/>
              </w:rPr>
              <w:t>1.058</w:t>
            </w:r>
          </w:p>
        </w:tc>
      </w:tr>
      <w:tr>
        <w:tc>
          <w:tcPr>
            <w:tcW w:type="dxa" w:w="3969"/>
            <w:vAlign w:val="center"/>
            <w:shd w:val="clear" w:color="auto" w:fill="FFFFFF"/>
          </w:tcPr>
          <w:p>
            <w:r>
              <w:rPr>
                <w:sz w:val="18"/>
              </w:rPr>
              <w:t>Anomalías detectadas</w:t>
            </w:r>
          </w:p>
        </w:tc>
        <w:tc>
          <w:tcPr>
            <w:tcW w:type="dxa" w:w="5386"/>
            <w:vAlign w:val="center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</w:tr>
    </w:tbl>
    <w:p/>
    <w:p>
      <w:pPr>
        <w:pStyle w:val="Heading2"/>
      </w:pPr>
      <w:r>
        <w:rPr>
          <w:color w:val="1565C0"/>
        </w:rPr>
        <w:t>3.2 Transformaciones (transform.py)</w:t>
      </w:r>
    </w:p>
    <w:p>
      <w:pPr>
        <w:spacing w:after="80"/>
      </w:pPr>
      <w:r>
        <w:rPr>
          <w:sz w:val="20"/>
        </w:rPr>
        <w:t xml:space="preserve">Función principal: </w:t>
      </w:r>
      <w:r>
        <w:rPr>
          <w:b/>
          <w:sz w:val="20"/>
        </w:rPr>
        <w:t>run_transform_pipeline(df_clean)</w:t>
      </w:r>
      <w:r>
        <w:rPr>
          <w:sz w:val="20"/>
        </w:rPr>
        <w:t xml:space="preserve">. Devuelve la tupla </w:t>
      </w:r>
      <w:r>
        <w:rPr>
          <w:b/>
          <w:sz w:val="20"/>
        </w:rPr>
        <w:t>(df_exploded, df_pairs, cooc_matrix)</w:t>
      </w:r>
      <w:r>
        <w:rPr>
          <w:sz w:val="20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551"/>
            <w:vAlign w:val="center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Función</w:t>
            </w:r>
          </w:p>
        </w:tc>
        <w:tc>
          <w:tcPr>
            <w:tcW w:type="dxa" w:w="1417"/>
            <w:vAlign w:val="center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Salida</w:t>
            </w:r>
          </w:p>
        </w:tc>
        <w:tc>
          <w:tcPr>
            <w:tcW w:type="dxa" w:w="5386"/>
            <w:vAlign w:val="center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551"/>
            <w:vAlign w:val="center"/>
            <w:shd w:val="clear" w:color="auto" w:fill="F5F5F5"/>
          </w:tcPr>
          <w:p>
            <w:r>
              <w:rPr>
                <w:sz w:val="18"/>
              </w:rPr>
              <w:t>explotar_componentes()</w:t>
            </w:r>
          </w:p>
        </w:tc>
        <w:tc>
          <w:tcPr>
            <w:tcW w:type="dxa" w:w="1417"/>
            <w:vAlign w:val="center"/>
            <w:shd w:val="clear" w:color="auto" w:fill="F5F5F5"/>
          </w:tcPr>
          <w:p>
            <w:r>
              <w:rPr>
                <w:sz w:val="18"/>
              </w:rPr>
              <w:t>df_exploded</w:t>
            </w:r>
          </w:p>
        </w:tc>
        <w:tc>
          <w:tcPr>
            <w:tcW w:type="dxa" w:w="5386"/>
            <w:vAlign w:val="center"/>
            <w:shd w:val="clear" w:color="auto" w:fill="F5F5F5"/>
          </w:tcPr>
          <w:p>
            <w:r>
              <w:rPr>
                <w:sz w:val="18"/>
              </w:rPr>
              <w:t>Explode de components_list → una fila por componente (17.957 filas). Permite contar frecuencias individuales.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</w:tcPr>
          <w:p>
            <w:r>
              <w:rPr>
                <w:sz w:val="18"/>
              </w:rPr>
              <w:t>explotar_pares()</w:t>
            </w:r>
          </w:p>
        </w:tc>
        <w:tc>
          <w:tcPr>
            <w:tcW w:type="dxa" w:w="1417"/>
            <w:vAlign w:val="center"/>
            <w:shd w:val="clear" w:color="auto" w:fill="FFFFFF"/>
          </w:tcPr>
          <w:p>
            <w:r>
              <w:rPr>
                <w:sz w:val="18"/>
              </w:rPr>
              <w:t>df_pairs</w:t>
            </w:r>
          </w:p>
        </w:tc>
        <w:tc>
          <w:tcPr>
            <w:tcW w:type="dxa" w:w="5386"/>
            <w:vAlign w:val="center"/>
            <w:shd w:val="clear" w:color="auto" w:fill="FFFFFF"/>
          </w:tcPr>
          <w:p>
            <w:r>
              <w:rPr>
                <w:sz w:val="18"/>
              </w:rPr>
              <w:t>Genera todos los pares C(N,2) por medicamento con N≥2 componentes usando itertools.combinations. 8.227 pares totales.</w:t>
            </w:r>
          </w:p>
        </w:tc>
      </w:tr>
      <w:tr>
        <w:tc>
          <w:tcPr>
            <w:tcW w:type="dxa" w:w="2551"/>
            <w:vAlign w:val="center"/>
            <w:shd w:val="clear" w:color="auto" w:fill="F5F5F5"/>
          </w:tcPr>
          <w:p>
            <w:r>
              <w:rPr>
                <w:sz w:val="18"/>
              </w:rPr>
              <w:t>construir_matriz_coocurrencia()</w:t>
            </w:r>
          </w:p>
        </w:tc>
        <w:tc>
          <w:tcPr>
            <w:tcW w:type="dxa" w:w="1417"/>
            <w:vAlign w:val="center"/>
            <w:shd w:val="clear" w:color="auto" w:fill="F5F5F5"/>
          </w:tcPr>
          <w:p>
            <w:r>
              <w:rPr>
                <w:sz w:val="18"/>
              </w:rPr>
              <w:t>cooc_matrix</w:t>
            </w:r>
          </w:p>
        </w:tc>
        <w:tc>
          <w:tcPr>
            <w:tcW w:type="dxa" w:w="5386"/>
            <w:vAlign w:val="center"/>
            <w:shd w:val="clear" w:color="auto" w:fill="F5F5F5"/>
          </w:tcPr>
          <w:p>
            <w:r>
              <w:rPr>
                <w:sz w:val="18"/>
              </w:rPr>
              <w:t>pd.crosstab() → matriz 20×20 simétrica. cooc[i][j] = número de medicamentos que contienen ambos componentes i y j.</w:t>
            </w:r>
          </w:p>
        </w:tc>
      </w:tr>
    </w:tbl>
    <w:p/>
    <w:p>
      <w:pPr>
        <w:spacing w:after="80"/>
      </w:pPr>
      <w:r>
        <w:rPr>
          <w:sz w:val="20"/>
        </w:rPr>
        <w:t>Decisión técnica: los pares se ordenan alfabéticamente antes de generarse (</w:t>
      </w:r>
      <w:r>
        <w:rPr>
          <w:b/>
          <w:sz w:val="20"/>
        </w:rPr>
        <w:t>sorted(components)</w:t>
      </w:r>
      <w:r>
        <w:rPr>
          <w:sz w:val="20"/>
        </w:rPr>
        <w:t>), lo que garantiza que (A, B) y (B, A) siempre se representen de la misma forma, evitando duplicados espejo en el dataset de pares.</w:t>
      </w:r>
    </w:p>
    <w:p>
      <w:pPr>
        <w:spacing w:after="80"/>
      </w:pPr>
      <w:r>
        <w:rPr>
          <w:sz w:val="20"/>
        </w:rPr>
        <w:t xml:space="preserve">Los tres DataFrames se exportan a </w:t>
      </w:r>
      <w:r>
        <w:rPr>
          <w:b/>
          <w:sz w:val="20"/>
        </w:rPr>
        <w:t>data/processed/</w:t>
      </w:r>
      <w:r>
        <w:rPr>
          <w:sz w:val="20"/>
        </w:rPr>
        <w:t>:</w:t>
      </w:r>
    </w:p>
    <w:p>
      <w:pPr>
        <w:pStyle w:val="ListBullet"/>
      </w:pPr>
      <w:r>
        <w:rPr>
          <w:sz w:val="20"/>
        </w:rPr>
        <w:t>medicine_exploded.csv</w:t>
      </w:r>
    </w:p>
    <w:p>
      <w:pPr>
        <w:pStyle w:val="ListBullet"/>
      </w:pPr>
      <w:r>
        <w:rPr>
          <w:sz w:val="20"/>
        </w:rPr>
        <w:t>medicine_pairs.csv</w:t>
      </w:r>
    </w:p>
    <w:p>
      <w:pPr>
        <w:pStyle w:val="ListBullet"/>
      </w:pPr>
      <w:r>
        <w:rPr>
          <w:sz w:val="20"/>
        </w:rPr>
        <w:t>cooc_matrix.csv</w:t>
      </w:r>
    </w:p>
    <w:p/>
    <w:p>
      <w:pPr>
        <w:pStyle w:val="Heading2"/>
      </w:pPr>
      <w:r>
        <w:rPr>
          <w:color w:val="1565C0"/>
        </w:rPr>
        <w:t>3.3 Validación de Integridad (validation.py)</w:t>
      </w:r>
    </w:p>
    <w:p>
      <w:pPr>
        <w:spacing w:after="80"/>
      </w:pPr>
      <w:r>
        <w:rPr>
          <w:sz w:val="20"/>
        </w:rPr>
        <w:t xml:space="preserve">Función principal: </w:t>
      </w:r>
      <w:r>
        <w:rPr>
          <w:b/>
          <w:sz w:val="20"/>
        </w:rPr>
        <w:t>run_validation_pipeline(df_raw, df_clean)</w:t>
      </w:r>
      <w:r>
        <w:rPr>
          <w:sz w:val="20"/>
        </w:rPr>
        <w:t xml:space="preserve">. Exporta el reporte a </w:t>
      </w:r>
      <w:r>
        <w:rPr>
          <w:b/>
          <w:sz w:val="20"/>
        </w:rPr>
        <w:t>outputs/reports/reporte_integridad.json</w:t>
      </w:r>
      <w:r>
        <w:rPr>
          <w:sz w:val="20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454"/>
            <w:vAlign w:val="center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551"/>
            <w:vAlign w:val="center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Función</w:t>
            </w:r>
          </w:p>
        </w:tc>
        <w:tc>
          <w:tcPr>
            <w:tcW w:type="dxa" w:w="2835"/>
            <w:vAlign w:val="center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Verificación</w:t>
            </w:r>
          </w:p>
        </w:tc>
        <w:tc>
          <w:tcPr>
            <w:tcW w:type="dxa" w:w="3515"/>
            <w:vAlign w:val="center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454"/>
            <w:vAlign w:val="center"/>
            <w:shd w:val="clear" w:color="auto" w:fill="F5F5F5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551"/>
            <w:vAlign w:val="center"/>
            <w:shd w:val="clear" w:color="auto" w:fill="F5F5F5"/>
          </w:tcPr>
          <w:p>
            <w:r>
              <w:rPr>
                <w:sz w:val="18"/>
              </w:rPr>
              <w:t>verificar_checksum()</w:t>
            </w:r>
          </w:p>
        </w:tc>
        <w:tc>
          <w:tcPr>
            <w:tcW w:type="dxa" w:w="2835"/>
            <w:vAlign w:val="center"/>
            <w:shd w:val="clear" w:color="auto" w:fill="F5F5F5"/>
          </w:tcPr>
          <w:p>
            <w:r>
              <w:rPr>
                <w:sz w:val="18"/>
              </w:rPr>
              <w:t>MD5 del CSV raw</w:t>
            </w:r>
          </w:p>
        </w:tc>
        <w:tc>
          <w:tcPr>
            <w:tcW w:type="dxa" w:w="3515"/>
            <w:vAlign w:val="center"/>
            <w:shd w:val="clear" w:color="auto" w:fill="F5F5F5"/>
          </w:tcPr>
          <w:p>
            <w:r>
              <w:rPr>
                <w:sz w:val="18"/>
              </w:rPr>
              <w:t>93656e73e4e8fbf7dd8da9ecfab7ce07 ✅</w:t>
            </w:r>
          </w:p>
        </w:tc>
      </w:tr>
      <w:tr>
        <w:tc>
          <w:tcPr>
            <w:tcW w:type="dxa" w:w="454"/>
            <w:vAlign w:val="center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r>
              <w:rPr>
                <w:sz w:val="18"/>
              </w:rPr>
              <w:t>validar_esquema()</w:t>
            </w:r>
          </w:p>
        </w:tc>
        <w:tc>
          <w:tcPr>
            <w:tcW w:type="dxa" w:w="2835"/>
            <w:vAlign w:val="center"/>
            <w:shd w:val="clear" w:color="auto" w:fill="FFFFFF"/>
          </w:tcPr>
          <w:p>
            <w:r>
              <w:rPr>
                <w:sz w:val="18"/>
              </w:rPr>
              <w:t>Columnas y tipos del DataFrame raw</w:t>
            </w:r>
          </w:p>
        </w:tc>
        <w:tc>
          <w:tcPr>
            <w:tcW w:type="dxa" w:w="3515"/>
            <w:vAlign w:val="center"/>
            <w:shd w:val="clear" w:color="auto" w:fill="FFFFFF"/>
          </w:tcPr>
          <w:p>
            <w:r>
              <w:rPr>
                <w:sz w:val="18"/>
              </w:rPr>
              <w:t>9 columnas con tipos correctos ✅</w:t>
            </w:r>
          </w:p>
        </w:tc>
      </w:tr>
      <w:tr>
        <w:tc>
          <w:tcPr>
            <w:tcW w:type="dxa" w:w="454"/>
            <w:vAlign w:val="center"/>
            <w:shd w:val="clear" w:color="auto" w:fill="F5F5F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551"/>
            <w:vAlign w:val="center"/>
            <w:shd w:val="clear" w:color="auto" w:fill="F5F5F5"/>
          </w:tcPr>
          <w:p>
            <w:r>
              <w:rPr>
                <w:sz w:val="18"/>
              </w:rPr>
              <w:t>comparar_shapes()</w:t>
            </w:r>
          </w:p>
        </w:tc>
        <w:tc>
          <w:tcPr>
            <w:tcW w:type="dxa" w:w="2835"/>
            <w:vAlign w:val="center"/>
            <w:shd w:val="clear" w:color="auto" w:fill="F5F5F5"/>
          </w:tcPr>
          <w:p>
            <w:r>
              <w:rPr>
                <w:sz w:val="18"/>
              </w:rPr>
              <w:t>Dimensiones antes/después</w:t>
            </w:r>
          </w:p>
        </w:tc>
        <w:tc>
          <w:tcPr>
            <w:tcW w:type="dxa" w:w="3515"/>
            <w:vAlign w:val="center"/>
            <w:shd w:val="clear" w:color="auto" w:fill="F5F5F5"/>
          </w:tcPr>
          <w:p>
            <w:r>
              <w:rPr>
                <w:sz w:val="18"/>
              </w:rPr>
              <w:t>84 filas eliminadas (0,71%) ✅</w:t>
            </w:r>
          </w:p>
        </w:tc>
      </w:tr>
      <w:tr>
        <w:tc>
          <w:tcPr>
            <w:tcW w:type="dxa" w:w="454"/>
            <w:vAlign w:val="center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r>
              <w:rPr>
                <w:sz w:val="18"/>
              </w:rPr>
              <w:t>validar_columnas_clean()</w:t>
            </w:r>
          </w:p>
        </w:tc>
        <w:tc>
          <w:tcPr>
            <w:tcW w:type="dxa" w:w="2835"/>
            <w:vAlign w:val="center"/>
            <w:shd w:val="clear" w:color="auto" w:fill="FFFFFF"/>
          </w:tcPr>
          <w:p>
            <w:r>
              <w:rPr>
                <w:sz w:val="18"/>
              </w:rPr>
              <w:t>Columnas derivadas en df_clean</w:t>
            </w:r>
          </w:p>
        </w:tc>
        <w:tc>
          <w:tcPr>
            <w:tcW w:type="dxa" w:w="3515"/>
            <w:vAlign w:val="center"/>
            <w:shd w:val="clear" w:color="auto" w:fill="FFFFFF"/>
          </w:tcPr>
          <w:p>
            <w:r>
              <w:rPr>
                <w:sz w:val="18"/>
              </w:rPr>
              <w:t>Las 4 columnas presentes ✅</w:t>
            </w:r>
          </w:p>
        </w:tc>
      </w:tr>
    </w:tbl>
    <w:p/>
    <w:p>
      <w:pPr>
        <w:pStyle w:val="Heading2"/>
      </w:pPr>
      <w:r>
        <w:rPr>
          <w:color w:val="1565C0"/>
        </w:rPr>
        <w:t>3.4 Análisis y Visualizaciones (analysis.py)</w:t>
      </w:r>
    </w:p>
    <w:p>
      <w:pPr>
        <w:spacing w:after="80"/>
      </w:pPr>
      <w:r>
        <w:rPr>
          <w:sz w:val="20"/>
        </w:rPr>
        <w:t xml:space="preserve">Función principal: </w:t>
      </w:r>
      <w:r>
        <w:rPr>
          <w:b/>
          <w:sz w:val="20"/>
        </w:rPr>
        <w:t>run_analysis_pipeline(df_clean, df_exploded, df_pairs, cooc_matrix)</w:t>
      </w:r>
      <w:r>
        <w:rPr>
          <w:sz w:val="20"/>
        </w:rPr>
        <w:t xml:space="preserve">. Genera 7 gráficos en </w:t>
      </w:r>
      <w:r>
        <w:rPr>
          <w:b/>
          <w:sz w:val="20"/>
        </w:rPr>
        <w:t>outputs/figures/</w:t>
      </w:r>
      <w:r>
        <w:rPr>
          <w:sz w:val="20"/>
        </w:rPr>
        <w:t xml:space="preserve"> y 2 tablas CSV en </w:t>
      </w:r>
      <w:r>
        <w:rPr>
          <w:b/>
          <w:sz w:val="20"/>
        </w:rPr>
        <w:t>outputs/tables/</w:t>
      </w:r>
      <w:r>
        <w:rPr>
          <w:sz w:val="20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454"/>
            <w:vAlign w:val="center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835"/>
            <w:vAlign w:val="center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Función</w:t>
            </w:r>
          </w:p>
        </w:tc>
        <w:tc>
          <w:tcPr>
            <w:tcW w:type="dxa" w:w="2835"/>
            <w:vAlign w:val="center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Archivo generado</w:t>
            </w:r>
          </w:p>
        </w:tc>
        <w:tc>
          <w:tcPr>
            <w:tcW w:type="dxa" w:w="3231"/>
            <w:vAlign w:val="center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Pregunta respondida</w:t>
            </w:r>
          </w:p>
        </w:tc>
      </w:tr>
      <w:tr>
        <w:tc>
          <w:tcPr>
            <w:tcW w:type="dxa" w:w="454"/>
            <w:vAlign w:val="center"/>
            <w:shd w:val="clear" w:color="auto" w:fill="F5F5F5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35"/>
            <w:vAlign w:val="center"/>
            <w:shd w:val="clear" w:color="auto" w:fill="F5F5F5"/>
          </w:tcPr>
          <w:p>
            <w:r>
              <w:rPr>
                <w:sz w:val="18"/>
              </w:rPr>
              <w:t>plot_histograma_componentes()</w:t>
            </w:r>
          </w:p>
        </w:tc>
        <w:tc>
          <w:tcPr>
            <w:tcW w:type="dxa" w:w="2835"/>
            <w:vAlign w:val="center"/>
            <w:shd w:val="clear" w:color="auto" w:fill="F5F5F5"/>
          </w:tcPr>
          <w:p>
            <w:r>
              <w:rPr>
                <w:sz w:val="18"/>
              </w:rPr>
              <w:t>histograma_n_componentes.png</w:t>
            </w:r>
          </w:p>
        </w:tc>
        <w:tc>
          <w:tcPr>
            <w:tcW w:type="dxa" w:w="3231"/>
            <w:vAlign w:val="center"/>
            <w:shd w:val="clear" w:color="auto" w:fill="F5F5F5"/>
          </w:tcPr>
          <w:p>
            <w:r>
              <w:rPr>
                <w:sz w:val="18"/>
              </w:rPr>
              <w:t>¿Cómo se distribuyen los medicamentos por número de componentes?</w:t>
            </w:r>
          </w:p>
        </w:tc>
      </w:tr>
      <w:tr>
        <w:tc>
          <w:tcPr>
            <w:tcW w:type="dxa" w:w="454"/>
            <w:vAlign w:val="center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35"/>
            <w:vAlign w:val="center"/>
            <w:shd w:val="clear" w:color="auto" w:fill="FFFFFF"/>
          </w:tcPr>
          <w:p>
            <w:r>
              <w:rPr>
                <w:sz w:val="18"/>
              </w:rPr>
              <w:t>plot_top_componentes()</w:t>
            </w:r>
          </w:p>
        </w:tc>
        <w:tc>
          <w:tcPr>
            <w:tcW w:type="dxa" w:w="2835"/>
            <w:vAlign w:val="center"/>
            <w:shd w:val="clear" w:color="auto" w:fill="FFFFFF"/>
          </w:tcPr>
          <w:p>
            <w:r>
              <w:rPr>
                <w:sz w:val="18"/>
              </w:rPr>
              <w:t>top_componentes_individuales.png</w:t>
            </w:r>
          </w:p>
        </w:tc>
        <w:tc>
          <w:tcPr>
            <w:tcW w:type="dxa" w:w="3231"/>
            <w:vAlign w:val="center"/>
            <w:shd w:val="clear" w:color="auto" w:fill="FFFFFF"/>
          </w:tcPr>
          <w:p>
            <w:r>
              <w:rPr>
                <w:sz w:val="18"/>
              </w:rPr>
              <w:t>¿Qué principios activos son más frecuentes en el dataset?</w:t>
            </w:r>
          </w:p>
        </w:tc>
      </w:tr>
      <w:tr>
        <w:tc>
          <w:tcPr>
            <w:tcW w:type="dxa" w:w="454"/>
            <w:vAlign w:val="center"/>
            <w:shd w:val="clear" w:color="auto" w:fill="F5F5F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35"/>
            <w:vAlign w:val="center"/>
            <w:shd w:val="clear" w:color="auto" w:fill="F5F5F5"/>
          </w:tcPr>
          <w:p>
            <w:r>
              <w:rPr>
                <w:sz w:val="18"/>
              </w:rPr>
              <w:t>plot_top_pares()</w:t>
            </w:r>
          </w:p>
        </w:tc>
        <w:tc>
          <w:tcPr>
            <w:tcW w:type="dxa" w:w="2835"/>
            <w:vAlign w:val="center"/>
            <w:shd w:val="clear" w:color="auto" w:fill="F5F5F5"/>
          </w:tcPr>
          <w:p>
            <w:r>
              <w:rPr>
                <w:sz w:val="18"/>
              </w:rPr>
              <w:t>top_pares_componentes.png</w:t>
            </w:r>
          </w:p>
        </w:tc>
        <w:tc>
          <w:tcPr>
            <w:tcW w:type="dxa" w:w="3231"/>
            <w:vAlign w:val="center"/>
            <w:shd w:val="clear" w:color="auto" w:fill="F5F5F5"/>
          </w:tcPr>
          <w:p>
            <w:r>
              <w:rPr>
                <w:sz w:val="18"/>
              </w:rPr>
              <w:t>¿Qué combinaciones de dos componentes dominan?</w:t>
            </w:r>
          </w:p>
        </w:tc>
      </w:tr>
      <w:tr>
        <w:tc>
          <w:tcPr>
            <w:tcW w:type="dxa" w:w="454"/>
            <w:vAlign w:val="center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35"/>
            <w:vAlign w:val="center"/>
            <w:shd w:val="clear" w:color="auto" w:fill="FFFFFF"/>
          </w:tcPr>
          <w:p>
            <w:r>
              <w:rPr>
                <w:sz w:val="18"/>
              </w:rPr>
              <w:t>plot_heatmap_coocurrencia()</w:t>
            </w:r>
          </w:p>
        </w:tc>
        <w:tc>
          <w:tcPr>
            <w:tcW w:type="dxa" w:w="2835"/>
            <w:vAlign w:val="center"/>
            <w:shd w:val="clear" w:color="auto" w:fill="FFFFFF"/>
          </w:tcPr>
          <w:p>
            <w:r>
              <w:rPr>
                <w:sz w:val="18"/>
              </w:rPr>
              <w:t>heatmap_coocurrencia.png</w:t>
            </w:r>
          </w:p>
        </w:tc>
        <w:tc>
          <w:tcPr>
            <w:tcW w:type="dxa" w:w="3231"/>
            <w:vAlign w:val="center"/>
            <w:shd w:val="clear" w:color="auto" w:fill="FFFFFF"/>
          </w:tcPr>
          <w:p>
            <w:r>
              <w:rPr>
                <w:sz w:val="18"/>
              </w:rPr>
              <w:t>¿Qué pares co-ocurren más entre los 20 componentes top?</w:t>
            </w:r>
          </w:p>
        </w:tc>
      </w:tr>
      <w:tr>
        <w:tc>
          <w:tcPr>
            <w:tcW w:type="dxa" w:w="454"/>
            <w:vAlign w:val="center"/>
            <w:shd w:val="clear" w:color="auto" w:fill="F5F5F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35"/>
            <w:vAlign w:val="center"/>
            <w:shd w:val="clear" w:color="auto" w:fill="F5F5F5"/>
          </w:tcPr>
          <w:p>
            <w:r>
              <w:rPr>
                <w:sz w:val="18"/>
              </w:rPr>
              <w:t>plot_efectos_secundarios_por_tamanio()</w:t>
            </w:r>
          </w:p>
        </w:tc>
        <w:tc>
          <w:tcPr>
            <w:tcW w:type="dxa" w:w="2835"/>
            <w:vAlign w:val="center"/>
            <w:shd w:val="clear" w:color="auto" w:fill="F5F5F5"/>
          </w:tcPr>
          <w:p>
            <w:r>
              <w:rPr>
                <w:sz w:val="18"/>
              </w:rPr>
              <w:t>boxplot_efectos_secundarios.png</w:t>
            </w:r>
          </w:p>
        </w:tc>
        <w:tc>
          <w:tcPr>
            <w:tcW w:type="dxa" w:w="3231"/>
            <w:vAlign w:val="center"/>
            <w:shd w:val="clear" w:color="auto" w:fill="F5F5F5"/>
          </w:tcPr>
          <w:p>
            <w:r>
              <w:rPr>
                <w:sz w:val="18"/>
              </w:rPr>
              <w:t>¿Los medicamentos con más componentes tienen más efectos secundarios?</w:t>
            </w:r>
          </w:p>
        </w:tc>
      </w:tr>
      <w:tr>
        <w:tc>
          <w:tcPr>
            <w:tcW w:type="dxa" w:w="454"/>
            <w:vAlign w:val="center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35"/>
            <w:vAlign w:val="center"/>
            <w:shd w:val="clear" w:color="auto" w:fill="FFFFFF"/>
          </w:tcPr>
          <w:p>
            <w:r>
              <w:rPr>
                <w:sz w:val="18"/>
              </w:rPr>
              <w:t>plot_network_graph()</w:t>
            </w:r>
          </w:p>
        </w:tc>
        <w:tc>
          <w:tcPr>
            <w:tcW w:type="dxa" w:w="2835"/>
            <w:vAlign w:val="center"/>
            <w:shd w:val="clear" w:color="auto" w:fill="FFFFFF"/>
          </w:tcPr>
          <w:p>
            <w:r>
              <w:rPr>
                <w:sz w:val="18"/>
              </w:rPr>
              <w:t>network_graph_coocurrencia.png</w:t>
            </w:r>
          </w:p>
        </w:tc>
        <w:tc>
          <w:tcPr>
            <w:tcW w:type="dxa" w:w="3231"/>
            <w:vAlign w:val="center"/>
            <w:shd w:val="clear" w:color="auto" w:fill="FFFFFF"/>
          </w:tcPr>
          <w:p>
            <w:r>
              <w:rPr>
                <w:sz w:val="18"/>
              </w:rPr>
              <w:t>¿Cómo se conectan los componentes en una red de co-ocurrencias?</w:t>
            </w:r>
          </w:p>
        </w:tc>
      </w:tr>
      <w:tr>
        <w:tc>
          <w:tcPr>
            <w:tcW w:type="dxa" w:w="454"/>
            <w:vAlign w:val="center"/>
            <w:shd w:val="clear" w:color="auto" w:fill="F5F5F5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35"/>
            <w:vAlign w:val="center"/>
            <w:shd w:val="clear" w:color="auto" w:fill="F5F5F5"/>
          </w:tcPr>
          <w:p>
            <w:r>
              <w:rPr>
                <w:sz w:val="18"/>
              </w:rPr>
              <w:t>plot_scatter_valoracion()</w:t>
            </w:r>
          </w:p>
        </w:tc>
        <w:tc>
          <w:tcPr>
            <w:tcW w:type="dxa" w:w="2835"/>
            <w:vAlign w:val="center"/>
            <w:shd w:val="clear" w:color="auto" w:fill="F5F5F5"/>
          </w:tcPr>
          <w:p>
            <w:r>
              <w:rPr>
                <w:sz w:val="18"/>
              </w:rPr>
              <w:t>scatter_valoracion_componentes.png</w:t>
            </w:r>
          </w:p>
        </w:tc>
        <w:tc>
          <w:tcPr>
            <w:tcW w:type="dxa" w:w="3231"/>
            <w:vAlign w:val="center"/>
            <w:shd w:val="clear" w:color="auto" w:fill="F5F5F5"/>
          </w:tcPr>
          <w:p>
            <w:r>
              <w:rPr>
                <w:sz w:val="18"/>
              </w:rPr>
              <w:t>¿La valoración de usuarios varía con el número de componentes?</w:t>
            </w:r>
          </w:p>
        </w:tc>
      </w:tr>
    </w:tbl>
    <w:p/>
    <w:p>
      <w:pPr>
        <w:pStyle w:val="Heading1"/>
      </w:pPr>
      <w:r>
        <w:rPr>
          <w:color w:val="0D47A1"/>
        </w:rPr>
        <w:t>4. Resultados Principales</w:t>
      </w:r>
    </w:p>
    <w:p>
      <w:pPr>
        <w:pStyle w:val="Heading2"/>
      </w:pPr>
      <w:r>
        <w:rPr>
          <w:color w:val="1565C0"/>
        </w:rPr>
        <w:t>4.1 Distribución por Tamaño de Combinación</w:t>
      </w:r>
    </w:p>
    <w:p>
      <w:pPr>
        <w:spacing w:after="80"/>
      </w:pPr>
      <w:r>
        <w:rPr>
          <w:sz w:val="20"/>
        </w:rPr>
        <w:t xml:space="preserve">El dataset presenta una distribución de cola larga fuertemente concentrada en monocomponentes y dúos. El </w:t>
      </w:r>
      <w:r>
        <w:rPr>
          <w:b/>
          <w:sz w:val="20"/>
        </w:rPr>
        <w:t>90,2%</w:t>
      </w:r>
      <w:r>
        <w:rPr>
          <w:sz w:val="20"/>
        </w:rPr>
        <w:t xml:space="preserve"> del mercado representado tiene 1 o 2 principios activos.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835"/>
            <w:vAlign w:val="center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N° Componentes</w:t>
            </w:r>
          </w:p>
        </w:tc>
        <w:tc>
          <w:tcPr>
            <w:tcW w:type="dxa" w:w="2835"/>
            <w:vAlign w:val="center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Medicamentos</w:t>
            </w:r>
          </w:p>
        </w:tc>
        <w:tc>
          <w:tcPr>
            <w:tcW w:type="dxa" w:w="3685"/>
            <w:vAlign w:val="center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Porcentaje</w:t>
            </w:r>
          </w:p>
        </w:tc>
      </w:tr>
      <w:tr>
        <w:tc>
          <w:tcPr>
            <w:tcW w:type="dxa" w:w="2835"/>
            <w:vAlign w:val="center"/>
            <w:shd w:val="clear" w:color="auto" w:fill="F5F5F5"/>
          </w:tcPr>
          <w:p>
            <w:r>
              <w:rPr>
                <w:sz w:val="18"/>
              </w:rPr>
              <w:t>1 (mono)</w:t>
            </w:r>
          </w:p>
        </w:tc>
        <w:tc>
          <w:tcPr>
            <w:tcW w:type="dxa" w:w="2835"/>
            <w:vAlign w:val="center"/>
            <w:shd w:val="clear" w:color="auto" w:fill="F5F5F5"/>
          </w:tcPr>
          <w:p>
            <w:r>
              <w:rPr>
                <w:sz w:val="18"/>
              </w:rPr>
              <w:t>7.019</w:t>
            </w:r>
          </w:p>
        </w:tc>
        <w:tc>
          <w:tcPr>
            <w:tcW w:type="dxa" w:w="3685"/>
            <w:vAlign w:val="center"/>
            <w:shd w:val="clear" w:color="auto" w:fill="F5F5F5"/>
          </w:tcPr>
          <w:p>
            <w:r>
              <w:rPr>
                <w:sz w:val="18"/>
              </w:rPr>
              <w:t>59,8%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</w:tcPr>
          <w:p>
            <w:r>
              <w:rPr>
                <w:sz w:val="18"/>
              </w:rPr>
              <w:t>2 (duo)</w:t>
            </w:r>
          </w:p>
        </w:tc>
        <w:tc>
          <w:tcPr>
            <w:tcW w:type="dxa" w:w="2835"/>
            <w:vAlign w:val="center"/>
            <w:shd w:val="clear" w:color="auto" w:fill="FFFFFF"/>
          </w:tcPr>
          <w:p>
            <w:r>
              <w:rPr>
                <w:sz w:val="18"/>
              </w:rPr>
              <w:t>3.569</w:t>
            </w:r>
          </w:p>
        </w:tc>
        <w:tc>
          <w:tcPr>
            <w:tcW w:type="dxa" w:w="3685"/>
            <w:vAlign w:val="center"/>
            <w:shd w:val="clear" w:color="auto" w:fill="FFFFFF"/>
          </w:tcPr>
          <w:p>
            <w:r>
              <w:rPr>
                <w:sz w:val="18"/>
              </w:rPr>
              <w:t>30,4%</w:t>
            </w:r>
          </w:p>
        </w:tc>
      </w:tr>
      <w:tr>
        <w:tc>
          <w:tcPr>
            <w:tcW w:type="dxa" w:w="2835"/>
            <w:vAlign w:val="center"/>
            <w:shd w:val="clear" w:color="auto" w:fill="F5F5F5"/>
          </w:tcPr>
          <w:p>
            <w:r>
              <w:rPr>
                <w:sz w:val="18"/>
              </w:rPr>
              <w:t>3 (trio)</w:t>
            </w:r>
          </w:p>
        </w:tc>
        <w:tc>
          <w:tcPr>
            <w:tcW w:type="dxa" w:w="2835"/>
            <w:vAlign w:val="center"/>
            <w:shd w:val="clear" w:color="auto" w:fill="F5F5F5"/>
          </w:tcPr>
          <w:p>
            <w:r>
              <w:rPr>
                <w:sz w:val="18"/>
              </w:rPr>
              <w:t>929</w:t>
            </w:r>
          </w:p>
        </w:tc>
        <w:tc>
          <w:tcPr>
            <w:tcW w:type="dxa" w:w="3685"/>
            <w:vAlign w:val="center"/>
            <w:shd w:val="clear" w:color="auto" w:fill="F5F5F5"/>
          </w:tcPr>
          <w:p>
            <w:r>
              <w:rPr>
                <w:sz w:val="18"/>
              </w:rPr>
              <w:t>7,9%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</w:tcPr>
          <w:p>
            <w:r>
              <w:rPr>
                <w:sz w:val="18"/>
              </w:rPr>
              <w:t>4 (cuádruple)</w:t>
            </w:r>
          </w:p>
        </w:tc>
        <w:tc>
          <w:tcPr>
            <w:tcW w:type="dxa" w:w="2835"/>
            <w:vAlign w:val="center"/>
            <w:shd w:val="clear" w:color="auto" w:fill="FFFFFF"/>
          </w:tcPr>
          <w:p>
            <w:r>
              <w:rPr>
                <w:sz w:val="18"/>
              </w:rPr>
              <w:t>147</w:t>
            </w:r>
          </w:p>
        </w:tc>
        <w:tc>
          <w:tcPr>
            <w:tcW w:type="dxa" w:w="3685"/>
            <w:vAlign w:val="center"/>
            <w:shd w:val="clear" w:color="auto" w:fill="FFFFFF"/>
          </w:tcPr>
          <w:p>
            <w:r>
              <w:rPr>
                <w:sz w:val="18"/>
              </w:rPr>
              <w:t>1,3%</w:t>
            </w:r>
          </w:p>
        </w:tc>
      </w:tr>
      <w:tr>
        <w:tc>
          <w:tcPr>
            <w:tcW w:type="dxa" w:w="2835"/>
            <w:vAlign w:val="center"/>
            <w:shd w:val="clear" w:color="auto" w:fill="F5F5F5"/>
          </w:tcPr>
          <w:p>
            <w:r>
              <w:rPr>
                <w:sz w:val="18"/>
              </w:rPr>
              <w:t>5+ (complejo)</w:t>
            </w:r>
          </w:p>
        </w:tc>
        <w:tc>
          <w:tcPr>
            <w:tcW w:type="dxa" w:w="2835"/>
            <w:vAlign w:val="center"/>
            <w:shd w:val="clear" w:color="auto" w:fill="F5F5F5"/>
          </w:tcPr>
          <w:p>
            <w:r>
              <w:rPr>
                <w:sz w:val="18"/>
              </w:rPr>
              <w:t>77</w:t>
            </w:r>
          </w:p>
        </w:tc>
        <w:tc>
          <w:tcPr>
            <w:tcW w:type="dxa" w:w="3685"/>
            <w:vAlign w:val="center"/>
            <w:shd w:val="clear" w:color="auto" w:fill="F5F5F5"/>
          </w:tcPr>
          <w:p>
            <w:r>
              <w:rPr>
                <w:sz w:val="18"/>
              </w:rPr>
              <w:t>0,7%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2835"/>
            <w:vAlign w:val="center"/>
            <w:shd w:val="clear" w:color="auto" w:fill="FFFFFF"/>
          </w:tcPr>
          <w:p>
            <w:r>
              <w:rPr>
                <w:sz w:val="18"/>
              </w:rPr>
              <w:t>11.741</w:t>
            </w:r>
          </w:p>
        </w:tc>
        <w:tc>
          <w:tcPr>
            <w:tcW w:type="dxa" w:w="3685"/>
            <w:vAlign w:val="center"/>
            <w:shd w:val="clear" w:color="auto" w:fill="FFFFFF"/>
          </w:tcPr>
          <w:p>
            <w:r>
              <w:rPr>
                <w:sz w:val="18"/>
              </w:rPr>
              <w:t>100%</w:t>
            </w:r>
          </w:p>
        </w:tc>
      </w:tr>
    </w:tbl>
    <w:p/>
    <w:p>
      <w:pPr>
        <w:pStyle w:val="Heading2"/>
      </w:pPr>
      <w:r>
        <w:rPr>
          <w:color w:val="1565C0"/>
        </w:rPr>
        <w:t>4.2 Componentes Hub — Top 10</w:t>
      </w:r>
    </w:p>
    <w:p>
      <w:pPr>
        <w:spacing w:after="80"/>
      </w:pPr>
      <w:r>
        <w:rPr>
          <w:b/>
          <w:sz w:val="20"/>
        </w:rPr>
        <w:t>Metformin</w:t>
      </w:r>
      <w:r>
        <w:rPr>
          <w:sz w:val="20"/>
        </w:rPr>
        <w:t xml:space="preserve"> es el componente hub dominante con </w:t>
      </w:r>
      <w:r>
        <w:rPr>
          <w:b/>
          <w:sz w:val="20"/>
        </w:rPr>
        <w:t>664 apariciones</w:t>
      </w:r>
      <w:r>
        <w:rPr>
          <w:sz w:val="20"/>
        </w:rPr>
        <w:t>, un 75% más que el segundo lugar. Su dominio refleja la alta prevalencia de diabetes tipo 2 en India, país de origen del dataset.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680"/>
            <w:vAlign w:val="center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Pos.</w:t>
            </w:r>
          </w:p>
        </w:tc>
        <w:tc>
          <w:tcPr>
            <w:tcW w:type="dxa" w:w="3118"/>
            <w:vAlign w:val="center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1984"/>
            <w:vAlign w:val="center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Medicamentos</w:t>
            </w:r>
          </w:p>
        </w:tc>
        <w:tc>
          <w:tcPr>
            <w:tcW w:type="dxa" w:w="3572"/>
            <w:vAlign w:val="center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Área Terapéutica</w:t>
            </w:r>
          </w:p>
        </w:tc>
      </w:tr>
      <w:tr>
        <w:tc>
          <w:tcPr>
            <w:tcW w:type="dxa" w:w="680"/>
            <w:vAlign w:val="center"/>
            <w:shd w:val="clear" w:color="auto" w:fill="F5F5F5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118"/>
            <w:vAlign w:val="center"/>
            <w:shd w:val="clear" w:color="auto" w:fill="F5F5F5"/>
          </w:tcPr>
          <w:p>
            <w:r>
              <w:rPr>
                <w:sz w:val="18"/>
              </w:rPr>
              <w:t>Metformin</w:t>
            </w:r>
          </w:p>
        </w:tc>
        <w:tc>
          <w:tcPr>
            <w:tcW w:type="dxa" w:w="1984"/>
            <w:vAlign w:val="center"/>
            <w:shd w:val="clear" w:color="auto" w:fill="F5F5F5"/>
          </w:tcPr>
          <w:p>
            <w:r>
              <w:rPr>
                <w:sz w:val="18"/>
              </w:rPr>
              <w:t>664</w:t>
            </w:r>
          </w:p>
        </w:tc>
        <w:tc>
          <w:tcPr>
            <w:tcW w:type="dxa" w:w="3572"/>
            <w:vAlign w:val="center"/>
            <w:shd w:val="clear" w:color="auto" w:fill="F5F5F5"/>
          </w:tcPr>
          <w:p>
            <w:r>
              <w:rPr>
                <w:sz w:val="18"/>
              </w:rPr>
              <w:t>Antidiabético</w:t>
            </w:r>
          </w:p>
        </w:tc>
      </w:tr>
      <w:tr>
        <w:tc>
          <w:tcPr>
            <w:tcW w:type="dxa" w:w="680"/>
            <w:vAlign w:val="center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r>
              <w:rPr>
                <w:sz w:val="18"/>
              </w:rPr>
              <w:t>Telmisartan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r>
              <w:rPr>
                <w:sz w:val="18"/>
              </w:rPr>
              <w:t>379</w:t>
            </w:r>
          </w:p>
        </w:tc>
        <w:tc>
          <w:tcPr>
            <w:tcW w:type="dxa" w:w="3572"/>
            <w:vAlign w:val="center"/>
            <w:shd w:val="clear" w:color="auto" w:fill="FFFFFF"/>
          </w:tcPr>
          <w:p>
            <w:r>
              <w:rPr>
                <w:sz w:val="18"/>
              </w:rPr>
              <w:t>Antihipertensivo</w:t>
            </w:r>
          </w:p>
        </w:tc>
      </w:tr>
      <w:tr>
        <w:tc>
          <w:tcPr>
            <w:tcW w:type="dxa" w:w="680"/>
            <w:vAlign w:val="center"/>
            <w:shd w:val="clear" w:color="auto" w:fill="F5F5F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118"/>
            <w:vAlign w:val="center"/>
            <w:shd w:val="clear" w:color="auto" w:fill="F5F5F5"/>
          </w:tcPr>
          <w:p>
            <w:r>
              <w:rPr>
                <w:sz w:val="18"/>
              </w:rPr>
              <w:t>Glimepiride</w:t>
            </w:r>
          </w:p>
        </w:tc>
        <w:tc>
          <w:tcPr>
            <w:tcW w:type="dxa" w:w="1984"/>
            <w:vAlign w:val="center"/>
            <w:shd w:val="clear" w:color="auto" w:fill="F5F5F5"/>
          </w:tcPr>
          <w:p>
            <w:r>
              <w:rPr>
                <w:sz w:val="18"/>
              </w:rPr>
              <w:t>379</w:t>
            </w:r>
          </w:p>
        </w:tc>
        <w:tc>
          <w:tcPr>
            <w:tcW w:type="dxa" w:w="3572"/>
            <w:vAlign w:val="center"/>
            <w:shd w:val="clear" w:color="auto" w:fill="F5F5F5"/>
          </w:tcPr>
          <w:p>
            <w:r>
              <w:rPr>
                <w:sz w:val="18"/>
              </w:rPr>
              <w:t>Antidiabético</w:t>
            </w:r>
          </w:p>
        </w:tc>
      </w:tr>
      <w:tr>
        <w:tc>
          <w:tcPr>
            <w:tcW w:type="dxa" w:w="680"/>
            <w:vAlign w:val="center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r>
              <w:rPr>
                <w:sz w:val="18"/>
              </w:rPr>
              <w:t>Paracetamol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r>
              <w:rPr>
                <w:sz w:val="18"/>
              </w:rPr>
              <w:t>359</w:t>
            </w:r>
          </w:p>
        </w:tc>
        <w:tc>
          <w:tcPr>
            <w:tcW w:type="dxa" w:w="3572"/>
            <w:vAlign w:val="center"/>
            <w:shd w:val="clear" w:color="auto" w:fill="FFFFFF"/>
          </w:tcPr>
          <w:p>
            <w:r>
              <w:rPr>
                <w:sz w:val="18"/>
              </w:rPr>
              <w:t>Analgésico/Antipirético</w:t>
            </w:r>
          </w:p>
        </w:tc>
      </w:tr>
      <w:tr>
        <w:tc>
          <w:tcPr>
            <w:tcW w:type="dxa" w:w="680"/>
            <w:vAlign w:val="center"/>
            <w:shd w:val="clear" w:color="auto" w:fill="F5F5F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118"/>
            <w:vAlign w:val="center"/>
            <w:shd w:val="clear" w:color="auto" w:fill="F5F5F5"/>
          </w:tcPr>
          <w:p>
            <w:r>
              <w:rPr>
                <w:sz w:val="18"/>
              </w:rPr>
              <w:t>Amlodipine</w:t>
            </w:r>
          </w:p>
        </w:tc>
        <w:tc>
          <w:tcPr>
            <w:tcW w:type="dxa" w:w="1984"/>
            <w:vAlign w:val="center"/>
            <w:shd w:val="clear" w:color="auto" w:fill="F5F5F5"/>
          </w:tcPr>
          <w:p>
            <w:r>
              <w:rPr>
                <w:sz w:val="18"/>
              </w:rPr>
              <w:t>314</w:t>
            </w:r>
          </w:p>
        </w:tc>
        <w:tc>
          <w:tcPr>
            <w:tcW w:type="dxa" w:w="3572"/>
            <w:vAlign w:val="center"/>
            <w:shd w:val="clear" w:color="auto" w:fill="F5F5F5"/>
          </w:tcPr>
          <w:p>
            <w:r>
              <w:rPr>
                <w:sz w:val="18"/>
              </w:rPr>
              <w:t>Antihipertensivo</w:t>
            </w:r>
          </w:p>
        </w:tc>
      </w:tr>
      <w:tr>
        <w:tc>
          <w:tcPr>
            <w:tcW w:type="dxa" w:w="680"/>
            <w:vAlign w:val="center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r>
              <w:rPr>
                <w:sz w:val="18"/>
              </w:rPr>
              <w:t>Montelukast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r>
              <w:rPr>
                <w:sz w:val="18"/>
              </w:rPr>
              <w:t>224</w:t>
            </w:r>
          </w:p>
        </w:tc>
        <w:tc>
          <w:tcPr>
            <w:tcW w:type="dxa" w:w="3572"/>
            <w:vAlign w:val="center"/>
            <w:shd w:val="clear" w:color="auto" w:fill="FFFFFF"/>
          </w:tcPr>
          <w:p>
            <w:r>
              <w:rPr>
                <w:sz w:val="18"/>
              </w:rPr>
              <w:t>Antiasmático</w:t>
            </w:r>
          </w:p>
        </w:tc>
      </w:tr>
      <w:tr>
        <w:tc>
          <w:tcPr>
            <w:tcW w:type="dxa" w:w="680"/>
            <w:vAlign w:val="center"/>
            <w:shd w:val="clear" w:color="auto" w:fill="F5F5F5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118"/>
            <w:vAlign w:val="center"/>
            <w:shd w:val="clear" w:color="auto" w:fill="F5F5F5"/>
          </w:tcPr>
          <w:p>
            <w:r>
              <w:rPr>
                <w:sz w:val="18"/>
              </w:rPr>
              <w:t>Pregabalin</w:t>
            </w:r>
          </w:p>
        </w:tc>
        <w:tc>
          <w:tcPr>
            <w:tcW w:type="dxa" w:w="1984"/>
            <w:vAlign w:val="center"/>
            <w:shd w:val="clear" w:color="auto" w:fill="F5F5F5"/>
          </w:tcPr>
          <w:p>
            <w:r>
              <w:rPr>
                <w:sz w:val="18"/>
              </w:rPr>
              <w:t>214</w:t>
            </w:r>
          </w:p>
        </w:tc>
        <w:tc>
          <w:tcPr>
            <w:tcW w:type="dxa" w:w="3572"/>
            <w:vAlign w:val="center"/>
            <w:shd w:val="clear" w:color="auto" w:fill="F5F5F5"/>
          </w:tcPr>
          <w:p>
            <w:r>
              <w:rPr>
                <w:sz w:val="18"/>
              </w:rPr>
              <w:t>Antiepiléptico/Analgésico</w:t>
            </w:r>
          </w:p>
        </w:tc>
      </w:tr>
      <w:tr>
        <w:tc>
          <w:tcPr>
            <w:tcW w:type="dxa" w:w="680"/>
            <w:vAlign w:val="center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r>
              <w:rPr>
                <w:sz w:val="18"/>
              </w:rPr>
              <w:t>Methylcobalamin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r>
              <w:rPr>
                <w:sz w:val="18"/>
              </w:rPr>
              <w:t>214</w:t>
            </w:r>
          </w:p>
        </w:tc>
        <w:tc>
          <w:tcPr>
            <w:tcW w:type="dxa" w:w="3572"/>
            <w:vAlign w:val="center"/>
            <w:shd w:val="clear" w:color="auto" w:fill="FFFFFF"/>
          </w:tcPr>
          <w:p>
            <w:r>
              <w:rPr>
                <w:sz w:val="18"/>
              </w:rPr>
              <w:t>Vitamina B12</w:t>
            </w:r>
          </w:p>
        </w:tc>
      </w:tr>
      <w:tr>
        <w:tc>
          <w:tcPr>
            <w:tcW w:type="dxa" w:w="680"/>
            <w:vAlign w:val="center"/>
            <w:shd w:val="clear" w:color="auto" w:fill="F5F5F5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3118"/>
            <w:vAlign w:val="center"/>
            <w:shd w:val="clear" w:color="auto" w:fill="F5F5F5"/>
          </w:tcPr>
          <w:p>
            <w:r>
              <w:rPr>
                <w:sz w:val="18"/>
              </w:rPr>
              <w:t>Metoprolol Succinate</w:t>
            </w:r>
          </w:p>
        </w:tc>
        <w:tc>
          <w:tcPr>
            <w:tcW w:type="dxa" w:w="1984"/>
            <w:vAlign w:val="center"/>
            <w:shd w:val="clear" w:color="auto" w:fill="F5F5F5"/>
          </w:tcPr>
          <w:p>
            <w:r>
              <w:rPr>
                <w:sz w:val="18"/>
              </w:rPr>
              <w:t>209</w:t>
            </w:r>
          </w:p>
        </w:tc>
        <w:tc>
          <w:tcPr>
            <w:tcW w:type="dxa" w:w="3572"/>
            <w:vAlign w:val="center"/>
            <w:shd w:val="clear" w:color="auto" w:fill="F5F5F5"/>
          </w:tcPr>
          <w:p>
            <w:r>
              <w:rPr>
                <w:sz w:val="18"/>
              </w:rPr>
              <w:t>Betabloqueante</w:t>
            </w:r>
          </w:p>
        </w:tc>
      </w:tr>
      <w:tr>
        <w:tc>
          <w:tcPr>
            <w:tcW w:type="dxa" w:w="680"/>
            <w:vAlign w:val="center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r>
              <w:rPr>
                <w:sz w:val="18"/>
              </w:rPr>
              <w:t>Rosuvastatin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r>
              <w:rPr>
                <w:sz w:val="18"/>
              </w:rPr>
              <w:t>209</w:t>
            </w:r>
          </w:p>
        </w:tc>
        <w:tc>
          <w:tcPr>
            <w:tcW w:type="dxa" w:w="3572"/>
            <w:vAlign w:val="center"/>
            <w:shd w:val="clear" w:color="auto" w:fill="FFFFFF"/>
          </w:tcPr>
          <w:p>
            <w:r>
              <w:rPr>
                <w:sz w:val="18"/>
              </w:rPr>
              <w:t>Estatina</w:t>
            </w:r>
          </w:p>
        </w:tc>
      </w:tr>
    </w:tbl>
    <w:p/>
    <w:p>
      <w:pPr>
        <w:pStyle w:val="Heading2"/>
      </w:pPr>
      <w:r>
        <w:rPr>
          <w:color w:val="1565C0"/>
        </w:rPr>
        <w:t>4.3 Pares de Componentes Más Frecuentes — Top 10</w:t>
      </w:r>
    </w:p>
    <w:p>
      <w:pPr>
        <w:spacing w:after="80"/>
      </w:pPr>
      <w:r>
        <w:rPr>
          <w:b/>
          <w:sz w:val="20"/>
        </w:rPr>
        <w:t>Glimepiride + Metformin</w:t>
      </w:r>
      <w:r>
        <w:rPr>
          <w:sz w:val="20"/>
        </w:rPr>
        <w:t xml:space="preserve"> domina con </w:t>
      </w:r>
      <w:r>
        <w:rPr>
          <w:b/>
          <w:sz w:val="20"/>
        </w:rPr>
        <w:t>325 medicamentos</w:t>
      </w:r>
      <w:r>
        <w:rPr>
          <w:sz w:val="20"/>
        </w:rPr>
        <w:t>, casi 2,6 veces el segundo par. Esta combinación une dos mecanismos complementarios para la diabetes tipo 2: reducción hepática de glucosa (Metformin) + estimulación pancreática de insulina (Glimepiride).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680"/>
            <w:vAlign w:val="center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Pos.</w:t>
            </w:r>
          </w:p>
        </w:tc>
        <w:tc>
          <w:tcPr>
            <w:tcW w:type="dxa" w:w="4252"/>
            <w:vAlign w:val="center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Par</w:t>
            </w:r>
          </w:p>
        </w:tc>
        <w:tc>
          <w:tcPr>
            <w:tcW w:type="dxa" w:w="1984"/>
            <w:vAlign w:val="center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Medicamentos</w:t>
            </w:r>
          </w:p>
        </w:tc>
        <w:tc>
          <w:tcPr>
            <w:tcW w:type="dxa" w:w="2438"/>
            <w:vAlign w:val="center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Área Terapéutica</w:t>
            </w:r>
          </w:p>
        </w:tc>
      </w:tr>
      <w:tr>
        <w:tc>
          <w:tcPr>
            <w:tcW w:type="dxa" w:w="680"/>
            <w:vAlign w:val="center"/>
            <w:shd w:val="clear" w:color="auto" w:fill="F5F5F5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4252"/>
            <w:vAlign w:val="center"/>
            <w:shd w:val="clear" w:color="auto" w:fill="F5F5F5"/>
          </w:tcPr>
          <w:p>
            <w:r>
              <w:rPr>
                <w:sz w:val="18"/>
              </w:rPr>
              <w:t>Glimepiride + Metformin</w:t>
            </w:r>
          </w:p>
        </w:tc>
        <w:tc>
          <w:tcPr>
            <w:tcW w:type="dxa" w:w="1984"/>
            <w:vAlign w:val="center"/>
            <w:shd w:val="clear" w:color="auto" w:fill="F5F5F5"/>
          </w:tcPr>
          <w:p>
            <w:r>
              <w:rPr>
                <w:sz w:val="18"/>
              </w:rPr>
              <w:t>325</w:t>
            </w:r>
          </w:p>
        </w:tc>
        <w:tc>
          <w:tcPr>
            <w:tcW w:type="dxa" w:w="2438"/>
            <w:vAlign w:val="center"/>
            <w:shd w:val="clear" w:color="auto" w:fill="F5F5F5"/>
          </w:tcPr>
          <w:p>
            <w:r>
              <w:rPr>
                <w:sz w:val="18"/>
              </w:rPr>
              <w:t>Antidiabético</w:t>
            </w:r>
          </w:p>
        </w:tc>
      </w:tr>
      <w:tr>
        <w:tc>
          <w:tcPr>
            <w:tcW w:type="dxa" w:w="680"/>
            <w:vAlign w:val="center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4252"/>
            <w:vAlign w:val="center"/>
            <w:shd w:val="clear" w:color="auto" w:fill="FFFFFF"/>
          </w:tcPr>
          <w:p>
            <w:r>
              <w:rPr>
                <w:sz w:val="18"/>
              </w:rPr>
              <w:t>Levocetirizine + Montelukast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r>
              <w:rPr>
                <w:sz w:val="18"/>
              </w:rPr>
              <w:t>124</w:t>
            </w:r>
          </w:p>
        </w:tc>
        <w:tc>
          <w:tcPr>
            <w:tcW w:type="dxa" w:w="2438"/>
            <w:vAlign w:val="center"/>
            <w:shd w:val="clear" w:color="auto" w:fill="FFFFFF"/>
          </w:tcPr>
          <w:p>
            <w:r>
              <w:rPr>
                <w:sz w:val="18"/>
              </w:rPr>
              <w:t>Alérgico/Asma</w:t>
            </w:r>
          </w:p>
        </w:tc>
      </w:tr>
      <w:tr>
        <w:tc>
          <w:tcPr>
            <w:tcW w:type="dxa" w:w="680"/>
            <w:vAlign w:val="center"/>
            <w:shd w:val="clear" w:color="auto" w:fill="F5F5F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252"/>
            <w:vAlign w:val="center"/>
            <w:shd w:val="clear" w:color="auto" w:fill="F5F5F5"/>
          </w:tcPr>
          <w:p>
            <w:r>
              <w:rPr>
                <w:sz w:val="18"/>
              </w:rPr>
              <w:t>Metformin + Voglibose</w:t>
            </w:r>
          </w:p>
        </w:tc>
        <w:tc>
          <w:tcPr>
            <w:tcW w:type="dxa" w:w="1984"/>
            <w:vAlign w:val="center"/>
            <w:shd w:val="clear" w:color="auto" w:fill="F5F5F5"/>
          </w:tcPr>
          <w:p>
            <w:r>
              <w:rPr>
                <w:sz w:val="18"/>
              </w:rPr>
              <w:t>124</w:t>
            </w:r>
          </w:p>
        </w:tc>
        <w:tc>
          <w:tcPr>
            <w:tcW w:type="dxa" w:w="2438"/>
            <w:vAlign w:val="center"/>
            <w:shd w:val="clear" w:color="auto" w:fill="F5F5F5"/>
          </w:tcPr>
          <w:p>
            <w:r>
              <w:rPr>
                <w:sz w:val="18"/>
              </w:rPr>
              <w:t>Antidiabético</w:t>
            </w:r>
          </w:p>
        </w:tc>
      </w:tr>
      <w:tr>
        <w:tc>
          <w:tcPr>
            <w:tcW w:type="dxa" w:w="680"/>
            <w:vAlign w:val="center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252"/>
            <w:vAlign w:val="center"/>
            <w:shd w:val="clear" w:color="auto" w:fill="FFFFFF"/>
          </w:tcPr>
          <w:p>
            <w:r>
              <w:rPr>
                <w:sz w:val="18"/>
              </w:rPr>
              <w:t>Methylcobalamin + Pregabalin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r>
              <w:rPr>
                <w:sz w:val="18"/>
              </w:rPr>
              <w:t>122</w:t>
            </w:r>
          </w:p>
        </w:tc>
        <w:tc>
          <w:tcPr>
            <w:tcW w:type="dxa" w:w="2438"/>
            <w:vAlign w:val="center"/>
            <w:shd w:val="clear" w:color="auto" w:fill="FFFFFF"/>
          </w:tcPr>
          <w:p>
            <w:r>
              <w:rPr>
                <w:sz w:val="18"/>
              </w:rPr>
              <w:t>Neuropatía</w:t>
            </w:r>
          </w:p>
        </w:tc>
      </w:tr>
      <w:tr>
        <w:tc>
          <w:tcPr>
            <w:tcW w:type="dxa" w:w="680"/>
            <w:vAlign w:val="center"/>
            <w:shd w:val="clear" w:color="auto" w:fill="F5F5F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252"/>
            <w:vAlign w:val="center"/>
            <w:shd w:val="clear" w:color="auto" w:fill="F5F5F5"/>
          </w:tcPr>
          <w:p>
            <w:r>
              <w:rPr>
                <w:sz w:val="18"/>
              </w:rPr>
              <w:t>Amoxycillin + Clavulanic Acid</w:t>
            </w:r>
          </w:p>
        </w:tc>
        <w:tc>
          <w:tcPr>
            <w:tcW w:type="dxa" w:w="1984"/>
            <w:vAlign w:val="center"/>
            <w:shd w:val="clear" w:color="auto" w:fill="F5F5F5"/>
          </w:tcPr>
          <w:p>
            <w:r>
              <w:rPr>
                <w:sz w:val="18"/>
              </w:rPr>
              <w:t>97</w:t>
            </w:r>
          </w:p>
        </w:tc>
        <w:tc>
          <w:tcPr>
            <w:tcW w:type="dxa" w:w="2438"/>
            <w:vAlign w:val="center"/>
            <w:shd w:val="clear" w:color="auto" w:fill="F5F5F5"/>
          </w:tcPr>
          <w:p>
            <w:r>
              <w:rPr>
                <w:sz w:val="18"/>
              </w:rPr>
              <w:t>Antibiótico</w:t>
            </w:r>
          </w:p>
        </w:tc>
      </w:tr>
      <w:tr>
        <w:tc>
          <w:tcPr>
            <w:tcW w:type="dxa" w:w="680"/>
            <w:vAlign w:val="center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4252"/>
            <w:vAlign w:val="center"/>
            <w:shd w:val="clear" w:color="auto" w:fill="FFFFFF"/>
          </w:tcPr>
          <w:p>
            <w:r>
              <w:rPr>
                <w:sz w:val="18"/>
              </w:rPr>
              <w:t>Ambroxol + Guaifenesin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r>
              <w:rPr>
                <w:sz w:val="18"/>
              </w:rPr>
              <w:t>91</w:t>
            </w:r>
          </w:p>
        </w:tc>
        <w:tc>
          <w:tcPr>
            <w:tcW w:type="dxa" w:w="2438"/>
            <w:vAlign w:val="center"/>
            <w:shd w:val="clear" w:color="auto" w:fill="FFFFFF"/>
          </w:tcPr>
          <w:p>
            <w:r>
              <w:rPr>
                <w:sz w:val="18"/>
              </w:rPr>
              <w:t>Respiratorio</w:t>
            </w:r>
          </w:p>
        </w:tc>
      </w:tr>
      <w:tr>
        <w:tc>
          <w:tcPr>
            <w:tcW w:type="dxa" w:w="680"/>
            <w:vAlign w:val="center"/>
            <w:shd w:val="clear" w:color="auto" w:fill="F5F5F5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4252"/>
            <w:vAlign w:val="center"/>
            <w:shd w:val="clear" w:color="auto" w:fill="F5F5F5"/>
          </w:tcPr>
          <w:p>
            <w:r>
              <w:rPr>
                <w:sz w:val="18"/>
              </w:rPr>
              <w:t>Amlodipine + Telmisartan</w:t>
            </w:r>
          </w:p>
        </w:tc>
        <w:tc>
          <w:tcPr>
            <w:tcW w:type="dxa" w:w="1984"/>
            <w:vAlign w:val="center"/>
            <w:shd w:val="clear" w:color="auto" w:fill="F5F5F5"/>
          </w:tcPr>
          <w:p>
            <w:r>
              <w:rPr>
                <w:sz w:val="18"/>
              </w:rPr>
              <w:t>90</w:t>
            </w:r>
          </w:p>
        </w:tc>
        <w:tc>
          <w:tcPr>
            <w:tcW w:type="dxa" w:w="2438"/>
            <w:vAlign w:val="center"/>
            <w:shd w:val="clear" w:color="auto" w:fill="F5F5F5"/>
          </w:tcPr>
          <w:p>
            <w:r>
              <w:rPr>
                <w:sz w:val="18"/>
              </w:rPr>
              <w:t>Antihipertensivo</w:t>
            </w:r>
          </w:p>
        </w:tc>
      </w:tr>
      <w:tr>
        <w:tc>
          <w:tcPr>
            <w:tcW w:type="dxa" w:w="680"/>
            <w:vAlign w:val="center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4252"/>
            <w:vAlign w:val="center"/>
            <w:shd w:val="clear" w:color="auto" w:fill="FFFFFF"/>
          </w:tcPr>
          <w:p>
            <w:r>
              <w:rPr>
                <w:sz w:val="18"/>
              </w:rPr>
              <w:t>Aceclofenac + Paracetamol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r>
              <w:rPr>
                <w:sz w:val="18"/>
              </w:rPr>
              <w:t>88</w:t>
            </w:r>
          </w:p>
        </w:tc>
        <w:tc>
          <w:tcPr>
            <w:tcW w:type="dxa" w:w="2438"/>
            <w:vAlign w:val="center"/>
            <w:shd w:val="clear" w:color="auto" w:fill="FFFFFF"/>
          </w:tcPr>
          <w:p>
            <w:r>
              <w:rPr>
                <w:sz w:val="18"/>
              </w:rPr>
              <w:t>Analgésico</w:t>
            </w:r>
          </w:p>
        </w:tc>
      </w:tr>
      <w:tr>
        <w:tc>
          <w:tcPr>
            <w:tcW w:type="dxa" w:w="680"/>
            <w:vAlign w:val="center"/>
            <w:shd w:val="clear" w:color="auto" w:fill="F5F5F5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4252"/>
            <w:vAlign w:val="center"/>
            <w:shd w:val="clear" w:color="auto" w:fill="F5F5F5"/>
          </w:tcPr>
          <w:p>
            <w:r>
              <w:rPr>
                <w:sz w:val="18"/>
              </w:rPr>
              <w:t>Metformin + Pioglitazone</w:t>
            </w:r>
          </w:p>
        </w:tc>
        <w:tc>
          <w:tcPr>
            <w:tcW w:type="dxa" w:w="1984"/>
            <w:vAlign w:val="center"/>
            <w:shd w:val="clear" w:color="auto" w:fill="F5F5F5"/>
          </w:tcPr>
          <w:p>
            <w:r>
              <w:rPr>
                <w:sz w:val="18"/>
              </w:rPr>
              <w:t>87</w:t>
            </w:r>
          </w:p>
        </w:tc>
        <w:tc>
          <w:tcPr>
            <w:tcW w:type="dxa" w:w="2438"/>
            <w:vAlign w:val="center"/>
            <w:shd w:val="clear" w:color="auto" w:fill="F5F5F5"/>
          </w:tcPr>
          <w:p>
            <w:r>
              <w:rPr>
                <w:sz w:val="18"/>
              </w:rPr>
              <w:t>Antidiabético</w:t>
            </w:r>
          </w:p>
        </w:tc>
      </w:tr>
      <w:tr>
        <w:tc>
          <w:tcPr>
            <w:tcW w:type="dxa" w:w="680"/>
            <w:vAlign w:val="center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4252"/>
            <w:vAlign w:val="center"/>
            <w:shd w:val="clear" w:color="auto" w:fill="FFFFFF"/>
          </w:tcPr>
          <w:p>
            <w:r>
              <w:rPr>
                <w:sz w:val="18"/>
              </w:rPr>
              <w:t>Glimepiride + Voglibose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r>
              <w:rPr>
                <w:sz w:val="18"/>
              </w:rPr>
              <w:t>86</w:t>
            </w:r>
          </w:p>
        </w:tc>
        <w:tc>
          <w:tcPr>
            <w:tcW w:type="dxa" w:w="2438"/>
            <w:vAlign w:val="center"/>
            <w:shd w:val="clear" w:color="auto" w:fill="FFFFFF"/>
          </w:tcPr>
          <w:p>
            <w:r>
              <w:rPr>
                <w:sz w:val="18"/>
              </w:rPr>
              <w:t>Antidiabético</w:t>
            </w:r>
          </w:p>
        </w:tc>
      </w:tr>
    </w:tbl>
    <w:p/>
    <w:p>
      <w:pPr>
        <w:pStyle w:val="Heading2"/>
      </w:pPr>
      <w:r>
        <w:rPr>
          <w:color w:val="1565C0"/>
        </w:rPr>
        <w:t>4.4 Clusters de Co-ocurrencia</w:t>
      </w:r>
    </w:p>
    <w:p>
      <w:pPr>
        <w:spacing w:after="80"/>
      </w:pPr>
      <w:r>
        <w:rPr>
          <w:sz w:val="20"/>
        </w:rPr>
        <w:t>La matriz de co-ocurrencia (20×20) y el grafo de red revelan tres clusters terapéuticos bien separados. Los componentes prácticamente no cruzan clusters, lo que valida la coherencia clínica del dataset.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701"/>
            <w:vAlign w:val="center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Cluster</w:t>
            </w:r>
          </w:p>
        </w:tc>
        <w:tc>
          <w:tcPr>
            <w:tcW w:type="dxa" w:w="2835"/>
            <w:vAlign w:val="center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Componentes</w:t>
            </w:r>
          </w:p>
        </w:tc>
        <w:tc>
          <w:tcPr>
            <w:tcW w:type="dxa" w:w="2268"/>
            <w:vAlign w:val="center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Co-ocurrencia máx.</w:t>
            </w:r>
          </w:p>
        </w:tc>
        <w:tc>
          <w:tcPr>
            <w:tcW w:type="dxa" w:w="2551"/>
            <w:vAlign w:val="center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Observación</w:t>
            </w:r>
          </w:p>
        </w:tc>
      </w:tr>
      <w:tr>
        <w:tc>
          <w:tcPr>
            <w:tcW w:type="dxa" w:w="1701"/>
            <w:vAlign w:val="center"/>
            <w:shd w:val="clear" w:color="auto" w:fill="F5F5F5"/>
          </w:tcPr>
          <w:p>
            <w:r>
              <w:rPr>
                <w:sz w:val="18"/>
              </w:rPr>
              <w:t>Antidiabético</w:t>
            </w:r>
          </w:p>
        </w:tc>
        <w:tc>
          <w:tcPr>
            <w:tcW w:type="dxa" w:w="2835"/>
            <w:vAlign w:val="center"/>
            <w:shd w:val="clear" w:color="auto" w:fill="F5F5F5"/>
          </w:tcPr>
          <w:p>
            <w:r>
              <w:rPr>
                <w:sz w:val="18"/>
              </w:rPr>
              <w:t>Metformin, Glimepiride, Voglibose</w:t>
            </w:r>
          </w:p>
        </w:tc>
        <w:tc>
          <w:tcPr>
            <w:tcW w:type="dxa" w:w="2268"/>
            <w:vAlign w:val="center"/>
            <w:shd w:val="clear" w:color="auto" w:fill="F5F5F5"/>
          </w:tcPr>
          <w:p>
            <w:r>
              <w:rPr>
                <w:sz w:val="18"/>
              </w:rPr>
              <w:t>325 (Metformin–Glimepiride)</w:t>
            </w:r>
          </w:p>
        </w:tc>
        <w:tc>
          <w:tcPr>
            <w:tcW w:type="dxa" w:w="2551"/>
            <w:vAlign w:val="center"/>
            <w:shd w:val="clear" w:color="auto" w:fill="F5F5F5"/>
          </w:tcPr>
          <w:p>
            <w:r>
              <w:rPr>
                <w:sz w:val="18"/>
              </w:rPr>
              <w:t>Conexión más fuerte del dataset</w:t>
            </w:r>
          </w:p>
        </w:tc>
      </w:tr>
      <w:tr>
        <w:tc>
          <w:tcPr>
            <w:tcW w:type="dxa" w:w="1701"/>
            <w:vAlign w:val="center"/>
            <w:shd w:val="clear" w:color="auto" w:fill="FFFFFF"/>
          </w:tcPr>
          <w:p>
            <w:r>
              <w:rPr>
                <w:sz w:val="18"/>
              </w:rPr>
              <w:t>Antihipertensivo</w:t>
            </w:r>
          </w:p>
        </w:tc>
        <w:tc>
          <w:tcPr>
            <w:tcW w:type="dxa" w:w="2835"/>
            <w:vAlign w:val="center"/>
            <w:shd w:val="clear" w:color="auto" w:fill="FFFFFF"/>
          </w:tcPr>
          <w:p>
            <w:r>
              <w:rPr>
                <w:sz w:val="18"/>
              </w:rPr>
              <w:t>Telmisartan, Amlodipine, Hydrochlorothiazide, Olmesartan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r>
              <w:rPr>
                <w:sz w:val="18"/>
              </w:rPr>
              <w:t>90 (Amlodipine–Telmisartan)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r>
              <w:rPr>
                <w:sz w:val="18"/>
              </w:rPr>
              <w:t>Telmisartan actúa como hub del cluster</w:t>
            </w:r>
          </w:p>
        </w:tc>
      </w:tr>
      <w:tr>
        <w:tc>
          <w:tcPr>
            <w:tcW w:type="dxa" w:w="1701"/>
            <w:vAlign w:val="center"/>
            <w:shd w:val="clear" w:color="auto" w:fill="F5F5F5"/>
          </w:tcPr>
          <w:p>
            <w:r>
              <w:rPr>
                <w:sz w:val="18"/>
              </w:rPr>
              <w:t>Analgésico/Resp.</w:t>
            </w:r>
          </w:p>
        </w:tc>
        <w:tc>
          <w:tcPr>
            <w:tcW w:type="dxa" w:w="2835"/>
            <w:vAlign w:val="center"/>
            <w:shd w:val="clear" w:color="auto" w:fill="F5F5F5"/>
          </w:tcPr>
          <w:p>
            <w:r>
              <w:rPr>
                <w:sz w:val="18"/>
              </w:rPr>
              <w:t>Paracetamol, Aceclofenac, Phenylephrine, Chlorpheniramine</w:t>
            </w:r>
          </w:p>
        </w:tc>
        <w:tc>
          <w:tcPr>
            <w:tcW w:type="dxa" w:w="2268"/>
            <w:vAlign w:val="center"/>
            <w:shd w:val="clear" w:color="auto" w:fill="F5F5F5"/>
          </w:tcPr>
          <w:p>
            <w:r>
              <w:rPr>
                <w:sz w:val="18"/>
              </w:rPr>
              <w:t>88 (Paracetamol–Aceclofenac)</w:t>
            </w:r>
          </w:p>
        </w:tc>
        <w:tc>
          <w:tcPr>
            <w:tcW w:type="dxa" w:w="2551"/>
            <w:vAlign w:val="center"/>
            <w:shd w:val="clear" w:color="auto" w:fill="F5F5F5"/>
          </w:tcPr>
          <w:p>
            <w:r>
              <w:rPr>
                <w:sz w:val="18"/>
              </w:rPr>
              <w:t>Paracetamol es el nodo de mayor grado</w:t>
            </w:r>
          </w:p>
        </w:tc>
      </w:tr>
    </w:tbl>
    <w:p/>
    <w:p>
      <w:pPr>
        <w:pStyle w:val="Heading2"/>
      </w:pPr>
      <w:r>
        <w:rPr>
          <w:color w:val="1565C0"/>
        </w:rPr>
        <w:t>4.5 Efectos Secundarios según Tamaño de Combinación</w:t>
      </w:r>
    </w:p>
    <w:p>
      <w:pPr>
        <w:spacing w:after="80"/>
      </w:pPr>
      <w:r>
        <w:rPr>
          <w:sz w:val="20"/>
        </w:rPr>
        <w:t xml:space="preserve">Hallazgo contraintuitivo: los medicamentos complejos (5+ componentes) tienen la mediana </w:t>
      </w:r>
      <w:r>
        <w:rPr>
          <w:b/>
          <w:sz w:val="20"/>
        </w:rPr>
        <w:t>más BAJA</w:t>
      </w:r>
      <w:r>
        <w:rPr>
          <w:sz w:val="20"/>
        </w:rPr>
        <w:t xml:space="preserve"> de efectos secundarios listados (~4), mientras que los tríos tienen la más alta (~7). Esto refuta la hipótesis inicial de que más componentes implica más efectos secundarios.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835"/>
            <w:vAlign w:val="center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Categoría</w:t>
            </w:r>
          </w:p>
        </w:tc>
        <w:tc>
          <w:tcPr>
            <w:tcW w:type="dxa" w:w="2835"/>
            <w:vAlign w:val="center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Mediana efectos</w:t>
            </w:r>
          </w:p>
        </w:tc>
        <w:tc>
          <w:tcPr>
            <w:tcW w:type="dxa" w:w="3685"/>
            <w:vAlign w:val="center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Rango IQR</w:t>
            </w:r>
          </w:p>
        </w:tc>
      </w:tr>
      <w:tr>
        <w:tc>
          <w:tcPr>
            <w:tcW w:type="dxa" w:w="2835"/>
            <w:vAlign w:val="center"/>
            <w:shd w:val="clear" w:color="auto" w:fill="F5F5F5"/>
          </w:tcPr>
          <w:p>
            <w:r>
              <w:rPr>
                <w:sz w:val="18"/>
              </w:rPr>
              <w:t>mono (1)</w:t>
            </w:r>
          </w:p>
        </w:tc>
        <w:tc>
          <w:tcPr>
            <w:tcW w:type="dxa" w:w="2835"/>
            <w:vAlign w:val="center"/>
            <w:shd w:val="clear" w:color="auto" w:fill="F5F5F5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685"/>
            <w:vAlign w:val="center"/>
            <w:shd w:val="clear" w:color="auto" w:fill="F5F5F5"/>
          </w:tcPr>
          <w:p>
            <w:r>
              <w:rPr>
                <w:sz w:val="18"/>
              </w:rPr>
              <w:t>5 – 9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</w:tcPr>
          <w:p>
            <w:r>
              <w:rPr>
                <w:sz w:val="18"/>
              </w:rPr>
              <w:t>duo (2)</w:t>
            </w:r>
          </w:p>
        </w:tc>
        <w:tc>
          <w:tcPr>
            <w:tcW w:type="dxa" w:w="2835"/>
            <w:vAlign w:val="center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685"/>
            <w:vAlign w:val="center"/>
            <w:shd w:val="clear" w:color="auto" w:fill="FFFFFF"/>
          </w:tcPr>
          <w:p>
            <w:r>
              <w:rPr>
                <w:sz w:val="18"/>
              </w:rPr>
              <w:t>5 – 9</w:t>
            </w:r>
          </w:p>
        </w:tc>
      </w:tr>
      <w:tr>
        <w:tc>
          <w:tcPr>
            <w:tcW w:type="dxa" w:w="2835"/>
            <w:vAlign w:val="center"/>
            <w:shd w:val="clear" w:color="auto" w:fill="F5F5F5"/>
          </w:tcPr>
          <w:p>
            <w:r>
              <w:rPr>
                <w:sz w:val="18"/>
              </w:rPr>
              <w:t>trio (3)</w:t>
            </w:r>
          </w:p>
        </w:tc>
        <w:tc>
          <w:tcPr>
            <w:tcW w:type="dxa" w:w="2835"/>
            <w:vAlign w:val="center"/>
            <w:shd w:val="clear" w:color="auto" w:fill="F5F5F5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685"/>
            <w:vAlign w:val="center"/>
            <w:shd w:val="clear" w:color="auto" w:fill="F5F5F5"/>
          </w:tcPr>
          <w:p>
            <w:r>
              <w:rPr>
                <w:sz w:val="18"/>
              </w:rPr>
              <w:t>5 – 11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</w:tcPr>
          <w:p>
            <w:r>
              <w:rPr>
                <w:sz w:val="18"/>
              </w:rPr>
              <w:t>cuádruple (4)</w:t>
            </w:r>
          </w:p>
        </w:tc>
        <w:tc>
          <w:tcPr>
            <w:tcW w:type="dxa" w:w="2835"/>
            <w:vAlign w:val="center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685"/>
            <w:vAlign w:val="center"/>
            <w:shd w:val="clear" w:color="auto" w:fill="FFFFFF"/>
          </w:tcPr>
          <w:p>
            <w:r>
              <w:rPr>
                <w:sz w:val="18"/>
              </w:rPr>
              <w:t>4 – 10</w:t>
            </w:r>
          </w:p>
        </w:tc>
      </w:tr>
      <w:tr>
        <w:tc>
          <w:tcPr>
            <w:tcW w:type="dxa" w:w="2835"/>
            <w:vAlign w:val="center"/>
            <w:shd w:val="clear" w:color="auto" w:fill="F5F5F5"/>
          </w:tcPr>
          <w:p>
            <w:r>
              <w:rPr>
                <w:sz w:val="18"/>
              </w:rPr>
              <w:t>complejo (5+)</w:t>
            </w:r>
          </w:p>
        </w:tc>
        <w:tc>
          <w:tcPr>
            <w:tcW w:type="dxa" w:w="2835"/>
            <w:vAlign w:val="center"/>
            <w:shd w:val="clear" w:color="auto" w:fill="F5F5F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685"/>
            <w:vAlign w:val="center"/>
            <w:shd w:val="clear" w:color="auto" w:fill="F5F5F5"/>
          </w:tcPr>
          <w:p>
            <w:r>
              <w:rPr>
                <w:sz w:val="18"/>
              </w:rPr>
              <w:t>3 – 5</w:t>
            </w:r>
          </w:p>
        </w:tc>
      </w:tr>
    </w:tbl>
    <w:p/>
    <w:p>
      <w:pPr>
        <w:pStyle w:val="Heading2"/>
      </w:pPr>
      <w:r>
        <w:rPr>
          <w:color w:val="1565C0"/>
        </w:rPr>
        <w:t>4.6 Valoración de Usuarios por Número de Componentes</w:t>
      </w:r>
    </w:p>
    <w:p>
      <w:pPr>
        <w:spacing w:after="80"/>
      </w:pPr>
      <w:r>
        <w:rPr>
          <w:sz w:val="20"/>
        </w:rPr>
        <w:t xml:space="preserve">Los </w:t>
      </w:r>
      <w:r>
        <w:rPr>
          <w:b/>
          <w:sz w:val="20"/>
        </w:rPr>
        <w:t>dúos</w:t>
      </w:r>
      <w:r>
        <w:rPr>
          <w:sz w:val="20"/>
        </w:rPr>
        <w:t xml:space="preserve"> obtienen la mejor valoración promedio (</w:t>
      </w:r>
      <w:r>
        <w:rPr>
          <w:b/>
          <w:sz w:val="20"/>
        </w:rPr>
        <w:t>~41%</w:t>
      </w:r>
      <w:r>
        <w:rPr>
          <w:sz w:val="20"/>
        </w:rPr>
        <w:t>), superando incluso a los monocomponentes (~38%). Desde 3 componentes en adelante la valoración decrece de forma consistente. Los grupos de 7, 8 y 9 componentes tienen muestras insuficientes para conclusiones robustas.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3969"/>
            <w:vAlign w:val="center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N° Componentes</w:t>
            </w:r>
          </w:p>
        </w:tc>
        <w:tc>
          <w:tcPr>
            <w:tcW w:type="dxa" w:w="5386"/>
            <w:vAlign w:val="center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Excellent Review % promedio</w:t>
            </w:r>
          </w:p>
        </w:tc>
      </w:tr>
      <w:tr>
        <w:tc>
          <w:tcPr>
            <w:tcW w:type="dxa" w:w="3969"/>
            <w:vAlign w:val="center"/>
            <w:shd w:val="clear" w:color="auto" w:fill="F5F5F5"/>
          </w:tcPr>
          <w:p>
            <w:r>
              <w:rPr>
                <w:sz w:val="18"/>
              </w:rPr>
              <w:t>1 (mono)</w:t>
            </w:r>
          </w:p>
        </w:tc>
        <w:tc>
          <w:tcPr>
            <w:tcW w:type="dxa" w:w="5386"/>
            <w:vAlign w:val="center"/>
            <w:shd w:val="clear" w:color="auto" w:fill="F5F5F5"/>
          </w:tcPr>
          <w:p>
            <w:r>
              <w:rPr>
                <w:sz w:val="18"/>
              </w:rPr>
              <w:t>37,3%</w:t>
            </w:r>
          </w:p>
        </w:tc>
      </w:tr>
      <w:tr>
        <w:tc>
          <w:tcPr>
            <w:tcW w:type="dxa" w:w="3969"/>
            <w:vAlign w:val="center"/>
            <w:shd w:val="clear" w:color="auto" w:fill="FFFFFF"/>
          </w:tcPr>
          <w:p>
            <w:r>
              <w:rPr>
                <w:sz w:val="18"/>
              </w:rPr>
              <w:t>2 (duo)</w:t>
            </w:r>
          </w:p>
        </w:tc>
        <w:tc>
          <w:tcPr>
            <w:tcW w:type="dxa" w:w="5386"/>
            <w:vAlign w:val="center"/>
            <w:shd w:val="clear" w:color="auto" w:fill="FFFFFF"/>
          </w:tcPr>
          <w:p>
            <w:r>
              <w:rPr>
                <w:sz w:val="18"/>
              </w:rPr>
              <w:t>41,0% ← máximo</w:t>
            </w:r>
          </w:p>
        </w:tc>
      </w:tr>
      <w:tr>
        <w:tc>
          <w:tcPr>
            <w:tcW w:type="dxa" w:w="3969"/>
            <w:vAlign w:val="center"/>
            <w:shd w:val="clear" w:color="auto" w:fill="F5F5F5"/>
          </w:tcPr>
          <w:p>
            <w:r>
              <w:rPr>
                <w:sz w:val="18"/>
              </w:rPr>
              <w:t>3 (trio)</w:t>
            </w:r>
          </w:p>
        </w:tc>
        <w:tc>
          <w:tcPr>
            <w:tcW w:type="dxa" w:w="5386"/>
            <w:vAlign w:val="center"/>
            <w:shd w:val="clear" w:color="auto" w:fill="F5F5F5"/>
          </w:tcPr>
          <w:p>
            <w:r>
              <w:rPr>
                <w:sz w:val="18"/>
              </w:rPr>
              <w:t>38,9%</w:t>
            </w:r>
          </w:p>
        </w:tc>
      </w:tr>
      <w:tr>
        <w:tc>
          <w:tcPr>
            <w:tcW w:type="dxa" w:w="3969"/>
            <w:vAlign w:val="center"/>
            <w:shd w:val="clear" w:color="auto" w:fill="FFFFFF"/>
          </w:tcPr>
          <w:p>
            <w:r>
              <w:rPr>
                <w:sz w:val="18"/>
              </w:rPr>
              <w:t>4 (cuádruple)</w:t>
            </w:r>
          </w:p>
        </w:tc>
        <w:tc>
          <w:tcPr>
            <w:tcW w:type="dxa" w:w="5386"/>
            <w:vAlign w:val="center"/>
            <w:shd w:val="clear" w:color="auto" w:fill="FFFFFF"/>
          </w:tcPr>
          <w:p>
            <w:r>
              <w:rPr>
                <w:sz w:val="18"/>
              </w:rPr>
              <w:t>35,8%</w:t>
            </w:r>
          </w:p>
        </w:tc>
      </w:tr>
      <w:tr>
        <w:tc>
          <w:tcPr>
            <w:tcW w:type="dxa" w:w="3969"/>
            <w:vAlign w:val="center"/>
            <w:shd w:val="clear" w:color="auto" w:fill="F5F5F5"/>
          </w:tcPr>
          <w:p>
            <w:r>
              <w:rPr>
                <w:sz w:val="18"/>
              </w:rPr>
              <w:t>5 (complejo)</w:t>
            </w:r>
          </w:p>
        </w:tc>
        <w:tc>
          <w:tcPr>
            <w:tcW w:type="dxa" w:w="5386"/>
            <w:vAlign w:val="center"/>
            <w:shd w:val="clear" w:color="auto" w:fill="F5F5F5"/>
          </w:tcPr>
          <w:p>
            <w:r>
              <w:rPr>
                <w:sz w:val="18"/>
              </w:rPr>
              <w:t>35,6%</w:t>
            </w:r>
          </w:p>
        </w:tc>
      </w:tr>
      <w:tr>
        <w:tc>
          <w:tcPr>
            <w:tcW w:type="dxa" w:w="3969"/>
            <w:vAlign w:val="center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5386"/>
            <w:vAlign w:val="center"/>
            <w:shd w:val="clear" w:color="auto" w:fill="FFFFFF"/>
          </w:tcPr>
          <w:p>
            <w:r>
              <w:rPr>
                <w:sz w:val="18"/>
              </w:rPr>
              <w:t>25,4%</w:t>
            </w:r>
          </w:p>
        </w:tc>
      </w:tr>
    </w:tbl>
    <w:p/>
    <w:p>
      <w:pPr>
        <w:pStyle w:val="Heading1"/>
      </w:pPr>
      <w:r>
        <w:rPr>
          <w:color w:val="0D47A1"/>
        </w:rPr>
        <w:t>5. Conclusiones</w:t>
      </w:r>
    </w:p>
    <w:p>
      <w:pPr>
        <w:spacing w:after="80"/>
      </w:pPr>
      <w:r>
        <w:rPr>
          <w:b/>
          <w:sz w:val="20"/>
        </w:rPr>
        <w:t xml:space="preserve">Concentración del mercado: </w:t>
      </w:r>
      <w:r>
        <w:rPr>
          <w:sz w:val="20"/>
        </w:rPr>
        <w:t>El 90,2% del dataset corresponde a formulaciones de 1 o 2 componentes. Los medicamentos de 5+ componentes son estadísticamente marginales (0,7%) y no deben dominar las conclusiones generales.</w:t>
      </w:r>
    </w:p>
    <w:p>
      <w:pPr>
        <w:spacing w:after="80"/>
      </w:pPr>
      <w:r>
        <w:rPr>
          <w:b/>
          <w:sz w:val="20"/>
        </w:rPr>
        <w:t xml:space="preserve">Dominio terapéutico: </w:t>
      </w:r>
      <w:r>
        <w:rPr>
          <w:sz w:val="20"/>
        </w:rPr>
        <w:t>Los hubs del dataset son Metformin, Glimepiride, Telmisartan y Amlodipine, reflejando que el mercado farmacéutico representado está centrado en diabetes tipo 2, hipertensión arterial y dolor crónico.</w:t>
      </w:r>
    </w:p>
    <w:p>
      <w:pPr>
        <w:spacing w:after="80"/>
      </w:pPr>
      <w:r>
        <w:rPr>
          <w:b/>
          <w:sz w:val="20"/>
        </w:rPr>
        <w:t xml:space="preserve">Estructura de red: </w:t>
      </w:r>
      <w:r>
        <w:rPr>
          <w:sz w:val="20"/>
        </w:rPr>
        <w:t>La red de co-ocurrencias forma tres clusters terapéuticos bien definidos y separados. No hay cruce de componentes entre áreas terapéuticas, lo cual valida la calidad y coherencia clínica del dataset.</w:t>
      </w:r>
    </w:p>
    <w:p>
      <w:pPr>
        <w:spacing w:after="80"/>
      </w:pPr>
      <w:r>
        <w:rPr>
          <w:b/>
          <w:sz w:val="20"/>
        </w:rPr>
        <w:t xml:space="preserve">Efectos secundarios: </w:t>
      </w:r>
      <w:r>
        <w:rPr>
          <w:sz w:val="20"/>
        </w:rPr>
        <w:t>La complejidad de la formulación no aumenta linealmente los efectos secundarios. Las formulaciones complejas están más especializadas y tienen perfiles de seguridad más controlados.</w:t>
      </w:r>
    </w:p>
    <w:p>
      <w:pPr>
        <w:spacing w:after="80"/>
      </w:pPr>
      <w:r>
        <w:rPr>
          <w:b/>
          <w:sz w:val="20"/>
        </w:rPr>
        <w:t xml:space="preserve">Valoración de usuario: </w:t>
      </w:r>
      <w:r>
        <w:rPr>
          <w:sz w:val="20"/>
        </w:rPr>
        <w:t>Los dúos representan el punto óptimo: mayor volumen, co-ocurrencias claras y mejor valoración promedio. La complejidad adicional (3+ componentes) no mejora la percepción del usuario.</w:t>
      </w:r>
    </w:p>
    <w:p>
      <w:pPr>
        <w:spacing w:after="80"/>
      </w:pPr>
      <w:r>
        <w:rPr>
          <w:b/>
          <w:sz w:val="20"/>
        </w:rPr>
        <w:t xml:space="preserve">Reproducibilidad: </w:t>
      </w:r>
      <w:r>
        <w:rPr>
          <w:sz w:val="20"/>
        </w:rPr>
        <w:t>El pipeline es completamente trazable: checksum MD5 del archivo fuente, reporte JSON de validación, y exportación automática de todos los DataFrames intermedios a data/processed/.</w:t>
      </w:r>
    </w:p>
    <w:p/>
    <w:p>
      <w:pPr>
        <w:pStyle w:val="Heading1"/>
      </w:pPr>
      <w:r>
        <w:rPr>
          <w:color w:val="0D47A1"/>
        </w:rPr>
        <w:t>6. Instrucciones de Ejecución</w:t>
      </w:r>
    </w:p>
    <w:p>
      <w:pPr>
        <w:spacing w:after="80"/>
      </w:pPr>
      <w:r>
        <w:rPr>
          <w:sz w:val="20"/>
        </w:rPr>
        <w:t>Para ejecutar el pipeline completo desde Python:</w:t>
      </w:r>
    </w:p>
    <w:p>
      <w:pPr>
        <w:spacing w:before="40" w:after="40"/>
        <w:ind w:left="567"/>
        <w:shd w:val="clear" w:color="auto" w:fill="F3F3F3"/>
      </w:pPr>
      <w:r>
        <w:rPr>
          <w:rFonts w:ascii="Courier New" w:hAnsi="Courier New"/>
          <w:color w:val="212121"/>
          <w:sz w:val="17"/>
        </w:rPr>
        <w:t>from src.load_data import load_medicine_data</w:t>
      </w:r>
    </w:p>
    <w:p>
      <w:pPr>
        <w:spacing w:before="40" w:after="40"/>
        <w:ind w:left="567"/>
        <w:shd w:val="clear" w:color="auto" w:fill="F3F3F3"/>
      </w:pPr>
      <w:r>
        <w:rPr>
          <w:rFonts w:ascii="Courier New" w:hAnsi="Courier New"/>
          <w:color w:val="212121"/>
          <w:sz w:val="17"/>
        </w:rPr>
        <w:t>from src.enfoque_01_combinaciones_componentes.cleaning import run_cleaning_pipeline</w:t>
      </w:r>
    </w:p>
    <w:p>
      <w:pPr>
        <w:spacing w:before="40" w:after="40"/>
        <w:ind w:left="567"/>
        <w:shd w:val="clear" w:color="auto" w:fill="F3F3F3"/>
      </w:pPr>
      <w:r>
        <w:rPr>
          <w:rFonts w:ascii="Courier New" w:hAnsi="Courier New"/>
          <w:color w:val="212121"/>
          <w:sz w:val="17"/>
        </w:rPr>
        <w:t>from src.enfoque_01_combinaciones_componentes.transform import run_transform_pipeline</w:t>
      </w:r>
    </w:p>
    <w:p>
      <w:pPr>
        <w:spacing w:before="40" w:after="40"/>
        <w:ind w:left="567"/>
        <w:shd w:val="clear" w:color="auto" w:fill="F3F3F3"/>
      </w:pPr>
      <w:r>
        <w:rPr>
          <w:rFonts w:ascii="Courier New" w:hAnsi="Courier New"/>
          <w:color w:val="212121"/>
          <w:sz w:val="17"/>
        </w:rPr>
        <w:t>from src.enfoque_01_combinaciones_componentes.analysis import run_analysis_pipeline</w:t>
      </w:r>
    </w:p>
    <w:p>
      <w:pPr>
        <w:spacing w:before="40" w:after="40"/>
        <w:ind w:left="567"/>
        <w:shd w:val="clear" w:color="auto" w:fill="F3F3F3"/>
      </w:pPr>
      <w:r>
        <w:rPr>
          <w:rFonts w:ascii="Courier New" w:hAnsi="Courier New"/>
          <w:color w:val="212121"/>
          <w:sz w:val="17"/>
        </w:rPr>
        <w:t>from src.enfoque_01_combinaciones_componentes.validation import run_validation_pipeline</w:t>
      </w:r>
    </w:p>
    <w:p/>
    <w:p>
      <w:pPr>
        <w:spacing w:before="40" w:after="40"/>
        <w:ind w:left="567"/>
        <w:shd w:val="clear" w:color="auto" w:fill="F3F3F3"/>
      </w:pPr>
      <w:r>
        <w:rPr>
          <w:rFonts w:ascii="Courier New" w:hAnsi="Courier New"/>
          <w:color w:val="212121"/>
          <w:sz w:val="17"/>
        </w:rPr>
        <w:t>df_raw = load_medicine_data()</w:t>
      </w:r>
    </w:p>
    <w:p>
      <w:pPr>
        <w:spacing w:before="40" w:after="40"/>
        <w:ind w:left="567"/>
        <w:shd w:val="clear" w:color="auto" w:fill="F3F3F3"/>
      </w:pPr>
      <w:r>
        <w:rPr>
          <w:rFonts w:ascii="Courier New" w:hAnsi="Courier New"/>
          <w:color w:val="212121"/>
          <w:sz w:val="17"/>
        </w:rPr>
        <w:t>df_clean = run_cleaning_pipeline(df_raw)</w:t>
      </w:r>
    </w:p>
    <w:p>
      <w:pPr>
        <w:spacing w:before="40" w:after="40"/>
        <w:ind w:left="567"/>
        <w:shd w:val="clear" w:color="auto" w:fill="F3F3F3"/>
      </w:pPr>
      <w:r>
        <w:rPr>
          <w:rFonts w:ascii="Courier New" w:hAnsi="Courier New"/>
          <w:color w:val="212121"/>
          <w:sz w:val="17"/>
        </w:rPr>
        <w:t>df_exploded, df_pairs, cooc_matrix = run_transform_pipeline(df_clean)</w:t>
      </w:r>
    </w:p>
    <w:p>
      <w:pPr>
        <w:spacing w:before="40" w:after="40"/>
        <w:ind w:left="567"/>
        <w:shd w:val="clear" w:color="auto" w:fill="F3F3F3"/>
      </w:pPr>
      <w:r>
        <w:rPr>
          <w:rFonts w:ascii="Courier New" w:hAnsi="Courier New"/>
          <w:color w:val="212121"/>
          <w:sz w:val="17"/>
        </w:rPr>
        <w:t>run_analysis_pipeline(df_clean, df_exploded, df_pairs, cooc_matrix)</w:t>
      </w:r>
    </w:p>
    <w:p>
      <w:pPr>
        <w:spacing w:before="40" w:after="40"/>
        <w:ind w:left="567"/>
        <w:shd w:val="clear" w:color="auto" w:fill="F3F3F3"/>
      </w:pPr>
      <w:r>
        <w:rPr>
          <w:rFonts w:ascii="Courier New" w:hAnsi="Courier New"/>
          <w:color w:val="212121"/>
          <w:sz w:val="17"/>
        </w:rPr>
        <w:t>run_validation_pipeline(df_raw, df_clean)</w:t>
      </w:r>
    </w:p>
    <w:p/>
    <w:p>
      <w:pPr>
        <w:spacing w:after="80"/>
      </w:pPr>
      <w:r>
        <w:rPr>
          <w:sz w:val="20"/>
        </w:rPr>
        <w:t>Alternativamente, ejecutar los notebooks en orden desde:</w:t>
      </w:r>
    </w:p>
    <w:p>
      <w:pPr>
        <w:pStyle w:val="ListBullet"/>
      </w:pPr>
      <w:r>
        <w:rPr>
          <w:sz w:val="20"/>
        </w:rPr>
        <w:t>notebooks/enfoque_01_combinaciones_componentes/01_eda_combinaciones_componentes.ipynb</w:t>
      </w:r>
    </w:p>
    <w:p>
      <w:pPr>
        <w:pStyle w:val="ListBullet"/>
      </w:pPr>
      <w:r>
        <w:rPr>
          <w:sz w:val="20"/>
        </w:rPr>
        <w:t>notebooks/enfoque_01_combinaciones_componentes/02_limpieza_transformacion_combinaciones_componentes.ipynb</w:t>
      </w:r>
    </w:p>
    <w:p>
      <w:pPr>
        <w:pStyle w:val="ListBullet"/>
      </w:pPr>
      <w:r>
        <w:rPr>
          <w:sz w:val="20"/>
        </w:rPr>
        <w:t>notebooks/enfoque_01_combinaciones_componentes/03_analisis_combinaciones_componentes.ipynb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