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72FAD" w14:textId="5726BC3A" w:rsidR="00AA4F95" w:rsidRPr="00AA4F95" w:rsidRDefault="00AA4F95" w:rsidP="00AA4F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es-DO"/>
        </w:rPr>
        <w:t>Supplementary Material S</w:t>
      </w:r>
      <w:r w:rsidR="00344BF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es-DO"/>
        </w:rPr>
        <w:t>6</w:t>
      </w:r>
    </w:p>
    <w:p w14:paraId="09DCD86B" w14:textId="727D2EBB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S</w:t>
      </w:r>
      <w:r w:rsidR="00344B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6</w:t>
      </w: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.1. Tumor Mutational Burden (TMB) Analysis — Complete Details</w:t>
      </w:r>
    </w:p>
    <w:p w14:paraId="28955FEC" w14:textId="0F7C3613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>The analysis included 372 TCGA-LIHC cases with somatic variant data available in the MAF file (Masked Somatic Mutation, open access; capture size: 35.8 Mb), including 1 additional sample with mutation data available but lacking complete expression data for score calculation. The median TMB was 2.18 mutations/Mb in the high-score group and 1.90 mutations/Mb in the low-score group. The between-group difference did not reach statistical significance (Wilcoxon test: p = 0.057), although the trend is consistent with greater genomic instability in high-disulfidptosis tumors. The lack of significance may be attributed to the high inter-individual variability of TMB in HCC and to subgroup sample sizes.</w:t>
      </w:r>
    </w:p>
    <w:p w14:paraId="058DA898" w14:textId="2FE30AA2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S</w:t>
      </w:r>
      <w:r w:rsidR="00344B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6</w:t>
      </w:r>
      <w:r w:rsidRPr="00AA4F9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DO"/>
        </w:rPr>
        <w:t>.2. Clinical Nomogram Calibration Details</w:t>
      </w:r>
    </w:p>
    <w:p w14:paraId="26898A1D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The nomogram was constructed using Cox regression with the </w:t>
      </w:r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rms</w:t>
      </w: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 library; AFP could not be incorporated into the model due to the absence of data in TCGA-LIHC. The nomogram enables estimation of 1-year (range: 0.05–0.50) and 3-year (range: 0.10–0.80) mortality probability from the total score (0–160 points). Baseline survivals from the model were S₀(1-year) = 0.846 and S₀(3-year) = 0.668.</w:t>
      </w:r>
    </w:p>
    <w:p w14:paraId="05844B89" w14:textId="77777777" w:rsidR="00AA4F95" w:rsidRPr="00AA4F95" w:rsidRDefault="00AA4F95" w:rsidP="00AA4F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</w:pP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 xml:space="preserve">At 1 year, the two predicted risk groups showed observed survivals of approximately 0.73 and 0.92, respectively, with the calibration curve closely following the reference diagonal and exhibiting mild overestimation at the higher-risk end. At 3 years, calibration showed a similar pattern, with observed survivals of approximately 0.52 and 0.76 for the low- and high-risk groups, respectively, and slight risk overestimation in the highest total-score group. Discriminative performance was assessed using Harrell's C-statistic computed with </w:t>
      </w:r>
      <w:proofErr w:type="spellStart"/>
      <w:proofErr w:type="gramStart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Hmisc</w:t>
      </w:r>
      <w:proofErr w:type="spell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::</w:t>
      </w:r>
      <w:proofErr w:type="spellStart"/>
      <w:proofErr w:type="gram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rcorr.cens</w:t>
      </w:r>
      <w:proofErr w:type="spellEnd"/>
      <w:r w:rsidRPr="00AA4F95">
        <w:rPr>
          <w:rFonts w:ascii="Courier New" w:eastAsia="Times New Roman" w:hAnsi="Courier New" w:cs="Courier New"/>
          <w:sz w:val="16"/>
          <w:szCs w:val="16"/>
          <w:lang w:val="en-US" w:eastAsia="es-DO"/>
        </w:rPr>
        <w:t>()</w:t>
      </w:r>
      <w:r w:rsidRPr="00AA4F95">
        <w:rPr>
          <w:rFonts w:ascii="Times New Roman" w:eastAsia="Times New Roman" w:hAnsi="Times New Roman" w:cs="Times New Roman"/>
          <w:sz w:val="20"/>
          <w:szCs w:val="20"/>
          <w:lang w:val="en-US" w:eastAsia="es-DO"/>
        </w:rPr>
        <w:t>.</w:t>
      </w:r>
    </w:p>
    <w:p w14:paraId="1A41255B" w14:textId="77777777" w:rsidR="00ED4016" w:rsidRPr="00AA4F95" w:rsidRDefault="00ED4016" w:rsidP="00AA4F95">
      <w:pPr>
        <w:spacing w:line="360" w:lineRule="auto"/>
        <w:jc w:val="both"/>
        <w:rPr>
          <w:sz w:val="18"/>
          <w:szCs w:val="18"/>
          <w:lang w:val="en-US"/>
        </w:rPr>
      </w:pPr>
    </w:p>
    <w:sectPr w:rsidR="00ED4016" w:rsidRPr="00AA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1B"/>
    <w:rsid w:val="00070FB7"/>
    <w:rsid w:val="00344BF1"/>
    <w:rsid w:val="00422E1B"/>
    <w:rsid w:val="00481B60"/>
    <w:rsid w:val="00760436"/>
    <w:rsid w:val="008D3B59"/>
    <w:rsid w:val="00AA4F95"/>
    <w:rsid w:val="00ED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4D657"/>
  <w15:chartTrackingRefBased/>
  <w15:docId w15:val="{797A0870-785C-484E-9128-5EE45202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A4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F95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AA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AA4F9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4F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5</cp:revision>
  <dcterms:created xsi:type="dcterms:W3CDTF">2026-06-21T01:17:00Z</dcterms:created>
  <dcterms:modified xsi:type="dcterms:W3CDTF">2026-08-02T20:20:00Z</dcterms:modified>
</cp:coreProperties>
</file>