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72FAD" w14:textId="77777777" w:rsidR="00AA4F95" w:rsidRPr="00AA4F95" w:rsidRDefault="00AA4F95" w:rsidP="00AA4F9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es-DO"/>
        </w:rPr>
      </w:pPr>
      <w:r w:rsidRPr="00AA4F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es-DO"/>
        </w:rPr>
        <w:t>Supplementary Material S5</w:t>
      </w:r>
    </w:p>
    <w:p w14:paraId="09DCD86B" w14:textId="77777777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DO"/>
        </w:rPr>
        <w:t>S5.1. Tumor Mutational Burden (TMB) Analysis — Complete Details</w:t>
      </w:r>
    </w:p>
    <w:p w14:paraId="28955FEC" w14:textId="0F7C3613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>The analysis included 372 TCGA-LIHC cases with somatic variant data available in the MAF file (Masked Somatic Mutation, open access; capture size: 35.8 Mb), including 1 additional sample with mutation data available but lacking complete expression data for score calculation. The median TMB was 2.18 mutations/Mb in the high-score group and 1.90 mutations/Mb in the low-score group. The between-group difference did not reach statistical significance (Wilcoxon test: p = 0.057), although the trend is consistent with greater genomic instability in high-disulfidptosis tumors. The lack of significance may be attributed to the high inter-individual variability of TMB in HCC and to subgroup sample sizes.</w:t>
      </w:r>
    </w:p>
    <w:p w14:paraId="058DA898" w14:textId="77777777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DO"/>
        </w:rPr>
        <w:t>S5.2. Clinical Nomogram Calibration Details</w:t>
      </w:r>
    </w:p>
    <w:p w14:paraId="26898A1D" w14:textId="77777777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 xml:space="preserve">The nomogram was constructed using Cox regression with the </w:t>
      </w:r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rms</w:t>
      </w: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 xml:space="preserve"> library; AFP could not be incorporated into the model due to the absence of data in TCGA-LIHC. The nomogram enables estimation of 1-year (range: 0.05–0.50) and 3-year (range: 0.10–0.80) mortality probability from the total score (0–160 points). Baseline survivals from the model were S₀(1-year) = 0.846 and S₀(3-year) = 0.668.</w:t>
      </w:r>
    </w:p>
    <w:p w14:paraId="05844B89" w14:textId="77777777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 xml:space="preserve">At 1 year, the two predicted risk groups showed observed survivals of approximately 0.73 and 0.92, respectively, with the calibration curve closely following the reference diagonal and exhibiting mild overestimation at the higher-risk end. At 3 years, calibration showed a similar pattern, with observed survivals of approximately 0.52 and 0.76 for the low- and high-risk groups, respectively, and slight risk overestimation in the highest total-score group. Discriminative performance was assessed using Harrell's C-statistic computed with </w:t>
      </w:r>
      <w:proofErr w:type="spellStart"/>
      <w:proofErr w:type="gramStart"/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Hmisc</w:t>
      </w:r>
      <w:proofErr w:type="spellEnd"/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::</w:t>
      </w:r>
      <w:proofErr w:type="spellStart"/>
      <w:proofErr w:type="gramEnd"/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rcorr.cens</w:t>
      </w:r>
      <w:proofErr w:type="spellEnd"/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()</w:t>
      </w: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>.</w:t>
      </w:r>
    </w:p>
    <w:p w14:paraId="1A41255B" w14:textId="77777777" w:rsidR="00ED4016" w:rsidRPr="00AA4F95" w:rsidRDefault="00ED4016" w:rsidP="00AA4F95">
      <w:pPr>
        <w:spacing w:line="360" w:lineRule="auto"/>
        <w:jc w:val="both"/>
        <w:rPr>
          <w:sz w:val="18"/>
          <w:szCs w:val="18"/>
          <w:lang w:val="en-US"/>
        </w:rPr>
      </w:pPr>
    </w:p>
    <w:sectPr w:rsidR="00ED4016" w:rsidRPr="00AA4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1B"/>
    <w:rsid w:val="00070FB7"/>
    <w:rsid w:val="00422E1B"/>
    <w:rsid w:val="008D3B59"/>
    <w:rsid w:val="00AA4F95"/>
    <w:rsid w:val="00ED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D4D657"/>
  <w15:chartTrackingRefBased/>
  <w15:docId w15:val="{797A0870-785C-484E-9128-5EE45202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A4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F95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AA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AA4F9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4F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6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2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Céspedes</dc:creator>
  <cp:keywords/>
  <dc:description/>
  <cp:lastModifiedBy>David Céspedes</cp:lastModifiedBy>
  <cp:revision>2</cp:revision>
  <dcterms:created xsi:type="dcterms:W3CDTF">2026-06-21T01:17:00Z</dcterms:created>
  <dcterms:modified xsi:type="dcterms:W3CDTF">2026-06-21T01:18:00Z</dcterms:modified>
</cp:coreProperties>
</file>