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Estudio de Prefactibilidad</w:t>
      </w:r>
    </w:p>
    <w:p>
      <w:pPr>
        <w:pStyle w:val="Heading1"/>
      </w:pPr>
      <w:r>
        <w:t>Proyecto "Diamante de Béisbol de Medellín"</w:t>
      </w:r>
    </w:p>
    <w:p>
      <w:pPr>
        <w:pStyle w:val="Heading2"/>
      </w:pPr>
      <w:r>
        <w:t>Construcción y Operación de Infraestructura de Estacionamiento Público Subterráneo y Servicios Complementarios — Complejo Deportivo Atanasio Girardot</w:t>
      </w:r>
    </w:p>
    <w:p>
      <w:pPr>
        <w:pStyle w:val="Heading2"/>
      </w:pPr>
      <w:r>
        <w:t>Asociación Público Privada de Iniciativa Privada — Sin Recursos Públicos</w:t>
      </w:r>
    </w:p>
    <w:p>
      <w:pPr>
        <w:ind w:left="567"/>
      </w:pPr>
      <w:r>
        <w:rPr>
          <w:i/>
          <w:color w:val="505050"/>
          <w:sz w:val="20"/>
        </w:rPr>
        <w:t>Marco normativo: Ley 1508 de 2012, Decreto 1082 de 2015 (modificado por Decreto 438 de 2021), Artículo 2.2.2.1.5.2 (Etapa de Prefactibilidad)</w:t>
      </w:r>
    </w:p>
    <w:p>
      <w:pPr>
        <w:ind w:left="567"/>
      </w:pPr>
      <w:r>
        <w:rPr>
          <w:i/>
          <w:color w:val="505050"/>
          <w:sz w:val="20"/>
        </w:rPr>
      </w:r>
    </w:p>
    <w:p>
      <w:pPr>
        <w:ind w:left="567"/>
      </w:pPr>
      <w:r>
        <w:rPr>
          <w:i/>
          <w:color w:val="505050"/>
          <w:sz w:val="20"/>
        </w:rPr>
        <w:t>Fecha de elaboración: Marzo de 2026</w:t>
      </w:r>
    </w:p>
    <w:p>
      <w:pPr>
        <w:pStyle w:val="Heading1"/>
      </w:pPr>
      <w:r>
        <w:t>TABLA DE CONTENIDOS</w:t>
      </w:r>
    </w:p>
    <w:p>
      <w:pPr>
        <w:pStyle w:val="ListNumber"/>
      </w:pPr>
      <w:r>
        <w:t>Información General del Proyecto y Originador</w:t>
      </w:r>
    </w:p>
    <w:p>
      <w:pPr>
        <w:pStyle w:val="ListNumber"/>
      </w:pPr>
      <w:r>
        <w:t>Diagnóstico de la Situación Actual</w:t>
      </w:r>
    </w:p>
    <w:p>
      <w:pPr>
        <w:pStyle w:val="ListNumber"/>
      </w:pPr>
      <w:r>
        <w:t>Alcance del Proyecto</w:t>
      </w:r>
    </w:p>
    <w:p>
      <w:pPr>
        <w:pStyle w:val="ListNumber"/>
      </w:pPr>
      <w:r>
        <w:t>Estudio de Demanda</w:t>
      </w:r>
    </w:p>
    <w:p>
      <w:pPr>
        <w:pStyle w:val="ListNumber"/>
      </w:pPr>
      <w:r>
        <w:t>Estudio de Oferta</w:t>
      </w:r>
    </w:p>
    <w:p>
      <w:pPr>
        <w:pStyle w:val="ListNumber"/>
      </w:pPr>
      <w:r>
        <w:t>Análisis Financiero Preliminar</w:t>
      </w:r>
    </w:p>
    <w:p>
      <w:pPr>
        <w:pStyle w:val="ListNumber"/>
      </w:pPr>
      <w:r>
        <w:t>Análisis de Riesgos</w:t>
      </w:r>
    </w:p>
    <w:p>
      <w:pPr>
        <w:pStyle w:val="ListNumber"/>
      </w:pPr>
      <w:r>
        <w:t>Marco Normativo y Regulatorio</w:t>
      </w:r>
    </w:p>
    <w:p>
      <w:pPr>
        <w:pStyle w:val="ListNumber"/>
      </w:pPr>
      <w:r>
        <w:t>Impacto Social y Ambiental</w:t>
      </w:r>
    </w:p>
    <w:p>
      <w:pPr>
        <w:pStyle w:val="ListNumber"/>
      </w:pPr>
      <w:r>
        <w:t>Conclusiones y Recomendaciones</w:t>
      </w:r>
    </w:p>
    <w:p>
      <w:pPr>
        <w:pStyle w:val="ListNumber"/>
      </w:pPr>
      <w:r>
        <w:t>Anexos</w:t>
      </w:r>
    </w:p>
    <w:p>
      <w:pPr>
        <w:pStyle w:val="Heading1"/>
      </w:pPr>
      <w:r>
        <w:t>1. INFORMACIÓN GENERAL DEL PROYECTO Y ORIGINADOR</w:t>
      </w:r>
    </w:p>
    <w:p>
      <w:pPr>
        <w:pStyle w:val="Heading2"/>
      </w:pPr>
      <w:r>
        <w:t>1.1 Nombre del Proyecto</w:t>
      </w:r>
    </w:p>
    <w:p>
      <w:r/>
      <w:r>
        <w:rPr>
          <w:b/>
        </w:rPr>
        <w:t>"Diamante de Béisbol de Medellín"</w:t>
      </w:r>
      <w:r>
        <w:t xml:space="preserve"> — Construcción, operación, mantenimiento y reversión de infraestructura de estacionamiento público subterráneo y servicios complementarios de comercio, en el sector del Complejo Deportivo Atanasio Girardot, municipio de Medellín, departamento de Antioquia, bajo el esquema de Asociación Público Privada de Iniciativa Privada sin desembolso de recursos públicos, en los términos de la Ley 1508 de 2012 y el Decreto 1082 de 2015.</w:t>
      </w:r>
    </w:p>
    <w:p>
      <w:pPr>
        <w:pStyle w:val="Heading2"/>
      </w:pPr>
      <w:r>
        <w:t>1.2 Originador de la Propuesta</w:t>
      </w:r>
    </w:p>
    <w:p>
      <w:r>
        <w:t>[Pendiente: Datos legales de la Unión Temporal / Sociedad de Propósito Específico]</w:t>
      </w:r>
    </w:p>
    <w:tbl>
      <w:tblPr>
        <w:tblStyle w:val="LightGrid-Accent1"/>
        <w:tblW w:type="auto" w:w="0"/>
        <w:jc w:val="center"/>
        <w:tblLook w:firstColumn="1" w:firstRow="1" w:lastColumn="0" w:lastRow="0" w:noHBand="0" w:noVBand="1" w:val="04A0"/>
      </w:tblPr>
      <w:tblGrid>
        <w:gridCol w:w="4561"/>
        <w:gridCol w:w="4561"/>
      </w:tblGrid>
      <w:tr>
        <w:tc>
          <w:tcPr>
            <w:tcW w:type="dxa" w:w="4561"/>
          </w:tcPr>
          <w:p>
            <w:r>
              <w:rPr>
                <w:rFonts w:ascii="Calibri" w:hAnsi="Calibri"/>
                <w:b/>
                <w:sz w:val="18"/>
              </w:rPr>
              <w:t>Campo</w:t>
            </w:r>
          </w:p>
        </w:tc>
        <w:tc>
          <w:tcPr>
            <w:tcW w:type="dxa" w:w="4561"/>
          </w:tcPr>
          <w:p>
            <w:r>
              <w:rPr>
                <w:rFonts w:ascii="Calibri" w:hAnsi="Calibri"/>
                <w:b/>
                <w:sz w:val="18"/>
              </w:rPr>
              <w:t>Dato</w:t>
            </w:r>
          </w:p>
        </w:tc>
      </w:tr>
      <w:tr>
        <w:tc>
          <w:tcPr>
            <w:tcW w:type="dxa" w:w="4561"/>
          </w:tcPr>
          <w:p>
            <w:r>
              <w:rPr>
                <w:rFonts w:ascii="Calibri" w:hAnsi="Calibri"/>
                <w:sz w:val="18"/>
              </w:rPr>
              <w:t>Nombre o razón social</w:t>
            </w:r>
          </w:p>
        </w:tc>
        <w:tc>
          <w:tcPr>
            <w:tcW w:type="dxa" w:w="4561"/>
          </w:tcPr>
          <w:p>
            <w:r>
              <w:rPr>
                <w:rFonts w:ascii="Calibri" w:hAnsi="Calibri"/>
                <w:sz w:val="18"/>
              </w:rPr>
              <w:t>_____________</w:t>
            </w:r>
          </w:p>
        </w:tc>
      </w:tr>
      <w:tr>
        <w:tc>
          <w:tcPr>
            <w:tcW w:type="dxa" w:w="4561"/>
          </w:tcPr>
          <w:p>
            <w:r>
              <w:rPr>
                <w:rFonts w:ascii="Calibri" w:hAnsi="Calibri"/>
                <w:sz w:val="18"/>
              </w:rPr>
              <w:t>NIT</w:t>
            </w:r>
          </w:p>
        </w:tc>
        <w:tc>
          <w:tcPr>
            <w:tcW w:type="dxa" w:w="4561"/>
          </w:tcPr>
          <w:p>
            <w:r>
              <w:rPr>
                <w:rFonts w:ascii="Calibri" w:hAnsi="Calibri"/>
                <w:sz w:val="18"/>
              </w:rPr>
              <w:t>_____________</w:t>
            </w:r>
          </w:p>
        </w:tc>
      </w:tr>
      <w:tr>
        <w:tc>
          <w:tcPr>
            <w:tcW w:type="dxa" w:w="4561"/>
          </w:tcPr>
          <w:p>
            <w:r>
              <w:rPr>
                <w:rFonts w:ascii="Calibri" w:hAnsi="Calibri"/>
                <w:sz w:val="18"/>
              </w:rPr>
              <w:t>Representante legal</w:t>
            </w:r>
          </w:p>
        </w:tc>
        <w:tc>
          <w:tcPr>
            <w:tcW w:type="dxa" w:w="4561"/>
          </w:tcPr>
          <w:p>
            <w:r>
              <w:rPr>
                <w:rFonts w:ascii="Calibri" w:hAnsi="Calibri"/>
                <w:sz w:val="18"/>
              </w:rPr>
              <w:t>_____________</w:t>
            </w:r>
          </w:p>
        </w:tc>
      </w:tr>
      <w:tr>
        <w:tc>
          <w:tcPr>
            <w:tcW w:type="dxa" w:w="4561"/>
          </w:tcPr>
          <w:p>
            <w:r>
              <w:rPr>
                <w:rFonts w:ascii="Calibri" w:hAnsi="Calibri"/>
                <w:sz w:val="18"/>
              </w:rPr>
              <w:t>Cédula de ciudadanía</w:t>
            </w:r>
          </w:p>
        </w:tc>
        <w:tc>
          <w:tcPr>
            <w:tcW w:type="dxa" w:w="4561"/>
          </w:tcPr>
          <w:p>
            <w:r>
              <w:rPr>
                <w:rFonts w:ascii="Calibri" w:hAnsi="Calibri"/>
                <w:sz w:val="18"/>
              </w:rPr>
              <w:t>_____________</w:t>
            </w:r>
          </w:p>
        </w:tc>
      </w:tr>
      <w:tr>
        <w:tc>
          <w:tcPr>
            <w:tcW w:type="dxa" w:w="4561"/>
          </w:tcPr>
          <w:p>
            <w:r>
              <w:rPr>
                <w:rFonts w:ascii="Calibri" w:hAnsi="Calibri"/>
                <w:sz w:val="18"/>
              </w:rPr>
              <w:t>Domicilio</w:t>
            </w:r>
          </w:p>
        </w:tc>
        <w:tc>
          <w:tcPr>
            <w:tcW w:type="dxa" w:w="4561"/>
          </w:tcPr>
          <w:p>
            <w:r>
              <w:rPr>
                <w:rFonts w:ascii="Calibri" w:hAnsi="Calibri"/>
                <w:sz w:val="18"/>
              </w:rPr>
              <w:t>Medellín, Antioquia</w:t>
            </w:r>
          </w:p>
        </w:tc>
      </w:tr>
      <w:tr>
        <w:tc>
          <w:tcPr>
            <w:tcW w:type="dxa" w:w="4561"/>
          </w:tcPr>
          <w:p>
            <w:r>
              <w:rPr>
                <w:rFonts w:ascii="Calibri" w:hAnsi="Calibri"/>
                <w:sz w:val="18"/>
              </w:rPr>
              <w:t>Teléfono</w:t>
            </w:r>
          </w:p>
        </w:tc>
        <w:tc>
          <w:tcPr>
            <w:tcW w:type="dxa" w:w="4561"/>
          </w:tcPr>
          <w:p>
            <w:r>
              <w:rPr>
                <w:rFonts w:ascii="Calibri" w:hAnsi="Calibri"/>
                <w:sz w:val="18"/>
              </w:rPr>
              <w:t>_____________</w:t>
            </w:r>
          </w:p>
        </w:tc>
      </w:tr>
      <w:tr>
        <w:tc>
          <w:tcPr>
            <w:tcW w:type="dxa" w:w="4561"/>
          </w:tcPr>
          <w:p>
            <w:r>
              <w:rPr>
                <w:rFonts w:ascii="Calibri" w:hAnsi="Calibri"/>
                <w:sz w:val="18"/>
              </w:rPr>
              <w:t>Correo electrónico</w:t>
            </w:r>
          </w:p>
        </w:tc>
        <w:tc>
          <w:tcPr>
            <w:tcW w:type="dxa" w:w="4561"/>
          </w:tcPr>
          <w:p>
            <w:r>
              <w:rPr>
                <w:rFonts w:ascii="Calibri" w:hAnsi="Calibri"/>
                <w:sz w:val="18"/>
              </w:rPr>
              <w:t>_____________</w:t>
            </w:r>
          </w:p>
        </w:tc>
      </w:tr>
    </w:tbl>
    <w:p/>
    <w:p>
      <w:r>
        <w:t>De conformidad con lo establecido en el numeral 1.3 del artículo 2.2.2.1.5.2 del Decreto 1082 de 2015 (modificado por el Decreto 438 de 2021), se identifica a la persona jurídica señalada como líder de la iniciativa privada, quien ostenta la mayor participación en el instrumento asociativo conformado para la presentación de esta propuesta.</w:t>
      </w:r>
    </w:p>
    <w:p>
      <w:r>
        <w:t>Corresponderá al líder de la iniciativa privada dar cumplimiento a los requisitos exigibles en materia de capacidad financiera o de financiación requerida. Para tal efecto, el originador del proyecto podrá vincular al instrumento asociativo aquellas personas naturales o jurídicas que le permitan dar cumplimiento a las exigencias establecidas, siempre y cuando dicho líder conserve la mayor participación en el instrumento asociativo hasta la firma del contrato.</w:t>
      </w:r>
    </w:p>
    <w:p>
      <w:r/>
      <w:r>
        <w:rPr>
          <w:b/>
        </w:rPr>
        <w:t>Fundamentación jurídica:</w:t>
      </w:r>
      <w:r>
        <w:t xml:space="preserve"> Decreto 1082 de 2015, Artículo 2.2.2.1.5.2, Numerales 1.1 a 1.4.</w:t>
      </w:r>
    </w:p>
    <w:p>
      <w:pPr>
        <w:pStyle w:val="Heading2"/>
      </w:pPr>
      <w:r>
        <w:t>1.3 Localización Geográfica</w:t>
      </w:r>
    </w:p>
    <w:p>
      <w:r>
        <w:t>El proyecto se ubica en el corazón del Complejo Deportivo Atanasio Girardot, el recinto deportivo más grande e importante de la ciudad de Medellín y del departamento de Antioquia. Su localización estratégica en la Comuna 11 (Laureles-Estadio), zona de estrato socioeconómico 5 con alta dinámica comercial, gastronómica y deportiva, le confiere una posición privilegiada en términos de accesibilidad y demanda potencial.</w:t>
      </w:r>
    </w:p>
    <w:tbl>
      <w:tblPr>
        <w:tblStyle w:val="LightGrid-Accent1"/>
        <w:tblW w:type="auto" w:w="0"/>
        <w:jc w:val="center"/>
        <w:tblLook w:firstColumn="1" w:firstRow="1" w:lastColumn="0" w:lastRow="0" w:noHBand="0" w:noVBand="1" w:val="04A0"/>
      </w:tblPr>
      <w:tblGrid>
        <w:gridCol w:w="4561"/>
        <w:gridCol w:w="4561"/>
      </w:tblGrid>
      <w:tr>
        <w:tc>
          <w:tcPr>
            <w:tcW w:type="dxa" w:w="4561"/>
          </w:tcPr>
          <w:p>
            <w:r>
              <w:rPr>
                <w:rFonts w:ascii="Calibri" w:hAnsi="Calibri"/>
                <w:b/>
                <w:sz w:val="18"/>
              </w:rPr>
              <w:t>Parámetro</w:t>
            </w:r>
          </w:p>
        </w:tc>
        <w:tc>
          <w:tcPr>
            <w:tcW w:type="dxa" w:w="4561"/>
          </w:tcPr>
          <w:p>
            <w:r>
              <w:rPr>
                <w:rFonts w:ascii="Calibri" w:hAnsi="Calibri"/>
                <w:b/>
                <w:sz w:val="18"/>
              </w:rPr>
              <w:t>Valor</w:t>
            </w:r>
          </w:p>
        </w:tc>
      </w:tr>
      <w:tr>
        <w:tc>
          <w:tcPr>
            <w:tcW w:type="dxa" w:w="4561"/>
          </w:tcPr>
          <w:p>
            <w:r>
              <w:rPr>
                <w:rFonts w:ascii="Calibri" w:hAnsi="Calibri"/>
                <w:sz w:val="18"/>
              </w:rPr>
              <w:t>Municipio</w:t>
            </w:r>
          </w:p>
        </w:tc>
        <w:tc>
          <w:tcPr>
            <w:tcW w:type="dxa" w:w="4561"/>
          </w:tcPr>
          <w:p>
            <w:r>
              <w:rPr>
                <w:rFonts w:ascii="Calibri" w:hAnsi="Calibri"/>
                <w:sz w:val="18"/>
              </w:rPr>
              <w:t>Medellín, Antioquia</w:t>
            </w:r>
          </w:p>
        </w:tc>
      </w:tr>
      <w:tr>
        <w:tc>
          <w:tcPr>
            <w:tcW w:type="dxa" w:w="4561"/>
          </w:tcPr>
          <w:p>
            <w:r>
              <w:rPr>
                <w:rFonts w:ascii="Calibri" w:hAnsi="Calibri"/>
                <w:sz w:val="18"/>
              </w:rPr>
              <w:t>Comuna</w:t>
            </w:r>
          </w:p>
        </w:tc>
        <w:tc>
          <w:tcPr>
            <w:tcW w:type="dxa" w:w="4561"/>
          </w:tcPr>
          <w:p>
            <w:r>
              <w:rPr>
                <w:rFonts w:ascii="Calibri" w:hAnsi="Calibri"/>
                <w:sz w:val="18"/>
              </w:rPr>
              <w:t>11 — Laureles-Estadio</w:t>
            </w:r>
          </w:p>
        </w:tc>
      </w:tr>
      <w:tr>
        <w:tc>
          <w:tcPr>
            <w:tcW w:type="dxa" w:w="4561"/>
          </w:tcPr>
          <w:p>
            <w:r>
              <w:rPr>
                <w:rFonts w:ascii="Calibri" w:hAnsi="Calibri"/>
                <w:sz w:val="18"/>
              </w:rPr>
              <w:t>Barrio</w:t>
            </w:r>
          </w:p>
        </w:tc>
        <w:tc>
          <w:tcPr>
            <w:tcW w:type="dxa" w:w="4561"/>
          </w:tcPr>
          <w:p>
            <w:r>
              <w:rPr>
                <w:rFonts w:ascii="Calibri" w:hAnsi="Calibri"/>
                <w:sz w:val="18"/>
              </w:rPr>
              <w:t>Estadio</w:t>
            </w:r>
          </w:p>
        </w:tc>
      </w:tr>
      <w:tr>
        <w:tc>
          <w:tcPr>
            <w:tcW w:type="dxa" w:w="4561"/>
          </w:tcPr>
          <w:p>
            <w:r>
              <w:rPr>
                <w:rFonts w:ascii="Calibri" w:hAnsi="Calibri"/>
                <w:sz w:val="18"/>
              </w:rPr>
              <w:t>Coordenadas geográficas</w:t>
            </w:r>
          </w:p>
        </w:tc>
        <w:tc>
          <w:tcPr>
            <w:tcW w:type="dxa" w:w="4561"/>
          </w:tcPr>
          <w:p>
            <w:r>
              <w:rPr>
                <w:rFonts w:ascii="Calibri" w:hAnsi="Calibri"/>
                <w:sz w:val="18"/>
              </w:rPr>
              <w:t>Lat 6°15'23.4"N, Lng 75°35'25.8"O</w:t>
            </w:r>
          </w:p>
        </w:tc>
      </w:tr>
      <w:tr>
        <w:tc>
          <w:tcPr>
            <w:tcW w:type="dxa" w:w="4561"/>
          </w:tcPr>
          <w:p>
            <w:r>
              <w:rPr>
                <w:rFonts w:ascii="Calibri" w:hAnsi="Calibri"/>
                <w:sz w:val="18"/>
              </w:rPr>
              <w:t>Coordenadas decimales</w:t>
            </w:r>
          </w:p>
        </w:tc>
        <w:tc>
          <w:tcPr>
            <w:tcW w:type="dxa" w:w="4561"/>
          </w:tcPr>
          <w:p>
            <w:r>
              <w:rPr>
                <w:rFonts w:ascii="Calibri" w:hAnsi="Calibri"/>
                <w:sz w:val="18"/>
              </w:rPr>
              <w:t>6.2565° N, -75.5905° O</w:t>
            </w:r>
          </w:p>
        </w:tc>
      </w:tr>
      <w:tr>
        <w:tc>
          <w:tcPr>
            <w:tcW w:type="dxa" w:w="4561"/>
          </w:tcPr>
          <w:p>
            <w:r>
              <w:rPr>
                <w:rFonts w:ascii="Calibri" w:hAnsi="Calibri"/>
                <w:sz w:val="18"/>
              </w:rPr>
              <w:t>Altitud</w:t>
            </w:r>
          </w:p>
        </w:tc>
        <w:tc>
          <w:tcPr>
            <w:tcW w:type="dxa" w:w="4561"/>
          </w:tcPr>
          <w:p>
            <w:r>
              <w:rPr>
                <w:rFonts w:ascii="Calibri" w:hAnsi="Calibri"/>
                <w:sz w:val="18"/>
              </w:rPr>
              <w:t>~1,495 m.s.n.m.</w:t>
            </w:r>
          </w:p>
        </w:tc>
      </w:tr>
      <w:tr>
        <w:tc>
          <w:tcPr>
            <w:tcW w:type="dxa" w:w="4561"/>
          </w:tcPr>
          <w:p>
            <w:r>
              <w:rPr>
                <w:rFonts w:ascii="Calibri" w:hAnsi="Calibri"/>
                <w:sz w:val="18"/>
              </w:rPr>
              <w:t>Referencia vial</w:t>
            </w:r>
          </w:p>
        </w:tc>
        <w:tc>
          <w:tcPr>
            <w:tcW w:type="dxa" w:w="4561"/>
          </w:tcPr>
          <w:p>
            <w:r>
              <w:rPr>
                <w:rFonts w:ascii="Calibri" w:hAnsi="Calibri"/>
                <w:sz w:val="18"/>
              </w:rPr>
              <w:t>Carrera 70 × Calle 48 (Avenida San Juan)</w:t>
            </w:r>
          </w:p>
        </w:tc>
      </w:tr>
      <w:tr>
        <w:tc>
          <w:tcPr>
            <w:tcW w:type="dxa" w:w="4561"/>
          </w:tcPr>
          <w:p>
            <w:r>
              <w:rPr>
                <w:rFonts w:ascii="Calibri" w:hAnsi="Calibri"/>
                <w:sz w:val="18"/>
              </w:rPr>
              <w:t>Área de influencia directa</w:t>
            </w:r>
          </w:p>
        </w:tc>
        <w:tc>
          <w:tcPr>
            <w:tcW w:type="dxa" w:w="4561"/>
          </w:tcPr>
          <w:p>
            <w:r>
              <w:rPr>
                <w:rFonts w:ascii="Calibri" w:hAnsi="Calibri"/>
                <w:sz w:val="18"/>
              </w:rPr>
              <w:t>Radio de 1.5 km (~7.07 km²)</w:t>
            </w:r>
          </w:p>
        </w:tc>
      </w:tr>
      <w:tr>
        <w:tc>
          <w:tcPr>
            <w:tcW w:type="dxa" w:w="4561"/>
          </w:tcPr>
          <w:p>
            <w:r>
              <w:rPr>
                <w:rFonts w:ascii="Calibri" w:hAnsi="Calibri"/>
                <w:sz w:val="18"/>
              </w:rPr>
              <w:t>Polígono de estudio</w:t>
            </w:r>
          </w:p>
        </w:tc>
        <w:tc>
          <w:tcPr>
            <w:tcW w:type="dxa" w:w="4561"/>
          </w:tcPr>
          <w:p>
            <w:r>
              <w:rPr>
                <w:rFonts w:ascii="Calibri" w:hAnsi="Calibri"/>
                <w:sz w:val="18"/>
              </w:rPr>
              <w:t>Cra 68 – Cra 77C × Cll 45 – Cll 53A (~1.44 km²)</w:t>
            </w:r>
          </w:p>
        </w:tc>
      </w:tr>
    </w:tbl>
    <w:p/>
    <w:p>
      <w:r>
        <w:t>El predio se encuentra dentro del área administrativa del Complejo Deportivo Atanasio Girardot, cuya propiedad corresponde al Municipio de Medellín y cuya administración está a cargo del INDER (Instituto de Deportes y Recreación de Medellín), entidad descentralizada del orden municipal. La verificación definitiva de la situación jurídica y disponibilidad del predio se realizará en la etapa de factibilidad, conforme a lo dispuesto en el numeral 2.7 del artículo 2.2.2.1.5.5 del Decreto 1082 de 2015.</w:t>
      </w:r>
    </w:p>
    <w:p>
      <w:pPr>
        <w:pStyle w:val="Heading2"/>
      </w:pPr>
      <w:r>
        <w:t>1.4 Resumen Ejecutivo</w:t>
      </w:r>
    </w:p>
    <w:p>
      <w:r>
        <w:t>El Complejo Deportivo Atanasio Girardot, con una capacidad actual de 45,000 espectadores (en proceso de ampliación a 60,000), es sede permanente de los dos equipos de fútbol profesional más importantes de Antioquia —Atlético Nacional e Independiente Medellín— además de albergar conciertos de talla internacional, festivales y eventos deportivos que en conjunto superan los 70 eventos anuales con una asistencia acumulada superior a 1.5 millones de personas por año.</w:t>
      </w:r>
    </w:p>
    <w:p>
      <w:r>
        <w:t xml:space="preserve">A pesar de esta magnitud, el complejo deportivo carece por completo de infraestructura de estacionamiento formal dedicada. Los datos oficiales del Sistema Inteligente de Movilidad de Medellín (SIMM) registran un Tráfico Promedio Diario de </w:t>
      </w:r>
      <w:r>
        <w:rPr>
          <w:b/>
        </w:rPr>
        <w:t>68,787 vehículos</w:t>
      </w:r>
      <w:r>
        <w:t xml:space="preserve"> en las 14 intersecciones monitoreadas dentro del polígono de estudio, con velocidades que descienden a 14-15 km/h en hora pico en cuatro de los diez corredores principales (nivel de servicio F — congestión forzada según el Highway Capacity Manual).</w:t>
      </w:r>
    </w:p>
    <w:p>
      <w:r>
        <w:t xml:space="preserve">La oferta actual de estacionamiento formal en un radio de 1.5 km es de apenas </w:t>
      </w:r>
      <w:r>
        <w:rPr>
          <w:b/>
        </w:rPr>
        <w:t>822 celdas</w:t>
      </w:r>
      <w:r>
        <w:t xml:space="preserve"> distribuidas en 22 parqueaderos, frente a una demanda que supera las 1,300 celdas en días de evento. El parqueo informal en vía pública, gestionado por los coloquialmente denominados "trapitos rojos", cobra aproximadamente $10,000 COP por vehículo sin regulación, seguridad ni garantías, generando externalidades negativas en movilidad, seguridad vial y calidad de vida para los residentes.</w:t>
      </w:r>
    </w:p>
    <w:p>
      <w:r>
        <w:t xml:space="preserve">El presente proyecto propone la construcción de </w:t>
      </w:r>
      <w:r>
        <w:rPr>
          <w:b/>
        </w:rPr>
        <w:t>1,100 celdas de estacionamiento vehicular</w:t>
      </w:r>
      <w:r>
        <w:t xml:space="preserve"> en dos niveles subterráneos bajo el nivel de cancha del Diamante de Béisbol, complementadas con </w:t>
      </w:r>
      <w:r>
        <w:rPr>
          <w:b/>
        </w:rPr>
        <w:t>aproximadamente 2,000 m² de área comercial</w:t>
      </w:r>
      <w:r>
        <w:t xml:space="preserve"> a nivel de calle, operados bajo un esquema de Asociación Público Privada de iniciativa privada sin desembolso de recursos públicos, con un horizonte contractual estimado de 25 a 30 años.</w:t>
      </w:r>
    </w:p>
    <w:p>
      <w:r>
        <w:t>El análisis financiero preliminar estima una inversión total (CAPEX) de aproximadamente $98,450 millones de COP, con ingresos netos anuales de $10,247 millones de COP provenientes de la combinación de tarifas de parqueo (base y eventos), pases mensuales, servicio de valet y renta de locales comerciales, lo que proyecta un período de recuperación de la inversión de aproximadamente 9.6 años, dentro del horizonte típico de una APP.</w:t>
      </w:r>
    </w:p>
    <w:p>
      <w:pPr>
        <w:pStyle w:val="Heading1"/>
      </w:pPr>
      <w:r>
        <w:t>2. DIAGNÓSTICO DE LA SITUACIÓN ACTUAL</w:t>
      </w:r>
    </w:p>
    <w:p>
      <w:pPr>
        <w:pStyle w:val="Heading2"/>
      </w:pPr>
      <w:r>
        <w:t>2.1 Contexto Urbano — Comuna 11 Laureles-Estadio</w:t>
      </w:r>
    </w:p>
    <w:p>
      <w:r>
        <w:t>La Comuna 11 de Medellín, conocida como Laureles-Estadio, se ha consolidado en la última década como uno de los sectores urbanos más dinámicos de la ciudad y del país. Con una población de 72,803 habitantes según el censo DANE de 2018, esta comuna de estrato predominantemente 5 concentra una actividad económica que incluye 11,247 empresas registradas ante la Cámara de Comercio de Medellín, un corredor gastronómico reconocido internacionalmente, y el complejo deportivo más importante de la región.</w:t>
      </w:r>
    </w:p>
    <w:p>
      <w:r>
        <w:t>La Encuesta Origen-Destino 2023 del Área Metropolitana del Valle de Aburrá (AMVA) registró 10.5 millones de viajes diarios en el valle, un incremento del 18% respecto a los 8 millones de 2017. En esta distribución modal, el 41% de los viajes se realizan a pie, el 15% en motocicleta, el 16% en bus colectivo, el 11% en sistema masivo Metro, el 9% en automóvil particular, el 4% en taxi y el 3% en bicicleta. Este patrón de movilidad indica que, si bien el automóvil no es el modo principal de transporte, la zona genera un volumen vehicular considerable que se intensifica durante eventos deportivos y culturales.</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r>
              <w:rPr>
                <w:rFonts w:ascii="Calibri" w:hAnsi="Calibri"/>
                <w:b/>
                <w:sz w:val="18"/>
              </w:rPr>
              <w:t>Indicador</w:t>
            </w:r>
          </w:p>
        </w:tc>
        <w:tc>
          <w:tcPr>
            <w:tcW w:type="dxa" w:w="3041"/>
          </w:tcPr>
          <w:p>
            <w:r>
              <w:rPr>
                <w:rFonts w:ascii="Calibri" w:hAnsi="Calibri"/>
                <w:b/>
                <w:sz w:val="18"/>
              </w:rPr>
              <w:t>Valor</w:t>
            </w:r>
          </w:p>
        </w:tc>
        <w:tc>
          <w:tcPr>
            <w:tcW w:type="dxa" w:w="3041"/>
          </w:tcPr>
          <w:p>
            <w:r>
              <w:rPr>
                <w:rFonts w:ascii="Calibri" w:hAnsi="Calibri"/>
                <w:b/>
                <w:sz w:val="18"/>
              </w:rPr>
              <w:t>Fuente</w:t>
            </w:r>
          </w:p>
        </w:tc>
      </w:tr>
      <w:tr>
        <w:tc>
          <w:tcPr>
            <w:tcW w:type="dxa" w:w="3041"/>
          </w:tcPr>
          <w:p>
            <w:r>
              <w:rPr>
                <w:rFonts w:ascii="Calibri" w:hAnsi="Calibri"/>
                <w:sz w:val="18"/>
              </w:rPr>
              <w:t>Población Comuna 11</w:t>
            </w:r>
          </w:p>
        </w:tc>
        <w:tc>
          <w:tcPr>
            <w:tcW w:type="dxa" w:w="3041"/>
          </w:tcPr>
          <w:p>
            <w:r>
              <w:rPr>
                <w:rFonts w:ascii="Calibri" w:hAnsi="Calibri"/>
                <w:sz w:val="18"/>
              </w:rPr>
              <w:t>72,803 hab.</w:t>
            </w:r>
          </w:p>
        </w:tc>
        <w:tc>
          <w:tcPr>
            <w:tcW w:type="dxa" w:w="3041"/>
          </w:tcPr>
          <w:p>
            <w:r>
              <w:rPr>
                <w:rFonts w:ascii="Calibri" w:hAnsi="Calibri"/>
                <w:sz w:val="18"/>
              </w:rPr>
              <w:t>DANE, Censo 2018</w:t>
            </w:r>
          </w:p>
        </w:tc>
      </w:tr>
      <w:tr>
        <w:tc>
          <w:tcPr>
            <w:tcW w:type="dxa" w:w="3041"/>
          </w:tcPr>
          <w:p>
            <w:r>
              <w:rPr>
                <w:rFonts w:ascii="Calibri" w:hAnsi="Calibri"/>
                <w:sz w:val="18"/>
              </w:rPr>
              <w:t>Área de influencia (4 comunas)</w:t>
            </w:r>
          </w:p>
        </w:tc>
        <w:tc>
          <w:tcPr>
            <w:tcW w:type="dxa" w:w="3041"/>
          </w:tcPr>
          <w:p>
            <w:r>
              <w:rPr>
                <w:rFonts w:ascii="Calibri" w:hAnsi="Calibri"/>
                <w:sz w:val="18"/>
              </w:rPr>
              <w:t>449,000 hab.</w:t>
            </w:r>
          </w:p>
        </w:tc>
        <w:tc>
          <w:tcPr>
            <w:tcW w:type="dxa" w:w="3041"/>
          </w:tcPr>
          <w:p>
            <w:r>
              <w:rPr>
                <w:rFonts w:ascii="Calibri" w:hAnsi="Calibri"/>
                <w:sz w:val="18"/>
              </w:rPr>
              <w:t>DANE, proyección 2025</w:t>
            </w:r>
          </w:p>
        </w:tc>
      </w:tr>
      <w:tr>
        <w:tc>
          <w:tcPr>
            <w:tcW w:type="dxa" w:w="3041"/>
          </w:tcPr>
          <w:p>
            <w:r>
              <w:rPr>
                <w:rFonts w:ascii="Calibri" w:hAnsi="Calibri"/>
                <w:sz w:val="18"/>
              </w:rPr>
              <w:t>Estrato socioeconómico predominante</w:t>
            </w:r>
          </w:p>
        </w:tc>
        <w:tc>
          <w:tcPr>
            <w:tcW w:type="dxa" w:w="3041"/>
          </w:tcPr>
          <w:p>
            <w:r>
              <w:rPr>
                <w:rFonts w:ascii="Calibri" w:hAnsi="Calibri"/>
                <w:sz w:val="18"/>
              </w:rPr>
              <w:t>5</w:t>
            </w:r>
          </w:p>
        </w:tc>
        <w:tc>
          <w:tcPr>
            <w:tcW w:type="dxa" w:w="3041"/>
          </w:tcPr>
          <w:p>
            <w:r>
              <w:rPr>
                <w:rFonts w:ascii="Calibri" w:hAnsi="Calibri"/>
                <w:sz w:val="18"/>
              </w:rPr>
              <w:t>DAP Medellín</w:t>
            </w:r>
          </w:p>
        </w:tc>
      </w:tr>
      <w:tr>
        <w:tc>
          <w:tcPr>
            <w:tcW w:type="dxa" w:w="3041"/>
          </w:tcPr>
          <w:p>
            <w:r>
              <w:rPr>
                <w:rFonts w:ascii="Calibri" w:hAnsi="Calibri"/>
                <w:sz w:val="18"/>
              </w:rPr>
              <w:t>Empresas registradas</w:t>
            </w:r>
          </w:p>
        </w:tc>
        <w:tc>
          <w:tcPr>
            <w:tcW w:type="dxa" w:w="3041"/>
          </w:tcPr>
          <w:p>
            <w:r>
              <w:rPr>
                <w:rFonts w:ascii="Calibri" w:hAnsi="Calibri"/>
                <w:sz w:val="18"/>
              </w:rPr>
              <w:t>11,247</w:t>
            </w:r>
          </w:p>
        </w:tc>
        <w:tc>
          <w:tcPr>
            <w:tcW w:type="dxa" w:w="3041"/>
          </w:tcPr>
          <w:p>
            <w:r>
              <w:rPr>
                <w:rFonts w:ascii="Calibri" w:hAnsi="Calibri"/>
                <w:sz w:val="18"/>
              </w:rPr>
              <w:t>Cámara de Comercio de Medellín, 2025</w:t>
            </w:r>
          </w:p>
        </w:tc>
      </w:tr>
      <w:tr>
        <w:tc>
          <w:tcPr>
            <w:tcW w:type="dxa" w:w="3041"/>
          </w:tcPr>
          <w:p>
            <w:r>
              <w:rPr>
                <w:rFonts w:ascii="Calibri" w:hAnsi="Calibri"/>
                <w:sz w:val="18"/>
              </w:rPr>
              <w:t>Uso de suelo</w:t>
            </w:r>
          </w:p>
        </w:tc>
        <w:tc>
          <w:tcPr>
            <w:tcW w:type="dxa" w:w="3041"/>
          </w:tcPr>
          <w:p>
            <w:r>
              <w:rPr>
                <w:rFonts w:ascii="Calibri" w:hAnsi="Calibri"/>
                <w:sz w:val="18"/>
              </w:rPr>
              <w:t>Alta mixtura (CN3)</w:t>
            </w:r>
          </w:p>
        </w:tc>
        <w:tc>
          <w:tcPr>
            <w:tcW w:type="dxa" w:w="3041"/>
          </w:tcPr>
          <w:p>
            <w:r>
              <w:rPr>
                <w:rFonts w:ascii="Calibri" w:hAnsi="Calibri"/>
                <w:sz w:val="18"/>
              </w:rPr>
              <w:t>POT Medellín, Acuerdo 48 de 2014</w:t>
            </w:r>
          </w:p>
        </w:tc>
      </w:tr>
      <w:tr>
        <w:tc>
          <w:tcPr>
            <w:tcW w:type="dxa" w:w="3041"/>
          </w:tcPr>
          <w:p>
            <w:r>
              <w:rPr>
                <w:rFonts w:ascii="Calibri" w:hAnsi="Calibri"/>
                <w:sz w:val="18"/>
              </w:rPr>
              <w:t>Parque automotor Valle de Aburrá</w:t>
            </w:r>
          </w:p>
        </w:tc>
        <w:tc>
          <w:tcPr>
            <w:tcW w:type="dxa" w:w="3041"/>
          </w:tcPr>
          <w:p>
            <w:r>
              <w:rPr>
                <w:rFonts w:ascii="Calibri" w:hAnsi="Calibri"/>
                <w:sz w:val="18"/>
              </w:rPr>
              <w:t>2,600,000+ vehículos</w:t>
            </w:r>
          </w:p>
        </w:tc>
        <w:tc>
          <w:tcPr>
            <w:tcW w:type="dxa" w:w="3041"/>
          </w:tcPr>
          <w:p>
            <w:r>
              <w:rPr>
                <w:rFonts w:ascii="Calibri" w:hAnsi="Calibri"/>
                <w:sz w:val="18"/>
              </w:rPr>
              <w:t>Secretaría de Movilidad, 2024</w:t>
            </w:r>
          </w:p>
        </w:tc>
      </w:tr>
      <w:tr>
        <w:tc>
          <w:tcPr>
            <w:tcW w:type="dxa" w:w="3041"/>
          </w:tcPr>
          <w:p>
            <w:r>
              <w:rPr>
                <w:rFonts w:ascii="Calibri" w:hAnsi="Calibri"/>
                <w:sz w:val="18"/>
              </w:rPr>
              <w:t>Crecimiento vehicular anual</w:t>
            </w:r>
          </w:p>
        </w:tc>
        <w:tc>
          <w:tcPr>
            <w:tcW w:type="dxa" w:w="3041"/>
          </w:tcPr>
          <w:p>
            <w:r>
              <w:rPr>
                <w:rFonts w:ascii="Calibri" w:hAnsi="Calibri"/>
                <w:sz w:val="18"/>
              </w:rPr>
              <w:t>~4.3%</w:t>
            </w:r>
          </w:p>
        </w:tc>
        <w:tc>
          <w:tcPr>
            <w:tcW w:type="dxa" w:w="3041"/>
          </w:tcPr>
          <w:p>
            <w:r>
              <w:rPr>
                <w:rFonts w:ascii="Calibri" w:hAnsi="Calibri"/>
                <w:sz w:val="18"/>
              </w:rPr>
              <w:t>RUNT, 2024</w:t>
            </w:r>
          </w:p>
        </w:tc>
      </w:tr>
      <w:tr>
        <w:tc>
          <w:tcPr>
            <w:tcW w:type="dxa" w:w="3041"/>
          </w:tcPr>
          <w:p>
            <w:r>
              <w:rPr>
                <w:rFonts w:ascii="Calibri" w:hAnsi="Calibri"/>
                <w:sz w:val="18"/>
              </w:rPr>
              <w:t>Viajes diarios Valle de Aburrá</w:t>
            </w:r>
          </w:p>
        </w:tc>
        <w:tc>
          <w:tcPr>
            <w:tcW w:type="dxa" w:w="3041"/>
          </w:tcPr>
          <w:p>
            <w:r>
              <w:rPr>
                <w:rFonts w:ascii="Calibri" w:hAnsi="Calibri"/>
                <w:sz w:val="18"/>
              </w:rPr>
              <w:t>10.5 millones</w:t>
            </w:r>
          </w:p>
        </w:tc>
        <w:tc>
          <w:tcPr>
            <w:tcW w:type="dxa" w:w="3041"/>
          </w:tcPr>
          <w:p>
            <w:r>
              <w:rPr>
                <w:rFonts w:ascii="Calibri" w:hAnsi="Calibri"/>
                <w:sz w:val="18"/>
              </w:rPr>
              <w:t>Encuesta OD AMVA, 2023</w:t>
            </w:r>
          </w:p>
        </w:tc>
      </w:tr>
      <w:tr>
        <w:tc>
          <w:tcPr>
            <w:tcW w:type="dxa" w:w="3041"/>
          </w:tcPr>
          <w:p>
            <w:r>
              <w:rPr>
                <w:rFonts w:ascii="Calibri" w:hAnsi="Calibri"/>
                <w:sz w:val="18"/>
              </w:rPr>
              <w:t>Búsquedas inmobiliarias (Laureles)</w:t>
            </w:r>
          </w:p>
        </w:tc>
        <w:tc>
          <w:tcPr>
            <w:tcW w:type="dxa" w:w="3041"/>
          </w:tcPr>
          <w:p>
            <w:r>
              <w:rPr>
                <w:rFonts w:ascii="Calibri" w:hAnsi="Calibri"/>
                <w:sz w:val="18"/>
              </w:rPr>
              <w:t>220,000+</w:t>
            </w:r>
          </w:p>
        </w:tc>
        <w:tc>
          <w:tcPr>
            <w:tcW w:type="dxa" w:w="3041"/>
          </w:tcPr>
          <w:p>
            <w:r>
              <w:rPr>
                <w:rFonts w:ascii="Calibri" w:hAnsi="Calibri"/>
                <w:sz w:val="18"/>
              </w:rPr>
              <w:t>Metrocuadrado, 2025 (barrio #1 más buscado)</w:t>
            </w:r>
          </w:p>
        </w:tc>
      </w:tr>
    </w:tbl>
    <w:p/>
    <w:p>
      <w:r>
        <w:t>El barrio Laureles fue el barrio más buscado de Colombia en la plataforma Metrocuadrado durante 2025, con más de 220,000 búsquedas, lo que evidencia la alta demanda residencial y comercial de la zona. Los precios del metro cuadrado en Laureles oscilan entre $6,500,000 y $7,100,000 COP para venta, y entre $28,000 y $100,000 COP/m²/mes para arriendo comercial, según el tamaño y ubicación del local.</w:t>
      </w:r>
    </w:p>
    <w:p>
      <w:pPr>
        <w:pStyle w:val="Heading2"/>
      </w:pPr>
      <w:r>
        <w:t>2.2 Complejo Deportivo Atanasio Girardot</w:t>
      </w:r>
    </w:p>
    <w:p>
      <w:r>
        <w:t>El Complejo Deportivo Atanasio Girardot es el recinto deportivo y de espectáculos más importante de Medellín. Inaugurado en 1953 y remodelado en 2011 para el Mundial Sub-20 de la FIFA, cuenta con una capacidad actual de 45,000 espectadores. El complejo alberga, además del estadio de fútbol, escenarios para atletismo, natación, béisbol, tenis, patinaje y múltiples disciplinas deportivas.</w:t>
      </w:r>
    </w:p>
    <w:p>
      <w:r/>
      <w:r>
        <w:rPr>
          <w:b/>
        </w:rPr>
        <w:t>Ampliación a 60,000 espectadores:</w:t>
      </w:r>
      <w:r>
        <w:t xml:space="preserve"> En noviembre de 2025, la Alcaldía de Medellín anunció la modernización del Estadio Atanasio Girardot con una inversión de aproximadamente $750,000 millones de COP (100% recursos públicos), que incrementará la capacidad a 60,000 espectadores mediante la construcción de un tercer anillo de graderías, techo completo (de 2,319 m² a 31,000+ m²), aumento de torniquetes de 49 a 108, y de unidades sanitarias de 399 a 531. La licitación se programó para mayo de 2026, con inicio de obras en julio de 2026 y finalización prevista para diciembre de 2027. </w:t>
      </w:r>
      <w:r>
        <w:rPr>
          <w:b/>
        </w:rPr>
        <w:t>Dato crítico: El plan de modernización no incluye infraestructura de estacionamiento dedicada</w:t>
      </w:r>
      <w:r>
        <w:t>, lo que refuerza la oportunidad y necesidad del presente proyecto.</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r>
              <w:rPr>
                <w:rFonts w:ascii="Calibri" w:hAnsi="Calibri"/>
                <w:b/>
                <w:sz w:val="18"/>
              </w:rPr>
              <w:t>Indicador</w:t>
            </w:r>
          </w:p>
        </w:tc>
        <w:tc>
          <w:tcPr>
            <w:tcW w:type="dxa" w:w="3041"/>
          </w:tcPr>
          <w:p>
            <w:r>
              <w:rPr>
                <w:rFonts w:ascii="Calibri" w:hAnsi="Calibri"/>
                <w:b/>
                <w:sz w:val="18"/>
              </w:rPr>
              <w:t>Valor</w:t>
            </w:r>
          </w:p>
        </w:tc>
        <w:tc>
          <w:tcPr>
            <w:tcW w:type="dxa" w:w="3041"/>
          </w:tcPr>
          <w:p>
            <w:r>
              <w:rPr>
                <w:rFonts w:ascii="Calibri" w:hAnsi="Calibri"/>
                <w:b/>
                <w:sz w:val="18"/>
              </w:rPr>
              <w:t>Fuente</w:t>
            </w:r>
          </w:p>
        </w:tc>
      </w:tr>
      <w:tr>
        <w:tc>
          <w:tcPr>
            <w:tcW w:type="dxa" w:w="3041"/>
          </w:tcPr>
          <w:p>
            <w:r>
              <w:rPr>
                <w:rFonts w:ascii="Calibri" w:hAnsi="Calibri"/>
                <w:sz w:val="18"/>
              </w:rPr>
              <w:t>Capacidad actual</w:t>
            </w:r>
          </w:p>
        </w:tc>
        <w:tc>
          <w:tcPr>
            <w:tcW w:type="dxa" w:w="3041"/>
          </w:tcPr>
          <w:p>
            <w:r>
              <w:rPr>
                <w:rFonts w:ascii="Calibri" w:hAnsi="Calibri"/>
                <w:sz w:val="18"/>
              </w:rPr>
              <w:t>45,000 espectadores</w:t>
            </w:r>
          </w:p>
        </w:tc>
        <w:tc>
          <w:tcPr>
            <w:tcW w:type="dxa" w:w="3041"/>
          </w:tcPr>
          <w:p>
            <w:r>
              <w:rPr>
                <w:rFonts w:ascii="Calibri" w:hAnsi="Calibri"/>
                <w:sz w:val="18"/>
              </w:rPr>
              <w:t>INDER Medellín</w:t>
            </w:r>
          </w:p>
        </w:tc>
      </w:tr>
      <w:tr>
        <w:tc>
          <w:tcPr>
            <w:tcW w:type="dxa" w:w="3041"/>
          </w:tcPr>
          <w:p>
            <w:r>
              <w:rPr>
                <w:rFonts w:ascii="Calibri" w:hAnsi="Calibri"/>
                <w:sz w:val="18"/>
              </w:rPr>
              <w:t>Capacidad futura (2027)</w:t>
            </w:r>
          </w:p>
        </w:tc>
        <w:tc>
          <w:tcPr>
            <w:tcW w:type="dxa" w:w="3041"/>
          </w:tcPr>
          <w:p>
            <w:r>
              <w:rPr>
                <w:rFonts w:ascii="Calibri" w:hAnsi="Calibri"/>
                <w:sz w:val="18"/>
              </w:rPr>
              <w:t>60,000 espectadores</w:t>
            </w:r>
          </w:p>
        </w:tc>
        <w:tc>
          <w:tcPr>
            <w:tcW w:type="dxa" w:w="3041"/>
          </w:tcPr>
          <w:p>
            <w:r>
              <w:rPr>
                <w:rFonts w:ascii="Calibri" w:hAnsi="Calibri"/>
                <w:sz w:val="18"/>
              </w:rPr>
              <w:t>Alcaldía de Medellín, Nov 2025</w:t>
            </w:r>
          </w:p>
        </w:tc>
      </w:tr>
      <w:tr>
        <w:tc>
          <w:tcPr>
            <w:tcW w:type="dxa" w:w="3041"/>
          </w:tcPr>
          <w:p>
            <w:r>
              <w:rPr>
                <w:rFonts w:ascii="Calibri" w:hAnsi="Calibri"/>
                <w:sz w:val="18"/>
              </w:rPr>
              <w:t>Inversión modernización</w:t>
            </w:r>
          </w:p>
        </w:tc>
        <w:tc>
          <w:tcPr>
            <w:tcW w:type="dxa" w:w="3041"/>
          </w:tcPr>
          <w:p>
            <w:r>
              <w:rPr>
                <w:rFonts w:ascii="Calibri" w:hAnsi="Calibri"/>
                <w:sz w:val="18"/>
              </w:rPr>
              <w:t>~$750,000M COP</w:t>
            </w:r>
          </w:p>
        </w:tc>
        <w:tc>
          <w:tcPr>
            <w:tcW w:type="dxa" w:w="3041"/>
          </w:tcPr>
          <w:p>
            <w:r>
              <w:rPr>
                <w:rFonts w:ascii="Calibri" w:hAnsi="Calibri"/>
                <w:sz w:val="18"/>
              </w:rPr>
              <w:t>Alcaldía de Medellín</w:t>
            </w:r>
          </w:p>
        </w:tc>
      </w:tr>
      <w:tr>
        <w:tc>
          <w:tcPr>
            <w:tcW w:type="dxa" w:w="3041"/>
          </w:tcPr>
          <w:p>
            <w:r>
              <w:rPr>
                <w:rFonts w:ascii="Calibri" w:hAnsi="Calibri"/>
                <w:sz w:val="18"/>
              </w:rPr>
              <w:t>Parking dedicado actual</w:t>
            </w:r>
          </w:p>
        </w:tc>
        <w:tc>
          <w:tcPr>
            <w:tcW w:type="dxa" w:w="3041"/>
          </w:tcPr>
          <w:p>
            <w:r>
              <w:rPr>
                <w:rFonts w:ascii="Calibri" w:hAnsi="Calibri"/>
                <w:sz w:val="18"/>
              </w:rPr>
              <w:t>0 celdas</w:t>
            </w:r>
          </w:p>
        </w:tc>
        <w:tc>
          <w:tcPr>
            <w:tcW w:type="dxa" w:w="3041"/>
          </w:tcPr>
          <w:p>
            <w:r>
              <w:rPr>
                <w:rFonts w:ascii="Calibri" w:hAnsi="Calibri"/>
                <w:sz w:val="18"/>
              </w:rPr>
              <w:t>Verificación de campo</w:t>
            </w:r>
          </w:p>
        </w:tc>
      </w:tr>
      <w:tr>
        <w:tc>
          <w:tcPr>
            <w:tcW w:type="dxa" w:w="3041"/>
          </w:tcPr>
          <w:p>
            <w:r>
              <w:rPr>
                <w:rFonts w:ascii="Calibri" w:hAnsi="Calibri"/>
                <w:sz w:val="18"/>
              </w:rPr>
              <w:t>Parking dedicado en renovación</w:t>
            </w:r>
          </w:p>
        </w:tc>
        <w:tc>
          <w:tcPr>
            <w:tcW w:type="dxa" w:w="3041"/>
          </w:tcPr>
          <w:p>
            <w:r>
              <w:rPr>
                <w:rFonts w:ascii="Calibri" w:hAnsi="Calibri"/>
                <w:sz w:val="18"/>
              </w:rPr>
              <w:t>0 celdas</w:t>
            </w:r>
          </w:p>
        </w:tc>
        <w:tc>
          <w:tcPr>
            <w:tcW w:type="dxa" w:w="3041"/>
          </w:tcPr>
          <w:p>
            <w:r>
              <w:rPr>
                <w:rFonts w:ascii="Calibri" w:hAnsi="Calibri"/>
                <w:sz w:val="18"/>
              </w:rPr>
              <w:t>Plan de modernización 2025</w:t>
            </w:r>
          </w:p>
        </w:tc>
      </w:tr>
    </w:tbl>
    <w:p/>
    <w:p>
      <w:r/>
      <w:r>
        <w:rPr>
          <w:b/>
        </w:rPr>
        <w:t>Asistencia a partidos de fútbol profesional:</w:t>
      </w:r>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tcPr>
          <w:p>
            <w:r>
              <w:rPr>
                <w:rFonts w:ascii="Calibri" w:hAnsi="Calibri"/>
                <w:b/>
                <w:sz w:val="18"/>
              </w:rPr>
              <w:t>Equipo</w:t>
            </w:r>
          </w:p>
        </w:tc>
        <w:tc>
          <w:tcPr>
            <w:tcW w:type="dxa" w:w="2280"/>
          </w:tcPr>
          <w:p>
            <w:r>
              <w:rPr>
                <w:rFonts w:ascii="Calibri" w:hAnsi="Calibri"/>
                <w:b/>
                <w:sz w:val="18"/>
              </w:rPr>
              <w:t>Período</w:t>
            </w:r>
          </w:p>
        </w:tc>
        <w:tc>
          <w:tcPr>
            <w:tcW w:type="dxa" w:w="2280"/>
          </w:tcPr>
          <w:p>
            <w:r>
              <w:rPr>
                <w:rFonts w:ascii="Calibri" w:hAnsi="Calibri"/>
                <w:b/>
                <w:sz w:val="18"/>
              </w:rPr>
              <w:t>Promedio por partido</w:t>
            </w:r>
          </w:p>
        </w:tc>
        <w:tc>
          <w:tcPr>
            <w:tcW w:type="dxa" w:w="2280"/>
          </w:tcPr>
          <w:p>
            <w:r>
              <w:rPr>
                <w:rFonts w:ascii="Calibri" w:hAnsi="Calibri"/>
                <w:b/>
                <w:sz w:val="18"/>
              </w:rPr>
              <w:t>Fuente</w:t>
            </w:r>
          </w:p>
        </w:tc>
      </w:tr>
      <w:tr>
        <w:tc>
          <w:tcPr>
            <w:tcW w:type="dxa" w:w="2280"/>
          </w:tcPr>
          <w:p>
            <w:r>
              <w:rPr>
                <w:rFonts w:ascii="Calibri" w:hAnsi="Calibri"/>
                <w:sz w:val="18"/>
              </w:rPr>
              <w:t>Atlético Nacional</w:t>
            </w:r>
          </w:p>
        </w:tc>
        <w:tc>
          <w:tcPr>
            <w:tcW w:type="dxa" w:w="2280"/>
          </w:tcPr>
          <w:p>
            <w:r>
              <w:rPr>
                <w:rFonts w:ascii="Calibri" w:hAnsi="Calibri"/>
                <w:sz w:val="18"/>
              </w:rPr>
              <w:t>2023-I</w:t>
            </w:r>
          </w:p>
        </w:tc>
        <w:tc>
          <w:tcPr>
            <w:tcW w:type="dxa" w:w="2280"/>
          </w:tcPr>
          <w:p>
            <w:r>
              <w:rPr>
                <w:rFonts w:ascii="Calibri" w:hAnsi="Calibri"/>
                <w:sz w:val="18"/>
              </w:rPr>
              <w:t>25,842</w:t>
            </w:r>
          </w:p>
        </w:tc>
        <w:tc>
          <w:tcPr>
            <w:tcW w:type="dxa" w:w="2280"/>
          </w:tcPr>
          <w:p>
            <w:r>
              <w:rPr>
                <w:rFonts w:ascii="Calibri" w:hAnsi="Calibri"/>
                <w:sz w:val="18"/>
              </w:rPr>
              <w:t>Dimayor / FutbolRed</w:t>
            </w:r>
          </w:p>
        </w:tc>
      </w:tr>
      <w:tr>
        <w:tc>
          <w:tcPr>
            <w:tcW w:type="dxa" w:w="2280"/>
          </w:tcPr>
          <w:p>
            <w:r>
              <w:rPr>
                <w:rFonts w:ascii="Calibri" w:hAnsi="Calibri"/>
                <w:sz w:val="18"/>
              </w:rPr>
              <w:t>Atlético Nacional</w:t>
            </w:r>
          </w:p>
        </w:tc>
        <w:tc>
          <w:tcPr>
            <w:tcW w:type="dxa" w:w="2280"/>
          </w:tcPr>
          <w:p>
            <w:r>
              <w:rPr>
                <w:rFonts w:ascii="Calibri" w:hAnsi="Calibri"/>
                <w:sz w:val="18"/>
              </w:rPr>
              <w:t>2023-II</w:t>
            </w:r>
          </w:p>
        </w:tc>
        <w:tc>
          <w:tcPr>
            <w:tcW w:type="dxa" w:w="2280"/>
          </w:tcPr>
          <w:p>
            <w:r>
              <w:rPr>
                <w:rFonts w:ascii="Calibri" w:hAnsi="Calibri"/>
                <w:sz w:val="18"/>
              </w:rPr>
              <w:t>16,914</w:t>
            </w:r>
          </w:p>
        </w:tc>
        <w:tc>
          <w:tcPr>
            <w:tcW w:type="dxa" w:w="2280"/>
          </w:tcPr>
          <w:p>
            <w:r>
              <w:rPr>
                <w:rFonts w:ascii="Calibri" w:hAnsi="Calibri"/>
                <w:sz w:val="18"/>
              </w:rPr>
              <w:t>Dimayor</w:t>
            </w:r>
          </w:p>
        </w:tc>
      </w:tr>
      <w:tr>
        <w:tc>
          <w:tcPr>
            <w:tcW w:type="dxa" w:w="2280"/>
          </w:tcPr>
          <w:p>
            <w:r>
              <w:rPr>
                <w:rFonts w:ascii="Calibri" w:hAnsi="Calibri"/>
                <w:sz w:val="18"/>
              </w:rPr>
              <w:t>Atlético Nacional</w:t>
            </w:r>
          </w:p>
        </w:tc>
        <w:tc>
          <w:tcPr>
            <w:tcW w:type="dxa" w:w="2280"/>
          </w:tcPr>
          <w:p>
            <w:r>
              <w:rPr>
                <w:rFonts w:ascii="Calibri" w:hAnsi="Calibri"/>
                <w:sz w:val="18"/>
              </w:rPr>
              <w:t>2024-I</w:t>
            </w:r>
          </w:p>
        </w:tc>
        <w:tc>
          <w:tcPr>
            <w:tcW w:type="dxa" w:w="2280"/>
          </w:tcPr>
          <w:p>
            <w:r>
              <w:rPr>
                <w:rFonts w:ascii="Calibri" w:hAnsi="Calibri"/>
                <w:sz w:val="18"/>
              </w:rPr>
              <w:t>24,008</w:t>
            </w:r>
          </w:p>
        </w:tc>
        <w:tc>
          <w:tcPr>
            <w:tcW w:type="dxa" w:w="2280"/>
          </w:tcPr>
          <w:p>
            <w:r>
              <w:rPr>
                <w:rFonts w:ascii="Calibri" w:hAnsi="Calibri"/>
                <w:sz w:val="18"/>
              </w:rPr>
              <w:t>Dimayor</w:t>
            </w:r>
          </w:p>
        </w:tc>
      </w:tr>
      <w:tr>
        <w:tc>
          <w:tcPr>
            <w:tcW w:type="dxa" w:w="2280"/>
          </w:tcPr>
          <w:p>
            <w:r>
              <w:rPr>
                <w:rFonts w:ascii="Calibri" w:hAnsi="Calibri"/>
                <w:sz w:val="18"/>
              </w:rPr>
              <w:t>Atlético Nacional</w:t>
            </w:r>
          </w:p>
        </w:tc>
        <w:tc>
          <w:tcPr>
            <w:tcW w:type="dxa" w:w="2280"/>
          </w:tcPr>
          <w:p>
            <w:r>
              <w:rPr>
                <w:rFonts w:ascii="Calibri" w:hAnsi="Calibri"/>
                <w:sz w:val="18"/>
              </w:rPr>
              <w:t>2024-II</w:t>
            </w:r>
          </w:p>
        </w:tc>
        <w:tc>
          <w:tcPr>
            <w:tcW w:type="dxa" w:w="2280"/>
          </w:tcPr>
          <w:p>
            <w:r>
              <w:rPr>
                <w:rFonts w:ascii="Calibri" w:hAnsi="Calibri"/>
                <w:sz w:val="18"/>
              </w:rPr>
              <w:t>30,892</w:t>
            </w:r>
          </w:p>
        </w:tc>
        <w:tc>
          <w:tcPr>
            <w:tcW w:type="dxa" w:w="2280"/>
          </w:tcPr>
          <w:p>
            <w:r>
              <w:rPr>
                <w:rFonts w:ascii="Calibri" w:hAnsi="Calibri"/>
                <w:sz w:val="18"/>
              </w:rPr>
              <w:t>Dimayor / WinSports</w:t>
            </w:r>
          </w:p>
        </w:tc>
      </w:tr>
      <w:tr>
        <w:tc>
          <w:tcPr>
            <w:tcW w:type="dxa" w:w="2280"/>
          </w:tcPr>
          <w:p>
            <w:r>
              <w:rPr>
                <w:rFonts w:ascii="Calibri" w:hAnsi="Calibri"/>
                <w:sz w:val="18"/>
              </w:rPr>
              <w:t>Atlético Nacional</w:t>
            </w:r>
          </w:p>
        </w:tc>
        <w:tc>
          <w:tcPr>
            <w:tcW w:type="dxa" w:w="2280"/>
          </w:tcPr>
          <w:p>
            <w:r>
              <w:rPr>
                <w:rFonts w:ascii="Calibri" w:hAnsi="Calibri"/>
                <w:sz w:val="18"/>
              </w:rPr>
              <w:t>2025-I</w:t>
            </w:r>
          </w:p>
        </w:tc>
        <w:tc>
          <w:tcPr>
            <w:tcW w:type="dxa" w:w="2280"/>
          </w:tcPr>
          <w:p>
            <w:r>
              <w:rPr>
                <w:rFonts w:ascii="Calibri" w:hAnsi="Calibri"/>
                <w:sz w:val="18"/>
              </w:rPr>
              <w:t>34,229</w:t>
            </w:r>
          </w:p>
        </w:tc>
        <w:tc>
          <w:tcPr>
            <w:tcW w:type="dxa" w:w="2280"/>
          </w:tcPr>
          <w:p>
            <w:r>
              <w:rPr>
                <w:rFonts w:ascii="Calibri" w:hAnsi="Calibri"/>
                <w:sz w:val="18"/>
              </w:rPr>
              <w:t>Dimayor / Infobae (récord Liga BetPlay)</w:t>
            </w:r>
          </w:p>
        </w:tc>
      </w:tr>
      <w:tr>
        <w:tc>
          <w:tcPr>
            <w:tcW w:type="dxa" w:w="2280"/>
          </w:tcPr>
          <w:p>
            <w:r>
              <w:rPr>
                <w:rFonts w:ascii="Calibri" w:hAnsi="Calibri"/>
                <w:sz w:val="18"/>
              </w:rPr>
              <w:t>Independiente Medellín</w:t>
            </w:r>
          </w:p>
        </w:tc>
        <w:tc>
          <w:tcPr>
            <w:tcW w:type="dxa" w:w="2280"/>
          </w:tcPr>
          <w:p>
            <w:r>
              <w:rPr>
                <w:rFonts w:ascii="Calibri" w:hAnsi="Calibri"/>
                <w:sz w:val="18"/>
              </w:rPr>
              <w:t>2023-I</w:t>
            </w:r>
          </w:p>
        </w:tc>
        <w:tc>
          <w:tcPr>
            <w:tcW w:type="dxa" w:w="2280"/>
          </w:tcPr>
          <w:p>
            <w:r>
              <w:rPr>
                <w:rFonts w:ascii="Calibri" w:hAnsi="Calibri"/>
                <w:sz w:val="18"/>
              </w:rPr>
              <w:t>24,858</w:t>
            </w:r>
          </w:p>
        </w:tc>
        <w:tc>
          <w:tcPr>
            <w:tcW w:type="dxa" w:w="2280"/>
          </w:tcPr>
          <w:p>
            <w:r>
              <w:rPr>
                <w:rFonts w:ascii="Calibri" w:hAnsi="Calibri"/>
                <w:sz w:val="18"/>
              </w:rPr>
              <w:t>Dimayor</w:t>
            </w:r>
          </w:p>
        </w:tc>
      </w:tr>
      <w:tr>
        <w:tc>
          <w:tcPr>
            <w:tcW w:type="dxa" w:w="2280"/>
          </w:tcPr>
          <w:p>
            <w:r>
              <w:rPr>
                <w:rFonts w:ascii="Calibri" w:hAnsi="Calibri"/>
                <w:sz w:val="18"/>
              </w:rPr>
              <w:t>Independiente Medellín</w:t>
            </w:r>
          </w:p>
        </w:tc>
        <w:tc>
          <w:tcPr>
            <w:tcW w:type="dxa" w:w="2280"/>
          </w:tcPr>
          <w:p>
            <w:r>
              <w:rPr>
                <w:rFonts w:ascii="Calibri" w:hAnsi="Calibri"/>
                <w:sz w:val="18"/>
              </w:rPr>
              <w:t>2024-I</w:t>
            </w:r>
          </w:p>
        </w:tc>
        <w:tc>
          <w:tcPr>
            <w:tcW w:type="dxa" w:w="2280"/>
          </w:tcPr>
          <w:p>
            <w:r>
              <w:rPr>
                <w:rFonts w:ascii="Calibri" w:hAnsi="Calibri"/>
                <w:sz w:val="18"/>
              </w:rPr>
              <w:t>18,770</w:t>
            </w:r>
          </w:p>
        </w:tc>
        <w:tc>
          <w:tcPr>
            <w:tcW w:type="dxa" w:w="2280"/>
          </w:tcPr>
          <w:p>
            <w:r>
              <w:rPr>
                <w:rFonts w:ascii="Calibri" w:hAnsi="Calibri"/>
                <w:sz w:val="18"/>
              </w:rPr>
              <w:t>Dimayor</w:t>
            </w:r>
          </w:p>
        </w:tc>
      </w:tr>
      <w:tr>
        <w:tc>
          <w:tcPr>
            <w:tcW w:type="dxa" w:w="2280"/>
          </w:tcPr>
          <w:p>
            <w:r>
              <w:rPr>
                <w:rFonts w:ascii="Calibri" w:hAnsi="Calibri"/>
                <w:sz w:val="18"/>
              </w:rPr>
              <w:t>Independiente Medellín</w:t>
            </w:r>
          </w:p>
        </w:tc>
        <w:tc>
          <w:tcPr>
            <w:tcW w:type="dxa" w:w="2280"/>
          </w:tcPr>
          <w:p>
            <w:r>
              <w:rPr>
                <w:rFonts w:ascii="Calibri" w:hAnsi="Calibri"/>
                <w:sz w:val="18"/>
              </w:rPr>
              <w:t>2024-II</w:t>
            </w:r>
          </w:p>
        </w:tc>
        <w:tc>
          <w:tcPr>
            <w:tcW w:type="dxa" w:w="2280"/>
          </w:tcPr>
          <w:p>
            <w:r>
              <w:rPr>
                <w:rFonts w:ascii="Calibri" w:hAnsi="Calibri"/>
                <w:sz w:val="18"/>
              </w:rPr>
              <w:t>16,823</w:t>
            </w:r>
          </w:p>
        </w:tc>
        <w:tc>
          <w:tcPr>
            <w:tcW w:type="dxa" w:w="2280"/>
          </w:tcPr>
          <w:p>
            <w:r>
              <w:rPr>
                <w:rFonts w:ascii="Calibri" w:hAnsi="Calibri"/>
                <w:sz w:val="18"/>
              </w:rPr>
              <w:t>Dimayor</w:t>
            </w:r>
          </w:p>
        </w:tc>
      </w:tr>
    </w:tbl>
    <w:p/>
    <w:p>
      <w:r>
        <w:t>La tendencia es creciente: Atlético Nacional alcanzó un promedio récord de 34,229 espectadores por partido en la Liga BetPlay 2025-I, consolidándose como el club con mayor asistencia del fútbol colombiano, superando por más de 10,000 aficionados al segundo lugar.</w:t>
      </w:r>
    </w:p>
    <w:p>
      <w:r/>
      <w:r>
        <w:rPr>
          <w:b/>
        </w:rPr>
        <w:t>Conciertos y eventos masivos recientes:</w:t>
      </w:r>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tcPr>
          <w:p>
            <w:r>
              <w:rPr>
                <w:rFonts w:ascii="Calibri" w:hAnsi="Calibri"/>
                <w:b/>
                <w:sz w:val="18"/>
              </w:rPr>
              <w:t>Fecha</w:t>
            </w:r>
          </w:p>
        </w:tc>
        <w:tc>
          <w:tcPr>
            <w:tcW w:type="dxa" w:w="2280"/>
          </w:tcPr>
          <w:p>
            <w:r>
              <w:rPr>
                <w:rFonts w:ascii="Calibri" w:hAnsi="Calibri"/>
                <w:b/>
                <w:sz w:val="18"/>
              </w:rPr>
              <w:t>Artista/Evento</w:t>
            </w:r>
          </w:p>
        </w:tc>
        <w:tc>
          <w:tcPr>
            <w:tcW w:type="dxa" w:w="2280"/>
          </w:tcPr>
          <w:p>
            <w:r>
              <w:rPr>
                <w:rFonts w:ascii="Calibri" w:hAnsi="Calibri"/>
                <w:b/>
                <w:sz w:val="18"/>
              </w:rPr>
              <w:t>Noches</w:t>
            </w:r>
          </w:p>
        </w:tc>
        <w:tc>
          <w:tcPr>
            <w:tcW w:type="dxa" w:w="2280"/>
          </w:tcPr>
          <w:p>
            <w:r>
              <w:rPr>
                <w:rFonts w:ascii="Calibri" w:hAnsi="Calibri"/>
                <w:b/>
                <w:sz w:val="18"/>
              </w:rPr>
              <w:t>Asistencia estimada</w:t>
            </w:r>
          </w:p>
        </w:tc>
      </w:tr>
      <w:tr>
        <w:tc>
          <w:tcPr>
            <w:tcW w:type="dxa" w:w="2280"/>
          </w:tcPr>
          <w:p>
            <w:r>
              <w:rPr>
                <w:rFonts w:ascii="Calibri" w:hAnsi="Calibri"/>
                <w:sz w:val="18"/>
              </w:rPr>
              <w:t>Nov 3-6, 2023</w:t>
            </w:r>
          </w:p>
        </w:tc>
        <w:tc>
          <w:tcPr>
            <w:tcW w:type="dxa" w:w="2280"/>
          </w:tcPr>
          <w:p>
            <w:r>
              <w:rPr>
                <w:rFonts w:ascii="Calibri" w:hAnsi="Calibri"/>
                <w:sz w:val="18"/>
              </w:rPr>
              <w:t>RBD</w:t>
            </w:r>
          </w:p>
        </w:tc>
        <w:tc>
          <w:tcPr>
            <w:tcW w:type="dxa" w:w="2280"/>
          </w:tcPr>
          <w:p>
            <w:r>
              <w:rPr>
                <w:rFonts w:ascii="Calibri" w:hAnsi="Calibri"/>
                <w:sz w:val="18"/>
              </w:rPr>
              <w:t>4</w:t>
            </w:r>
          </w:p>
        </w:tc>
        <w:tc>
          <w:tcPr>
            <w:tcW w:type="dxa" w:w="2280"/>
          </w:tcPr>
          <w:p>
            <w:r>
              <w:rPr>
                <w:rFonts w:ascii="Calibri" w:hAnsi="Calibri"/>
                <w:sz w:val="18"/>
              </w:rPr>
              <w:t>~180,000 (45K/noche)</w:t>
            </w:r>
          </w:p>
        </w:tc>
      </w:tr>
      <w:tr>
        <w:tc>
          <w:tcPr>
            <w:tcW w:type="dxa" w:w="2280"/>
          </w:tcPr>
          <w:p>
            <w:r>
              <w:rPr>
                <w:rFonts w:ascii="Calibri" w:hAnsi="Calibri"/>
                <w:sz w:val="18"/>
              </w:rPr>
              <w:t>Dic 1-2, 2023</w:t>
            </w:r>
          </w:p>
        </w:tc>
        <w:tc>
          <w:tcPr>
            <w:tcW w:type="dxa" w:w="2280"/>
          </w:tcPr>
          <w:p>
            <w:r>
              <w:rPr>
                <w:rFonts w:ascii="Calibri" w:hAnsi="Calibri"/>
                <w:sz w:val="18"/>
              </w:rPr>
              <w:t>Karol G "Mañana Será Bonito Fest"</w:t>
            </w:r>
          </w:p>
        </w:tc>
        <w:tc>
          <w:tcPr>
            <w:tcW w:type="dxa" w:w="2280"/>
          </w:tcPr>
          <w:p>
            <w:r>
              <w:rPr>
                <w:rFonts w:ascii="Calibri" w:hAnsi="Calibri"/>
                <w:sz w:val="18"/>
              </w:rPr>
              <w:t>2</w:t>
            </w:r>
          </w:p>
        </w:tc>
        <w:tc>
          <w:tcPr>
            <w:tcW w:type="dxa" w:w="2280"/>
          </w:tcPr>
          <w:p>
            <w:r>
              <w:rPr>
                <w:rFonts w:ascii="Calibri" w:hAnsi="Calibri"/>
                <w:sz w:val="18"/>
              </w:rPr>
              <w:t>~80,000 (40K/noche)</w:t>
            </w:r>
          </w:p>
        </w:tc>
      </w:tr>
      <w:tr>
        <w:tc>
          <w:tcPr>
            <w:tcW w:type="dxa" w:w="2280"/>
          </w:tcPr>
          <w:p>
            <w:r>
              <w:rPr>
                <w:rFonts w:ascii="Calibri" w:hAnsi="Calibri"/>
                <w:sz w:val="18"/>
              </w:rPr>
              <w:t>Dic 6-8, 2024</w:t>
            </w:r>
          </w:p>
        </w:tc>
        <w:tc>
          <w:tcPr>
            <w:tcW w:type="dxa" w:w="2280"/>
          </w:tcPr>
          <w:p>
            <w:r>
              <w:rPr>
                <w:rFonts w:ascii="Calibri" w:hAnsi="Calibri"/>
                <w:sz w:val="18"/>
              </w:rPr>
              <w:t>Feid "Ferxxocalipsis"</w:t>
            </w:r>
          </w:p>
        </w:tc>
        <w:tc>
          <w:tcPr>
            <w:tcW w:type="dxa" w:w="2280"/>
          </w:tcPr>
          <w:p>
            <w:r>
              <w:rPr>
                <w:rFonts w:ascii="Calibri" w:hAnsi="Calibri"/>
                <w:sz w:val="18"/>
              </w:rPr>
              <w:t>3</w:t>
            </w:r>
          </w:p>
        </w:tc>
        <w:tc>
          <w:tcPr>
            <w:tcW w:type="dxa" w:w="2280"/>
          </w:tcPr>
          <w:p>
            <w:r>
              <w:rPr>
                <w:rFonts w:ascii="Calibri" w:hAnsi="Calibri"/>
                <w:sz w:val="18"/>
              </w:rPr>
              <w:t>~210,000 (70K/noche incl. campo)</w:t>
            </w:r>
          </w:p>
        </w:tc>
      </w:tr>
      <w:tr>
        <w:tc>
          <w:tcPr>
            <w:tcW w:type="dxa" w:w="2280"/>
          </w:tcPr>
          <w:p>
            <w:r>
              <w:rPr>
                <w:rFonts w:ascii="Calibri" w:hAnsi="Calibri"/>
                <w:sz w:val="18"/>
              </w:rPr>
              <w:t>Abr 12-13, 2025</w:t>
            </w:r>
          </w:p>
        </w:tc>
        <w:tc>
          <w:tcPr>
            <w:tcW w:type="dxa" w:w="2280"/>
          </w:tcPr>
          <w:p>
            <w:r>
              <w:rPr>
                <w:rFonts w:ascii="Calibri" w:hAnsi="Calibri"/>
                <w:sz w:val="18"/>
              </w:rPr>
              <w:t>Shakira "Las Mujeres Ya No Lloran"</w:t>
            </w:r>
          </w:p>
        </w:tc>
        <w:tc>
          <w:tcPr>
            <w:tcW w:type="dxa" w:w="2280"/>
          </w:tcPr>
          <w:p>
            <w:r>
              <w:rPr>
                <w:rFonts w:ascii="Calibri" w:hAnsi="Calibri"/>
                <w:sz w:val="18"/>
              </w:rPr>
              <w:t>2</w:t>
            </w:r>
          </w:p>
        </w:tc>
        <w:tc>
          <w:tcPr>
            <w:tcW w:type="dxa" w:w="2280"/>
          </w:tcPr>
          <w:p>
            <w:r>
              <w:rPr>
                <w:rFonts w:ascii="Calibri" w:hAnsi="Calibri"/>
                <w:sz w:val="18"/>
              </w:rPr>
              <w:t>78,000 (39K/noche)</w:t>
            </w:r>
          </w:p>
        </w:tc>
      </w:tr>
    </w:tbl>
    <w:p/>
    <w:p>
      <w:r>
        <w:t>Según informes de la Alcaldía de Medellín, los conciertos de Shakira en abril de 2025 generaron un impacto económico de varios millones de dólares para la ciudad, con 78,000 asistentes en dos noches. La Feria de las Flores 2024 atrajo a 2.1 millones de asistentes en total, con 291,110 visitantes nacionales e internacionales y un impacto económico de USD 42.1 millones.</w:t>
      </w:r>
    </w:p>
    <w:p>
      <w:r/>
      <w:r>
        <w:rPr>
          <w:b/>
        </w:rPr>
        <w:t>Eventos anuales estimados consolidados:</w:t>
      </w:r>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tcPr>
          <w:p>
            <w:r>
              <w:rPr>
                <w:rFonts w:ascii="Calibri" w:hAnsi="Calibri"/>
                <w:b/>
                <w:sz w:val="18"/>
              </w:rPr>
              <w:t>Tipo de evento</w:t>
            </w:r>
          </w:p>
        </w:tc>
        <w:tc>
          <w:tcPr>
            <w:tcW w:type="dxa" w:w="2280"/>
          </w:tcPr>
          <w:p>
            <w:r>
              <w:rPr>
                <w:rFonts w:ascii="Calibri" w:hAnsi="Calibri"/>
                <w:b/>
                <w:sz w:val="18"/>
              </w:rPr>
              <w:t>Eventos/año</w:t>
            </w:r>
          </w:p>
        </w:tc>
        <w:tc>
          <w:tcPr>
            <w:tcW w:type="dxa" w:w="2280"/>
          </w:tcPr>
          <w:p>
            <w:r>
              <w:rPr>
                <w:rFonts w:ascii="Calibri" w:hAnsi="Calibri"/>
                <w:b/>
                <w:sz w:val="18"/>
              </w:rPr>
              <w:t>Asistencia promedio</w:t>
            </w:r>
          </w:p>
        </w:tc>
        <w:tc>
          <w:tcPr>
            <w:tcW w:type="dxa" w:w="2280"/>
          </w:tcPr>
          <w:p>
            <w:r>
              <w:rPr>
                <w:rFonts w:ascii="Calibri" w:hAnsi="Calibri"/>
                <w:b/>
                <w:sz w:val="18"/>
              </w:rPr>
              <w:t>Total anual</w:t>
            </w:r>
          </w:p>
        </w:tc>
      </w:tr>
      <w:tr>
        <w:tc>
          <w:tcPr>
            <w:tcW w:type="dxa" w:w="2280"/>
          </w:tcPr>
          <w:p>
            <w:r>
              <w:rPr>
                <w:rFonts w:ascii="Calibri" w:hAnsi="Calibri"/>
                <w:sz w:val="18"/>
              </w:rPr>
              <w:t>Partidos Liga BetPlay (Nacional + DIM)</w:t>
            </w:r>
          </w:p>
        </w:tc>
        <w:tc>
          <w:tcPr>
            <w:tcW w:type="dxa" w:w="2280"/>
          </w:tcPr>
          <w:p>
            <w:r>
              <w:rPr>
                <w:rFonts w:ascii="Calibri" w:hAnsi="Calibri"/>
                <w:sz w:val="18"/>
              </w:rPr>
              <w:t>~48</w:t>
            </w:r>
          </w:p>
        </w:tc>
        <w:tc>
          <w:tcPr>
            <w:tcW w:type="dxa" w:w="2280"/>
          </w:tcPr>
          <w:p>
            <w:r>
              <w:rPr>
                <w:rFonts w:ascii="Calibri" w:hAnsi="Calibri"/>
                <w:sz w:val="18"/>
              </w:rPr>
              <w:t>~25,000</w:t>
            </w:r>
          </w:p>
        </w:tc>
        <w:tc>
          <w:tcPr>
            <w:tcW w:type="dxa" w:w="2280"/>
          </w:tcPr>
          <w:p>
            <w:r>
              <w:rPr>
                <w:rFonts w:ascii="Calibri" w:hAnsi="Calibri"/>
                <w:sz w:val="18"/>
              </w:rPr>
              <w:t>~1,200,000</w:t>
            </w:r>
          </w:p>
        </w:tc>
      </w:tr>
      <w:tr>
        <w:tc>
          <w:tcPr>
            <w:tcW w:type="dxa" w:w="2280"/>
          </w:tcPr>
          <w:p>
            <w:r>
              <w:rPr>
                <w:rFonts w:ascii="Calibri" w:hAnsi="Calibri"/>
                <w:sz w:val="18"/>
              </w:rPr>
              <w:t>Conciertos internacionales</w:t>
            </w:r>
          </w:p>
        </w:tc>
        <w:tc>
          <w:tcPr>
            <w:tcW w:type="dxa" w:w="2280"/>
          </w:tcPr>
          <w:p>
            <w:r>
              <w:rPr>
                <w:rFonts w:ascii="Calibri" w:hAnsi="Calibri"/>
                <w:sz w:val="18"/>
              </w:rPr>
              <w:t>~15-20</w:t>
            </w:r>
          </w:p>
        </w:tc>
        <w:tc>
          <w:tcPr>
            <w:tcW w:type="dxa" w:w="2280"/>
          </w:tcPr>
          <w:p>
            <w:r>
              <w:rPr>
                <w:rFonts w:ascii="Calibri" w:hAnsi="Calibri"/>
                <w:sz w:val="18"/>
              </w:rPr>
              <w:t>~40,000</w:t>
            </w:r>
          </w:p>
        </w:tc>
        <w:tc>
          <w:tcPr>
            <w:tcW w:type="dxa" w:w="2280"/>
          </w:tcPr>
          <w:p>
            <w:r>
              <w:rPr>
                <w:rFonts w:ascii="Calibri" w:hAnsi="Calibri"/>
                <w:sz w:val="18"/>
              </w:rPr>
              <w:t>~700,000</w:t>
            </w:r>
          </w:p>
        </w:tc>
      </w:tr>
      <w:tr>
        <w:tc>
          <w:tcPr>
            <w:tcW w:type="dxa" w:w="2280"/>
          </w:tcPr>
          <w:p>
            <w:r>
              <w:rPr>
                <w:rFonts w:ascii="Calibri" w:hAnsi="Calibri"/>
                <w:sz w:val="18"/>
              </w:rPr>
              <w:t>Feria de las Flores (eventos en estadio)</w:t>
            </w:r>
          </w:p>
        </w:tc>
        <w:tc>
          <w:tcPr>
            <w:tcW w:type="dxa" w:w="2280"/>
          </w:tcPr>
          <w:p>
            <w:r>
              <w:rPr>
                <w:rFonts w:ascii="Calibri" w:hAnsi="Calibri"/>
                <w:sz w:val="18"/>
              </w:rPr>
              <w:t>~5-8</w:t>
            </w:r>
          </w:p>
        </w:tc>
        <w:tc>
          <w:tcPr>
            <w:tcW w:type="dxa" w:w="2280"/>
          </w:tcPr>
          <w:p>
            <w:r>
              <w:rPr>
                <w:rFonts w:ascii="Calibri" w:hAnsi="Calibri"/>
                <w:sz w:val="18"/>
              </w:rPr>
              <w:t>~30,000</w:t>
            </w:r>
          </w:p>
        </w:tc>
        <w:tc>
          <w:tcPr>
            <w:tcW w:type="dxa" w:w="2280"/>
          </w:tcPr>
          <w:p>
            <w:r>
              <w:rPr>
                <w:rFonts w:ascii="Calibri" w:hAnsi="Calibri"/>
                <w:sz w:val="18"/>
              </w:rPr>
              <w:t>~200,000</w:t>
            </w:r>
          </w:p>
        </w:tc>
      </w:tr>
      <w:tr>
        <w:tc>
          <w:tcPr>
            <w:tcW w:type="dxa" w:w="2280"/>
          </w:tcPr>
          <w:p>
            <w:r>
              <w:rPr>
                <w:rFonts w:ascii="Calibri" w:hAnsi="Calibri"/>
                <w:sz w:val="18"/>
              </w:rPr>
              <w:t>Otros eventos (deportivos, religiosos, ferias)</w:t>
            </w:r>
          </w:p>
        </w:tc>
        <w:tc>
          <w:tcPr>
            <w:tcW w:type="dxa" w:w="2280"/>
          </w:tcPr>
          <w:p>
            <w:r>
              <w:rPr>
                <w:rFonts w:ascii="Calibri" w:hAnsi="Calibri"/>
                <w:sz w:val="18"/>
              </w:rPr>
              <w:t>~10</w:t>
            </w:r>
          </w:p>
        </w:tc>
        <w:tc>
          <w:tcPr>
            <w:tcW w:type="dxa" w:w="2280"/>
          </w:tcPr>
          <w:p>
            <w:r>
              <w:rPr>
                <w:rFonts w:ascii="Calibri" w:hAnsi="Calibri"/>
                <w:sz w:val="18"/>
              </w:rPr>
              <w:t>~10,000</w:t>
            </w:r>
          </w:p>
        </w:tc>
        <w:tc>
          <w:tcPr>
            <w:tcW w:type="dxa" w:w="2280"/>
          </w:tcPr>
          <w:p>
            <w:r>
              <w:rPr>
                <w:rFonts w:ascii="Calibri" w:hAnsi="Calibri"/>
                <w:sz w:val="18"/>
              </w:rPr>
              <w:t>~100,000</w:t>
            </w:r>
          </w:p>
        </w:tc>
      </w:tr>
      <w:tr>
        <w:tc>
          <w:tcPr>
            <w:tcW w:type="dxa" w:w="2280"/>
          </w:tcPr>
          <w:p>
            <w:r>
              <w:rPr>
                <w:rFonts w:ascii="Calibri" w:hAnsi="Calibri"/>
                <w:sz w:val="18"/>
              </w:rPr>
              <w:t>Total estimado</w:t>
            </w:r>
          </w:p>
        </w:tc>
        <w:tc>
          <w:tcPr>
            <w:tcW w:type="dxa" w:w="2280"/>
          </w:tcPr>
          <w:p>
            <w:r>
              <w:rPr>
                <w:rFonts w:ascii="Calibri" w:hAnsi="Calibri"/>
                <w:sz w:val="18"/>
              </w:rPr>
              <w:t>~78-86</w:t>
            </w:r>
          </w:p>
        </w:tc>
        <w:tc>
          <w:tcPr>
            <w:tcW w:type="dxa" w:w="2280"/>
          </w:tcPr>
          <w:p>
            <w:r>
              <w:rPr>
                <w:rFonts w:ascii="Calibri" w:hAnsi="Calibri"/>
                <w:sz w:val="18"/>
              </w:rPr>
            </w:r>
          </w:p>
        </w:tc>
        <w:tc>
          <w:tcPr>
            <w:tcW w:type="dxa" w:w="2280"/>
          </w:tcPr>
          <w:p>
            <w:r>
              <w:rPr>
                <w:rFonts w:ascii="Calibri" w:hAnsi="Calibri"/>
                <w:sz w:val="18"/>
              </w:rPr>
              <w:t>~2,200,000</w:t>
            </w:r>
          </w:p>
        </w:tc>
      </w:tr>
    </w:tbl>
    <w:p/>
    <w:p>
      <w:pPr>
        <w:pStyle w:val="Heading2"/>
      </w:pPr>
      <w:r>
        <w:t>2.3 Problema Identificado: Déficit Crítico de Estacionamiento</w:t>
      </w:r>
    </w:p>
    <w:p>
      <w:r>
        <w:t>El Complejo Deportivo Atanasio Girardot carece por completo de infraestructura de estacionamiento formal dedicada. Esta situación, que se ha agravado con el crecimiento sostenido de la asistencia a eventos y del parque automotor del Valle de Aburrá (que pasó de 321,000 a 2,600,000 vehículos en 25 años, un incremento del 704%), genera las siguientes problemáticas:</w:t>
      </w:r>
    </w:p>
    <w:p>
      <w:r/>
      <w:r>
        <w:rPr>
          <w:b/>
        </w:rPr>
        <w:t>1. Parqueo informal en vía pública.</w:t>
      </w:r>
      <w:r>
        <w:t xml:space="preserve"> Los denominados "trapitos rojos" —personas que de manera informal cobran por el "cuidado" de vehículos estacionados en la vía pública— constituyen la principal alternativa de estacionamiento para los asistentes a eventos. Sin regulación, sin seguros, sin responsabilidad legal y sin pago de impuestos, este servicio cobra aproximadamente $10,000 COP por vehículo por evento. La Secretaría de Movilidad de Medellín registró un incremento del 54% en las citaciones por mal estacionamiento, pasando de 28,000 en 2023 a 43,000 en 2024, lo que evidencia la magnitud del problema. La multa por parqueo ilegal asciende a $344,000 COP (15 SMDLV).</w:t>
      </w:r>
    </w:p>
    <w:p>
      <w:r/>
      <w:r>
        <w:rPr>
          <w:b/>
        </w:rPr>
        <w:t>2. Congestión vehicular severa.</w:t>
      </w:r>
      <w:r>
        <w:t xml:space="preserve"> Los datos del SIMM (Sistema Inteligente de Movilidad de Medellín), obtenidos de sensores ARS y cámaras CCTV durante julio-agosto de 2020, muestran que la velocidad promedio en los corredores del polígono de estudio desciende a niveles críticos en hora pico:</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r>
              <w:rPr>
                <w:rFonts w:ascii="Calibri" w:hAnsi="Calibri"/>
                <w:b/>
                <w:sz w:val="18"/>
              </w:rPr>
              <w:t>Corredor</w:t>
            </w:r>
          </w:p>
        </w:tc>
        <w:tc>
          <w:tcPr>
            <w:tcW w:type="dxa" w:w="3041"/>
          </w:tcPr>
          <w:p>
            <w:r>
              <w:rPr>
                <w:rFonts w:ascii="Calibri" w:hAnsi="Calibri"/>
                <w:b/>
                <w:sz w:val="18"/>
              </w:rPr>
              <w:t>Velocidad 5PM (km/h)</w:t>
            </w:r>
          </w:p>
        </w:tc>
        <w:tc>
          <w:tcPr>
            <w:tcW w:type="dxa" w:w="3041"/>
          </w:tcPr>
          <w:p>
            <w:r>
              <w:rPr>
                <w:rFonts w:ascii="Calibri" w:hAnsi="Calibri"/>
                <w:b/>
                <w:sz w:val="18"/>
              </w:rPr>
              <w:t>Nivel de servicio (HCM)</w:t>
            </w:r>
          </w:p>
        </w:tc>
      </w:tr>
      <w:tr>
        <w:tc>
          <w:tcPr>
            <w:tcW w:type="dxa" w:w="3041"/>
          </w:tcPr>
          <w:p>
            <w:r>
              <w:rPr>
                <w:rFonts w:ascii="Calibri" w:hAnsi="Calibri"/>
                <w:sz w:val="18"/>
              </w:rPr>
              <w:t>Avenida Colombia</w:t>
            </w:r>
          </w:p>
        </w:tc>
        <w:tc>
          <w:tcPr>
            <w:tcW w:type="dxa" w:w="3041"/>
          </w:tcPr>
          <w:p>
            <w:r>
              <w:rPr>
                <w:rFonts w:ascii="Calibri" w:hAnsi="Calibri"/>
                <w:sz w:val="18"/>
              </w:rPr>
              <w:t>15.3</w:t>
            </w:r>
          </w:p>
        </w:tc>
        <w:tc>
          <w:tcPr>
            <w:tcW w:type="dxa" w:w="3041"/>
          </w:tcPr>
          <w:p>
            <w:r>
              <w:rPr>
                <w:rFonts w:ascii="Calibri" w:hAnsi="Calibri"/>
                <w:sz w:val="18"/>
              </w:rPr>
              <w:t>F — Congestión forzada</w:t>
            </w:r>
          </w:p>
        </w:tc>
      </w:tr>
      <w:tr>
        <w:tc>
          <w:tcPr>
            <w:tcW w:type="dxa" w:w="3041"/>
          </w:tcPr>
          <w:p>
            <w:r>
              <w:rPr>
                <w:rFonts w:ascii="Calibri" w:hAnsi="Calibri"/>
                <w:sz w:val="18"/>
              </w:rPr>
              <w:t>Calle 48 sentido W-E</w:t>
            </w:r>
          </w:p>
        </w:tc>
        <w:tc>
          <w:tcPr>
            <w:tcW w:type="dxa" w:w="3041"/>
          </w:tcPr>
          <w:p>
            <w:r>
              <w:rPr>
                <w:rFonts w:ascii="Calibri" w:hAnsi="Calibri"/>
                <w:sz w:val="18"/>
              </w:rPr>
              <w:t>14.6</w:t>
            </w:r>
          </w:p>
        </w:tc>
        <w:tc>
          <w:tcPr>
            <w:tcW w:type="dxa" w:w="3041"/>
          </w:tcPr>
          <w:p>
            <w:r>
              <w:rPr>
                <w:rFonts w:ascii="Calibri" w:hAnsi="Calibri"/>
                <w:sz w:val="18"/>
              </w:rPr>
              <w:t>F — Congestión forzada</w:t>
            </w:r>
          </w:p>
        </w:tc>
      </w:tr>
      <w:tr>
        <w:tc>
          <w:tcPr>
            <w:tcW w:type="dxa" w:w="3041"/>
          </w:tcPr>
          <w:p>
            <w:r>
              <w:rPr>
                <w:rFonts w:ascii="Calibri" w:hAnsi="Calibri"/>
                <w:sz w:val="18"/>
              </w:rPr>
              <w:t>Avenida Bolivariana</w:t>
            </w:r>
          </w:p>
        </w:tc>
        <w:tc>
          <w:tcPr>
            <w:tcW w:type="dxa" w:w="3041"/>
          </w:tcPr>
          <w:p>
            <w:r>
              <w:rPr>
                <w:rFonts w:ascii="Calibri" w:hAnsi="Calibri"/>
                <w:sz w:val="18"/>
              </w:rPr>
              <w:t>15.3</w:t>
            </w:r>
          </w:p>
        </w:tc>
        <w:tc>
          <w:tcPr>
            <w:tcW w:type="dxa" w:w="3041"/>
          </w:tcPr>
          <w:p>
            <w:r>
              <w:rPr>
                <w:rFonts w:ascii="Calibri" w:hAnsi="Calibri"/>
                <w:sz w:val="18"/>
              </w:rPr>
              <w:t>F — Congestión forzada</w:t>
            </w:r>
          </w:p>
        </w:tc>
      </w:tr>
      <w:tr>
        <w:tc>
          <w:tcPr>
            <w:tcW w:type="dxa" w:w="3041"/>
          </w:tcPr>
          <w:p>
            <w:r>
              <w:rPr>
                <w:rFonts w:ascii="Calibri" w:hAnsi="Calibri"/>
                <w:sz w:val="18"/>
              </w:rPr>
              <w:t>Carrera 65 sentido S-N</w:t>
            </w:r>
          </w:p>
        </w:tc>
        <w:tc>
          <w:tcPr>
            <w:tcW w:type="dxa" w:w="3041"/>
          </w:tcPr>
          <w:p>
            <w:r>
              <w:rPr>
                <w:rFonts w:ascii="Calibri" w:hAnsi="Calibri"/>
                <w:sz w:val="18"/>
              </w:rPr>
              <w:t>15.2</w:t>
            </w:r>
          </w:p>
        </w:tc>
        <w:tc>
          <w:tcPr>
            <w:tcW w:type="dxa" w:w="3041"/>
          </w:tcPr>
          <w:p>
            <w:r>
              <w:rPr>
                <w:rFonts w:ascii="Calibri" w:hAnsi="Calibri"/>
                <w:sz w:val="18"/>
              </w:rPr>
              <w:t>F — Congestión forzada</w:t>
            </w:r>
          </w:p>
        </w:tc>
      </w:tr>
      <w:tr>
        <w:tc>
          <w:tcPr>
            <w:tcW w:type="dxa" w:w="3041"/>
          </w:tcPr>
          <w:p>
            <w:r>
              <w:rPr>
                <w:rFonts w:ascii="Calibri" w:hAnsi="Calibri"/>
                <w:sz w:val="18"/>
              </w:rPr>
              <w:t>San Juan sentido E-W</w:t>
            </w:r>
          </w:p>
        </w:tc>
        <w:tc>
          <w:tcPr>
            <w:tcW w:type="dxa" w:w="3041"/>
          </w:tcPr>
          <w:p>
            <w:r>
              <w:rPr>
                <w:rFonts w:ascii="Calibri" w:hAnsi="Calibri"/>
                <w:sz w:val="18"/>
              </w:rPr>
              <w:t>17.1</w:t>
            </w:r>
          </w:p>
        </w:tc>
        <w:tc>
          <w:tcPr>
            <w:tcW w:type="dxa" w:w="3041"/>
          </w:tcPr>
          <w:p>
            <w:r>
              <w:rPr>
                <w:rFonts w:ascii="Calibri" w:hAnsi="Calibri"/>
                <w:sz w:val="18"/>
              </w:rPr>
              <w:t>E — Flujo inestable</w:t>
            </w:r>
          </w:p>
        </w:tc>
      </w:tr>
      <w:tr>
        <w:tc>
          <w:tcPr>
            <w:tcW w:type="dxa" w:w="3041"/>
          </w:tcPr>
          <w:p>
            <w:r>
              <w:rPr>
                <w:rFonts w:ascii="Calibri" w:hAnsi="Calibri"/>
                <w:sz w:val="18"/>
              </w:rPr>
              <w:t>Avenida 80</w:t>
            </w:r>
          </w:p>
        </w:tc>
        <w:tc>
          <w:tcPr>
            <w:tcW w:type="dxa" w:w="3041"/>
          </w:tcPr>
          <w:p>
            <w:r>
              <w:rPr>
                <w:rFonts w:ascii="Calibri" w:hAnsi="Calibri"/>
                <w:sz w:val="18"/>
              </w:rPr>
              <w:t>19.9</w:t>
            </w:r>
          </w:p>
        </w:tc>
        <w:tc>
          <w:tcPr>
            <w:tcW w:type="dxa" w:w="3041"/>
          </w:tcPr>
          <w:p>
            <w:r>
              <w:rPr>
                <w:rFonts w:ascii="Calibri" w:hAnsi="Calibri"/>
                <w:sz w:val="18"/>
              </w:rPr>
              <w:t>E — Flujo inestable</w:t>
            </w:r>
          </w:p>
        </w:tc>
      </w:tr>
      <w:tr>
        <w:tc>
          <w:tcPr>
            <w:tcW w:type="dxa" w:w="3041"/>
          </w:tcPr>
          <w:p>
            <w:r>
              <w:rPr>
                <w:rFonts w:ascii="Calibri" w:hAnsi="Calibri"/>
                <w:sz w:val="18"/>
              </w:rPr>
              <w:t>Carrera 70 sentido S-N</w:t>
            </w:r>
          </w:p>
        </w:tc>
        <w:tc>
          <w:tcPr>
            <w:tcW w:type="dxa" w:w="3041"/>
          </w:tcPr>
          <w:p>
            <w:r>
              <w:rPr>
                <w:rFonts w:ascii="Calibri" w:hAnsi="Calibri"/>
                <w:sz w:val="18"/>
              </w:rPr>
              <w:t>22.1</w:t>
            </w:r>
          </w:p>
        </w:tc>
        <w:tc>
          <w:tcPr>
            <w:tcW w:type="dxa" w:w="3041"/>
          </w:tcPr>
          <w:p>
            <w:r>
              <w:rPr>
                <w:rFonts w:ascii="Calibri" w:hAnsi="Calibri"/>
                <w:sz w:val="18"/>
              </w:rPr>
              <w:t>D — Próximo a inestable</w:t>
            </w:r>
          </w:p>
        </w:tc>
      </w:tr>
      <w:tr>
        <w:tc>
          <w:tcPr>
            <w:tcW w:type="dxa" w:w="3041"/>
          </w:tcPr>
          <w:p>
            <w:r>
              <w:rPr>
                <w:rFonts w:ascii="Calibri" w:hAnsi="Calibri"/>
                <w:sz w:val="18"/>
              </w:rPr>
              <w:t>Carrera 70 sentido N-S</w:t>
            </w:r>
          </w:p>
        </w:tc>
        <w:tc>
          <w:tcPr>
            <w:tcW w:type="dxa" w:w="3041"/>
          </w:tcPr>
          <w:p>
            <w:r>
              <w:rPr>
                <w:rFonts w:ascii="Calibri" w:hAnsi="Calibri"/>
                <w:sz w:val="18"/>
              </w:rPr>
              <w:t>27.2</w:t>
            </w:r>
          </w:p>
        </w:tc>
        <w:tc>
          <w:tcPr>
            <w:tcW w:type="dxa" w:w="3041"/>
          </w:tcPr>
          <w:p>
            <w:r>
              <w:rPr>
                <w:rFonts w:ascii="Calibri" w:hAnsi="Calibri"/>
                <w:sz w:val="18"/>
              </w:rPr>
              <w:t>C — Flujo estable</w:t>
            </w:r>
          </w:p>
        </w:tc>
      </w:tr>
    </w:tbl>
    <w:p/>
    <w:p>
      <w:r>
        <w:t>Cuatro de los diez corredores monitoreados operan en nivel de servicio F (congestión forzada) durante la hora pico vespertina, coincidiendo con el horario habitual de inicio de partidos de fútbol (16:30-17:00). Esta condición se agrava significativamente en días de evento, cuando el tráfico se multiplica por factores de 3.5x a 5.5x según el tipo de evento.</w:t>
      </w:r>
    </w:p>
    <w:p>
      <w:r/>
      <w:r>
        <w:rPr>
          <w:b/>
        </w:rPr>
        <w:t>3. Inseguridad vial.</w:t>
      </w:r>
      <w:r>
        <w:t xml:space="preserve"> Medellín cerró el año 2024 con 308 muertes por siniestros viales, la cifra más alta en 10 años (frente a 268 en 2023), según datos de la Secretaría de Movilidad. En el sector de Laureles-Estadio se registraron 6,384 incidentes de tránsito entre 2019 y 2020, con concentración en los corredores Carrera 65, Avenida Colombia y Calle 48 — precisamente las vías con peor nivel de servicio. Los corredores con nivel de servicio F son los que registran mayor siniestralidad, por la combinación de bajas velocidades, maniobras de estacionamiento en vía y conflictos entre vehículos motorizados y peatones.</w:t>
      </w:r>
    </w:p>
    <w:p>
      <w:r/>
      <w:r>
        <w:rPr>
          <w:b/>
        </w:rPr>
        <w:t>4. Impacto en la calidad del aire.</w:t>
      </w:r>
      <w:r>
        <w:t xml:space="preserve"> Según datos de IQAir y SIATA, la concentración de PM2.5 en Medellín es en promedio 3.6 veces superior a la directriz anual de la OMS (5 μg/m³). El 96% de las emisiones de PM2.5 proviene de fuentes móviles (vehículos). La topografía del Valle de Aburrá atrapa los contaminantes, generando episodios críticos especialmente en marzo-abril y octubre-noviembre. Un estacionamiento formal subterráneo reduce los tiempos de búsqueda de parqueo (cruising), que según estudios internacionales representan hasta el 30% del tráfico en zonas con déficit de estacionamiento.</w:t>
      </w:r>
    </w:p>
    <w:p>
      <w:r/>
      <w:r>
        <w:rPr>
          <w:b/>
        </w:rPr>
        <w:t>5. Contaminación acústica.</w:t>
      </w:r>
      <w:r>
        <w:t xml:space="preserve"> El 80% de las mediciones de ruido en Medellín superan las normas establecidas en la Resolución 0627 de 2006, que fija límites de 65 dB diurno / 55 dB nocturno para zonas residenciales y 70 dB / 60 dB para zonas comerciales. La zona del estadio, clasificada como mixta residencial-comercial, presenta niveles de ruido significativamente superiores durante eventos, con aproximadamente 280 quejas diarias por ruido registradas ante la Policía en todo Medellín.</w:t>
      </w:r>
    </w:p>
    <w:p>
      <w:pPr>
        <w:pStyle w:val="Heading2"/>
      </w:pPr>
      <w:r>
        <w:t>2.4 Fuentes de Datos Oficiales Empleadas</w:t>
      </w:r>
    </w:p>
    <w:p>
      <w:r>
        <w:t>El presente estudio de prefactibilidad se fundamenta en dos fuentes primarias de datos oficiales del Sistema Inteligente de Movilidad de Medellín (SIMM), administrado por la Secretaría de Movilidad de Medellín:</w:t>
      </w:r>
    </w:p>
    <w:p>
      <w:r/>
      <w:r>
        <w:rPr>
          <w:b/>
        </w:rPr>
        <w:t>Fuente 1: Aforos Vehiculares</w:t>
      </w:r>
      <w:r>
        <w:t xml:space="preserve"> — Descargados del portal de datos abiertos MEData (medata.gov.co, dataset ID 1-023-25-000301). Comprende 74,900 registros de conteo vehicular con resolución temporal de 15 minutos, levantados en intersecciones de la ciudad durante el período abril de 2018 a octubre de 2019. Dentro del polígono de estudio se identificaron 3,859 registros correspondientes a 14 intersecciones, con desagregación por cinco tipos de vehículo: automóviles, motocicletas, buses, camiones y bicicletas.</w:t>
      </w:r>
    </w:p>
    <w:p>
      <w:r/>
      <w:r>
        <w:rPr>
          <w:b/>
        </w:rPr>
        <w:t>Fuente 2: Velocidad e Intensidad Vehicular</w:t>
      </w:r>
      <w:r>
        <w:t xml:space="preserve"> — Descargados del portal MEData (medata.gov.co, dataset ID correspondiente). Comprende 431,491 registros de velocidad e intensidad vehicular con resolución horaria, levantados mediante 7 sensores tipo ARS (Apoyo de Red Semafórica) y CCTV dentro del polígono de estudio, durante julio y agosto de 2020. Los datos incluyen velocidad en km/h, intensidad vehicular y clasificación en tres categorías (livianos, buses y camiones).</w:t>
      </w:r>
    </w:p>
    <w:p>
      <w:r>
        <w:t>Adicionalmente, se emplearon las siguientes fuentes complementarias:</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tcPr>
          <w:p>
            <w:r>
              <w:rPr>
                <w:rFonts w:ascii="Calibri" w:hAnsi="Calibri"/>
                <w:b/>
                <w:sz w:val="18"/>
              </w:rPr>
              <w:t>Fuente</w:t>
            </w:r>
          </w:p>
        </w:tc>
        <w:tc>
          <w:tcPr>
            <w:tcW w:type="dxa" w:w="2280"/>
          </w:tcPr>
          <w:p>
            <w:r>
              <w:rPr>
                <w:rFonts w:ascii="Calibri" w:hAnsi="Calibri"/>
                <w:b/>
                <w:sz w:val="18"/>
              </w:rPr>
              <w:t>Dato</w:t>
            </w:r>
          </w:p>
        </w:tc>
        <w:tc>
          <w:tcPr>
            <w:tcW w:type="dxa" w:w="2280"/>
          </w:tcPr>
          <w:p>
            <w:r>
              <w:rPr>
                <w:rFonts w:ascii="Calibri" w:hAnsi="Calibri"/>
                <w:b/>
                <w:sz w:val="18"/>
              </w:rPr>
              <w:t>Período</w:t>
            </w:r>
          </w:p>
        </w:tc>
        <w:tc>
          <w:tcPr>
            <w:tcW w:type="dxa" w:w="2280"/>
          </w:tcPr>
          <w:p>
            <w:r>
              <w:rPr>
                <w:rFonts w:ascii="Calibri" w:hAnsi="Calibri"/>
                <w:b/>
                <w:sz w:val="18"/>
              </w:rPr>
              <w:t>Registros</w:t>
            </w:r>
          </w:p>
        </w:tc>
      </w:tr>
      <w:tr>
        <w:tc>
          <w:tcPr>
            <w:tcW w:type="dxa" w:w="2280"/>
          </w:tcPr>
          <w:p>
            <w:r>
              <w:rPr>
                <w:rFonts w:ascii="Calibri" w:hAnsi="Calibri"/>
                <w:sz w:val="18"/>
              </w:rPr>
              <w:t>Google Maps Places API</w:t>
            </w:r>
          </w:p>
        </w:tc>
        <w:tc>
          <w:tcPr>
            <w:tcW w:type="dxa" w:w="2280"/>
          </w:tcPr>
          <w:p>
            <w:r>
              <w:rPr>
                <w:rFonts w:ascii="Calibri" w:hAnsi="Calibri"/>
                <w:sz w:val="18"/>
              </w:rPr>
              <w:t>POIs: parqueaderos, comercio, hoteles</w:t>
            </w:r>
          </w:p>
        </w:tc>
        <w:tc>
          <w:tcPr>
            <w:tcW w:type="dxa" w:w="2280"/>
          </w:tcPr>
          <w:p>
            <w:r>
              <w:rPr>
                <w:rFonts w:ascii="Calibri" w:hAnsi="Calibri"/>
                <w:sz w:val="18"/>
              </w:rPr>
              <w:t>2025</w:t>
            </w:r>
          </w:p>
        </w:tc>
        <w:tc>
          <w:tcPr>
            <w:tcW w:type="dxa" w:w="2280"/>
          </w:tcPr>
          <w:p>
            <w:r>
              <w:rPr>
                <w:rFonts w:ascii="Calibri" w:hAnsi="Calibri"/>
                <w:sz w:val="18"/>
              </w:rPr>
              <w:t>387 POIs</w:t>
            </w:r>
          </w:p>
        </w:tc>
      </w:tr>
      <w:tr>
        <w:tc>
          <w:tcPr>
            <w:tcW w:type="dxa" w:w="2280"/>
          </w:tcPr>
          <w:p>
            <w:r>
              <w:rPr>
                <w:rFonts w:ascii="Calibri" w:hAnsi="Calibri"/>
                <w:sz w:val="18"/>
              </w:rPr>
              <w:t>Metro de Medellín (datos abiertos)</w:t>
            </w:r>
          </w:p>
        </w:tc>
        <w:tc>
          <w:tcPr>
            <w:tcW w:type="dxa" w:w="2280"/>
          </w:tcPr>
          <w:p>
            <w:r>
              <w:rPr>
                <w:rFonts w:ascii="Calibri" w:hAnsi="Calibri"/>
                <w:sz w:val="18"/>
              </w:rPr>
              <w:t>Afluencia por estación</w:t>
            </w:r>
          </w:p>
        </w:tc>
        <w:tc>
          <w:tcPr>
            <w:tcW w:type="dxa" w:w="2280"/>
          </w:tcPr>
          <w:p>
            <w:r>
              <w:rPr>
                <w:rFonts w:ascii="Calibri" w:hAnsi="Calibri"/>
                <w:sz w:val="18"/>
              </w:rPr>
              <w:t>2011-2020</w:t>
            </w:r>
          </w:p>
        </w:tc>
        <w:tc>
          <w:tcPr>
            <w:tcW w:type="dxa" w:w="2280"/>
          </w:tcPr>
          <w:p>
            <w:r>
              <w:rPr>
                <w:rFonts w:ascii="Calibri" w:hAnsi="Calibri"/>
                <w:sz w:val="18"/>
              </w:rPr>
              <w:t>360 registros mensuales</w:t>
            </w:r>
          </w:p>
        </w:tc>
      </w:tr>
      <w:tr>
        <w:tc>
          <w:tcPr>
            <w:tcW w:type="dxa" w:w="2280"/>
          </w:tcPr>
          <w:p>
            <w:r>
              <w:rPr>
                <w:rFonts w:ascii="Calibri" w:hAnsi="Calibri"/>
                <w:sz w:val="18"/>
              </w:rPr>
              <w:t>DANE</w:t>
            </w:r>
          </w:p>
        </w:tc>
        <w:tc>
          <w:tcPr>
            <w:tcW w:type="dxa" w:w="2280"/>
          </w:tcPr>
          <w:p>
            <w:r>
              <w:rPr>
                <w:rFonts w:ascii="Calibri" w:hAnsi="Calibri"/>
                <w:sz w:val="18"/>
              </w:rPr>
              <w:t>Población por comuna</w:t>
            </w:r>
          </w:p>
        </w:tc>
        <w:tc>
          <w:tcPr>
            <w:tcW w:type="dxa" w:w="2280"/>
          </w:tcPr>
          <w:p>
            <w:r>
              <w:rPr>
                <w:rFonts w:ascii="Calibri" w:hAnsi="Calibri"/>
                <w:sz w:val="18"/>
              </w:rPr>
              <w:t>Censo 2018</w:t>
            </w:r>
          </w:p>
        </w:tc>
        <w:tc>
          <w:tcPr>
            <w:tcW w:type="dxa" w:w="2280"/>
          </w:tcPr>
          <w:p>
            <w:r>
              <w:rPr>
                <w:rFonts w:ascii="Calibri" w:hAnsi="Calibri"/>
                <w:sz w:val="18"/>
              </w:rPr>
              <w:t>Proyecciones a 2025</w:t>
            </w:r>
          </w:p>
        </w:tc>
      </w:tr>
      <w:tr>
        <w:tc>
          <w:tcPr>
            <w:tcW w:type="dxa" w:w="2280"/>
          </w:tcPr>
          <w:p>
            <w:r>
              <w:rPr>
                <w:rFonts w:ascii="Calibri" w:hAnsi="Calibri"/>
                <w:sz w:val="18"/>
              </w:rPr>
              <w:t>Cámara de Comercio de Medellín</w:t>
            </w:r>
          </w:p>
        </w:tc>
        <w:tc>
          <w:tcPr>
            <w:tcW w:type="dxa" w:w="2280"/>
          </w:tcPr>
          <w:p>
            <w:r>
              <w:rPr>
                <w:rFonts w:ascii="Calibri" w:hAnsi="Calibri"/>
                <w:sz w:val="18"/>
              </w:rPr>
              <w:t>Empresas registradas</w:t>
            </w:r>
          </w:p>
        </w:tc>
        <w:tc>
          <w:tcPr>
            <w:tcW w:type="dxa" w:w="2280"/>
          </w:tcPr>
          <w:p>
            <w:r>
              <w:rPr>
                <w:rFonts w:ascii="Calibri" w:hAnsi="Calibri"/>
                <w:sz w:val="18"/>
              </w:rPr>
              <w:t>2025</w:t>
            </w:r>
          </w:p>
        </w:tc>
        <w:tc>
          <w:tcPr>
            <w:tcW w:type="dxa" w:w="2280"/>
          </w:tcPr>
          <w:p>
            <w:r>
              <w:rPr>
                <w:rFonts w:ascii="Calibri" w:hAnsi="Calibri"/>
                <w:sz w:val="18"/>
              </w:rPr>
              <w:t>11,247</w:t>
            </w:r>
          </w:p>
        </w:tc>
      </w:tr>
      <w:tr>
        <w:tc>
          <w:tcPr>
            <w:tcW w:type="dxa" w:w="2280"/>
          </w:tcPr>
          <w:p>
            <w:r>
              <w:rPr>
                <w:rFonts w:ascii="Calibri" w:hAnsi="Calibri"/>
                <w:sz w:val="18"/>
              </w:rPr>
              <w:t>OpenStreetMap (Overpass API)</w:t>
            </w:r>
          </w:p>
        </w:tc>
        <w:tc>
          <w:tcPr>
            <w:tcW w:type="dxa" w:w="2280"/>
          </w:tcPr>
          <w:p>
            <w:r>
              <w:rPr>
                <w:rFonts w:ascii="Calibri" w:hAnsi="Calibri"/>
                <w:sz w:val="18"/>
              </w:rPr>
              <w:t>Malla vial, polígonos de parqueaderos</w:t>
            </w:r>
          </w:p>
        </w:tc>
        <w:tc>
          <w:tcPr>
            <w:tcW w:type="dxa" w:w="2280"/>
          </w:tcPr>
          <w:p>
            <w:r>
              <w:rPr>
                <w:rFonts w:ascii="Calibri" w:hAnsi="Calibri"/>
                <w:sz w:val="18"/>
              </w:rPr>
              <w:t>2026</w:t>
            </w:r>
          </w:p>
        </w:tc>
        <w:tc>
          <w:tcPr>
            <w:tcW w:type="dxa" w:w="2280"/>
          </w:tcPr>
          <w:p>
            <w:r>
              <w:rPr>
                <w:rFonts w:ascii="Calibri" w:hAnsi="Calibri"/>
                <w:sz w:val="18"/>
              </w:rPr>
              <w:t>703 segmentos, 20 polígonos</w:t>
            </w:r>
          </w:p>
        </w:tc>
      </w:tr>
      <w:tr>
        <w:tc>
          <w:tcPr>
            <w:tcW w:type="dxa" w:w="2280"/>
          </w:tcPr>
          <w:p>
            <w:r>
              <w:rPr>
                <w:rFonts w:ascii="Calibri" w:hAnsi="Calibri"/>
                <w:sz w:val="18"/>
              </w:rPr>
              <w:t>INDER Medellín / Alcaldía</w:t>
            </w:r>
          </w:p>
        </w:tc>
        <w:tc>
          <w:tcPr>
            <w:tcW w:type="dxa" w:w="2280"/>
          </w:tcPr>
          <w:p>
            <w:r>
              <w:rPr>
                <w:rFonts w:ascii="Calibri" w:hAnsi="Calibri"/>
                <w:sz w:val="18"/>
              </w:rPr>
              <w:t>Modernización estadio</w:t>
            </w:r>
          </w:p>
        </w:tc>
        <w:tc>
          <w:tcPr>
            <w:tcW w:type="dxa" w:w="2280"/>
          </w:tcPr>
          <w:p>
            <w:r>
              <w:rPr>
                <w:rFonts w:ascii="Calibri" w:hAnsi="Calibri"/>
                <w:sz w:val="18"/>
              </w:rPr>
              <w:t>Nov 2025</w:t>
            </w:r>
          </w:p>
        </w:tc>
        <w:tc>
          <w:tcPr>
            <w:tcW w:type="dxa" w:w="2280"/>
          </w:tcPr>
          <w:p>
            <w:r>
              <w:rPr>
                <w:rFonts w:ascii="Calibri" w:hAnsi="Calibri"/>
                <w:sz w:val="18"/>
              </w:rPr>
              <w:t>Información pública</w:t>
            </w:r>
          </w:p>
        </w:tc>
      </w:tr>
      <w:tr>
        <w:tc>
          <w:tcPr>
            <w:tcW w:type="dxa" w:w="2280"/>
          </w:tcPr>
          <w:p>
            <w:r>
              <w:rPr>
                <w:rFonts w:ascii="Calibri" w:hAnsi="Calibri"/>
                <w:sz w:val="18"/>
              </w:rPr>
              <w:t>Dimayor / FutbolRed / WinSports</w:t>
            </w:r>
          </w:p>
        </w:tc>
        <w:tc>
          <w:tcPr>
            <w:tcW w:type="dxa" w:w="2280"/>
          </w:tcPr>
          <w:p>
            <w:r>
              <w:rPr>
                <w:rFonts w:ascii="Calibri" w:hAnsi="Calibri"/>
                <w:sz w:val="18"/>
              </w:rPr>
              <w:t>Asistencia Liga BetPlay</w:t>
            </w:r>
          </w:p>
        </w:tc>
        <w:tc>
          <w:tcPr>
            <w:tcW w:type="dxa" w:w="2280"/>
          </w:tcPr>
          <w:p>
            <w:r>
              <w:rPr>
                <w:rFonts w:ascii="Calibri" w:hAnsi="Calibri"/>
                <w:sz w:val="18"/>
              </w:rPr>
              <w:t>2023-2025</w:t>
            </w:r>
          </w:p>
        </w:tc>
        <w:tc>
          <w:tcPr>
            <w:tcW w:type="dxa" w:w="2280"/>
          </w:tcPr>
          <w:p>
            <w:r>
              <w:rPr>
                <w:rFonts w:ascii="Calibri" w:hAnsi="Calibri"/>
                <w:sz w:val="18"/>
              </w:rPr>
              <w:t>Registros por semestre</w:t>
            </w:r>
          </w:p>
        </w:tc>
      </w:tr>
      <w:tr>
        <w:tc>
          <w:tcPr>
            <w:tcW w:type="dxa" w:w="2280"/>
          </w:tcPr>
          <w:p>
            <w:r>
              <w:rPr>
                <w:rFonts w:ascii="Calibri" w:hAnsi="Calibri"/>
                <w:sz w:val="18"/>
              </w:rPr>
              <w:t>Cali Mayor (Ingeniería de tránsito)</w:t>
            </w:r>
          </w:p>
        </w:tc>
        <w:tc>
          <w:tcPr>
            <w:tcW w:type="dxa" w:w="2280"/>
          </w:tcPr>
          <w:p>
            <w:r>
              <w:rPr>
                <w:rFonts w:ascii="Calibri" w:hAnsi="Calibri"/>
                <w:sz w:val="18"/>
              </w:rPr>
              <w:t>Inventario parcial parqueaderos</w:t>
            </w:r>
          </w:p>
        </w:tc>
        <w:tc>
          <w:tcPr>
            <w:tcW w:type="dxa" w:w="2280"/>
          </w:tcPr>
          <w:p>
            <w:r>
              <w:rPr>
                <w:rFonts w:ascii="Calibri" w:hAnsi="Calibri"/>
                <w:sz w:val="18"/>
              </w:rPr>
              <w:t>2026</w:t>
            </w:r>
          </w:p>
        </w:tc>
        <w:tc>
          <w:tcPr>
            <w:tcW w:type="dxa" w:w="2280"/>
          </w:tcPr>
          <w:p>
            <w:r>
              <w:rPr>
                <w:rFonts w:ascii="Calibri" w:hAnsi="Calibri"/>
                <w:sz w:val="18"/>
              </w:rPr>
              <w:t>4 POIs verificados</w:t>
            </w:r>
          </w:p>
        </w:tc>
      </w:tr>
    </w:tbl>
    <w:p/>
    <w:p>
      <w:pPr>
        <w:pStyle w:val="Heading1"/>
      </w:pPr>
      <w:r>
        <w:t>3. ALCANCE DEL PROYECTO</w:t>
      </w:r>
    </w:p>
    <w:p>
      <w:pPr>
        <w:pStyle w:val="Heading2"/>
      </w:pPr>
      <w:r>
        <w:t>3.1 Descripción de la Infraestructura Propuesta</w:t>
      </w:r>
    </w:p>
    <w:p>
      <w:r>
        <w:t>El proyecto contempla la construcción, equipamiento, operación, mantenimiento y eventual reversión de una infraestructura de estacionamiento público subterráneo con las siguientes especificaciones:</w:t>
      </w:r>
    </w:p>
    <w:tbl>
      <w:tblPr>
        <w:tblStyle w:val="LightGrid-Accent1"/>
        <w:tblW w:type="auto" w:w="0"/>
        <w:jc w:val="center"/>
        <w:tblLook w:firstColumn="1" w:firstRow="1" w:lastColumn="0" w:lastRow="0" w:noHBand="0" w:noVBand="1" w:val="04A0"/>
      </w:tblPr>
      <w:tblGrid>
        <w:gridCol w:w="4561"/>
        <w:gridCol w:w="4561"/>
      </w:tblGrid>
      <w:tr>
        <w:tc>
          <w:tcPr>
            <w:tcW w:type="dxa" w:w="4561"/>
          </w:tcPr>
          <w:p>
            <w:r>
              <w:rPr>
                <w:rFonts w:ascii="Calibri" w:hAnsi="Calibri"/>
                <w:b/>
                <w:sz w:val="18"/>
              </w:rPr>
              <w:t>Componente</w:t>
            </w:r>
          </w:p>
        </w:tc>
        <w:tc>
          <w:tcPr>
            <w:tcW w:type="dxa" w:w="4561"/>
          </w:tcPr>
          <w:p>
            <w:r>
              <w:rPr>
                <w:rFonts w:ascii="Calibri" w:hAnsi="Calibri"/>
                <w:b/>
                <w:sz w:val="18"/>
              </w:rPr>
              <w:t>Especificación técnica</w:t>
            </w:r>
          </w:p>
        </w:tc>
      </w:tr>
      <w:tr>
        <w:tc>
          <w:tcPr>
            <w:tcW w:type="dxa" w:w="4561"/>
          </w:tcPr>
          <w:p>
            <w:r>
              <w:rPr>
                <w:rFonts w:ascii="Calibri" w:hAnsi="Calibri"/>
                <w:sz w:val="18"/>
              </w:rPr>
              <w:t>Celdas de estacionamiento vehicular</w:t>
            </w:r>
          </w:p>
        </w:tc>
        <w:tc>
          <w:tcPr>
            <w:tcW w:type="dxa" w:w="4561"/>
          </w:tcPr>
          <w:p>
            <w:r>
              <w:rPr>
                <w:rFonts w:ascii="Calibri" w:hAnsi="Calibri"/>
                <w:sz w:val="18"/>
              </w:rPr>
              <w:t>1,100 unidades (vehículos + motocicletas)</w:t>
            </w:r>
          </w:p>
        </w:tc>
      </w:tr>
      <w:tr>
        <w:tc>
          <w:tcPr>
            <w:tcW w:type="dxa" w:w="4561"/>
          </w:tcPr>
          <w:p>
            <w:r>
              <w:rPr>
                <w:rFonts w:ascii="Calibri" w:hAnsi="Calibri"/>
                <w:sz w:val="18"/>
              </w:rPr>
              <w:t>Niveles subterráneos</w:t>
            </w:r>
          </w:p>
        </w:tc>
        <w:tc>
          <w:tcPr>
            <w:tcW w:type="dxa" w:w="4561"/>
          </w:tcPr>
          <w:p>
            <w:r>
              <w:rPr>
                <w:rFonts w:ascii="Calibri" w:hAnsi="Calibri"/>
                <w:sz w:val="18"/>
              </w:rPr>
              <w:t>2 (bajo el nivel de cancha del Diamante de Béisbol)</w:t>
            </w:r>
          </w:p>
        </w:tc>
      </w:tr>
      <w:tr>
        <w:tc>
          <w:tcPr>
            <w:tcW w:type="dxa" w:w="4561"/>
          </w:tcPr>
          <w:p>
            <w:r>
              <w:rPr>
                <w:rFonts w:ascii="Calibri" w:hAnsi="Calibri"/>
                <w:sz w:val="18"/>
              </w:rPr>
              <w:t>Dimensión celda vehículo</w:t>
            </w:r>
          </w:p>
        </w:tc>
        <w:tc>
          <w:tcPr>
            <w:tcW w:type="dxa" w:w="4561"/>
          </w:tcPr>
          <w:p>
            <w:r>
              <w:rPr>
                <w:rFonts w:ascii="Calibri" w:hAnsi="Calibri"/>
                <w:sz w:val="18"/>
              </w:rPr>
              <w:t>2.50 m × 5.50 m = 13.75 m² (conforme a Decreto 0471 de 2018)</w:t>
            </w:r>
          </w:p>
        </w:tc>
      </w:tr>
      <w:tr>
        <w:tc>
          <w:tcPr>
            <w:tcW w:type="dxa" w:w="4561"/>
          </w:tcPr>
          <w:p>
            <w:r>
              <w:rPr>
                <w:rFonts w:ascii="Calibri" w:hAnsi="Calibri"/>
                <w:sz w:val="18"/>
              </w:rPr>
              <w:t>Dimensión celda motocicleta</w:t>
            </w:r>
          </w:p>
        </w:tc>
        <w:tc>
          <w:tcPr>
            <w:tcW w:type="dxa" w:w="4561"/>
          </w:tcPr>
          <w:p>
            <w:r>
              <w:rPr>
                <w:rFonts w:ascii="Calibri" w:hAnsi="Calibri"/>
                <w:sz w:val="18"/>
              </w:rPr>
              <w:t>1.00 m × 2.50 m = 2.50 m²</w:t>
            </w:r>
          </w:p>
        </w:tc>
      </w:tr>
      <w:tr>
        <w:tc>
          <w:tcPr>
            <w:tcW w:type="dxa" w:w="4561"/>
          </w:tcPr>
          <w:p>
            <w:r>
              <w:rPr>
                <w:rFonts w:ascii="Calibri" w:hAnsi="Calibri"/>
                <w:sz w:val="18"/>
              </w:rPr>
              <w:t>Pasillos de circulación vehicular</w:t>
            </w:r>
          </w:p>
        </w:tc>
        <w:tc>
          <w:tcPr>
            <w:tcW w:type="dxa" w:w="4561"/>
          </w:tcPr>
          <w:p>
            <w:r>
              <w:rPr>
                <w:rFonts w:ascii="Calibri" w:hAnsi="Calibri"/>
                <w:sz w:val="18"/>
              </w:rPr>
              <w:t>5.00 – 7.50 m de ancho</w:t>
            </w:r>
          </w:p>
        </w:tc>
      </w:tr>
      <w:tr>
        <w:tc>
          <w:tcPr>
            <w:tcW w:type="dxa" w:w="4561"/>
          </w:tcPr>
          <w:p>
            <w:r>
              <w:rPr>
                <w:rFonts w:ascii="Calibri" w:hAnsi="Calibri"/>
                <w:sz w:val="18"/>
              </w:rPr>
              <w:t>Área comercial a nivel de calle</w:t>
            </w:r>
          </w:p>
        </w:tc>
        <w:tc>
          <w:tcPr>
            <w:tcW w:type="dxa" w:w="4561"/>
          </w:tcPr>
          <w:p>
            <w:r>
              <w:rPr>
                <w:rFonts w:ascii="Calibri" w:hAnsi="Calibri"/>
                <w:sz w:val="18"/>
              </w:rPr>
              <w:t>~2,000 m²</w:t>
            </w:r>
          </w:p>
        </w:tc>
      </w:tr>
      <w:tr>
        <w:tc>
          <w:tcPr>
            <w:tcW w:type="dxa" w:w="4561"/>
          </w:tcPr>
          <w:p>
            <w:r>
              <w:rPr>
                <w:rFonts w:ascii="Calibri" w:hAnsi="Calibri"/>
                <w:sz w:val="18"/>
              </w:rPr>
              <w:t>Altura total del edificio</w:t>
            </w:r>
          </w:p>
        </w:tc>
        <w:tc>
          <w:tcPr>
            <w:tcW w:type="dxa" w:w="4561"/>
          </w:tcPr>
          <w:p>
            <w:r>
              <w:rPr>
                <w:rFonts w:ascii="Calibri" w:hAnsi="Calibri"/>
                <w:sz w:val="18"/>
              </w:rPr>
              <w:t>~25 m (2 sótanos + nivel de acceso y comercio)</w:t>
            </w:r>
          </w:p>
        </w:tc>
      </w:tr>
      <w:tr>
        <w:tc>
          <w:tcPr>
            <w:tcW w:type="dxa" w:w="4561"/>
          </w:tcPr>
          <w:p>
            <w:r>
              <w:rPr>
                <w:rFonts w:ascii="Calibri" w:hAnsi="Calibri"/>
                <w:sz w:val="18"/>
              </w:rPr>
              <w:t>Diseño sismorresistente</w:t>
            </w:r>
          </w:p>
        </w:tc>
        <w:tc>
          <w:tcPr>
            <w:tcW w:type="dxa" w:w="4561"/>
          </w:tcPr>
          <w:p>
            <w:r>
              <w:rPr>
                <w:rFonts w:ascii="Calibri" w:hAnsi="Calibri"/>
                <w:sz w:val="18"/>
              </w:rPr>
              <w:t>Conforme a NSR-10 (zona sísmica intermedia)</w:t>
            </w:r>
          </w:p>
        </w:tc>
      </w:tr>
      <w:tr>
        <w:tc>
          <w:tcPr>
            <w:tcW w:type="dxa" w:w="4561"/>
          </w:tcPr>
          <w:p>
            <w:r>
              <w:rPr>
                <w:rFonts w:ascii="Calibri" w:hAnsi="Calibri"/>
                <w:sz w:val="18"/>
              </w:rPr>
              <w:t>Normativa de iluminación</w:t>
            </w:r>
          </w:p>
        </w:tc>
        <w:tc>
          <w:tcPr>
            <w:tcW w:type="dxa" w:w="4561"/>
          </w:tcPr>
          <w:p>
            <w:r>
              <w:rPr>
                <w:rFonts w:ascii="Calibri" w:hAnsi="Calibri"/>
                <w:sz w:val="18"/>
              </w:rPr>
              <w:t>RETILAP</w:t>
            </w:r>
          </w:p>
        </w:tc>
      </w:tr>
      <w:tr>
        <w:tc>
          <w:tcPr>
            <w:tcW w:type="dxa" w:w="4561"/>
          </w:tcPr>
          <w:p>
            <w:r>
              <w:rPr>
                <w:rFonts w:ascii="Calibri" w:hAnsi="Calibri"/>
                <w:sz w:val="18"/>
              </w:rPr>
              <w:t>Sistema contra incendios</w:t>
            </w:r>
          </w:p>
        </w:tc>
        <w:tc>
          <w:tcPr>
            <w:tcW w:type="dxa" w:w="4561"/>
          </w:tcPr>
          <w:p>
            <w:r>
              <w:rPr>
                <w:rFonts w:ascii="Calibri" w:hAnsi="Calibri"/>
                <w:sz w:val="18"/>
              </w:rPr>
              <w:t>NSR-10, Título J (1 extintor de 5 kg por cada 10 vehículos)</w:t>
            </w:r>
          </w:p>
        </w:tc>
      </w:tr>
      <w:tr>
        <w:tc>
          <w:tcPr>
            <w:tcW w:type="dxa" w:w="4561"/>
          </w:tcPr>
          <w:p>
            <w:r>
              <w:rPr>
                <w:rFonts w:ascii="Calibri" w:hAnsi="Calibri"/>
                <w:sz w:val="18"/>
              </w:rPr>
              <w:t>Ventilación mecánica</w:t>
            </w:r>
          </w:p>
        </w:tc>
        <w:tc>
          <w:tcPr>
            <w:tcW w:type="dxa" w:w="4561"/>
          </w:tcPr>
          <w:p>
            <w:r>
              <w:rPr>
                <w:rFonts w:ascii="Calibri" w:hAnsi="Calibri"/>
                <w:sz w:val="18"/>
              </w:rPr>
              <w:t>Obligatoria para niveles subterráneos</w:t>
            </w:r>
          </w:p>
        </w:tc>
      </w:tr>
      <w:tr>
        <w:tc>
          <w:tcPr>
            <w:tcW w:type="dxa" w:w="4561"/>
          </w:tcPr>
          <w:p>
            <w:r>
              <w:rPr>
                <w:rFonts w:ascii="Calibri" w:hAnsi="Calibri"/>
                <w:sz w:val="18"/>
              </w:rPr>
              <w:t>Accesibilidad universal</w:t>
            </w:r>
          </w:p>
        </w:tc>
        <w:tc>
          <w:tcPr>
            <w:tcW w:type="dxa" w:w="4561"/>
          </w:tcPr>
          <w:p>
            <w:r>
              <w:rPr>
                <w:rFonts w:ascii="Calibri" w:hAnsi="Calibri"/>
                <w:sz w:val="18"/>
              </w:rPr>
              <w:t>Ley 1618 de 2013 (celdas preferenciales para PcD)</w:t>
            </w:r>
          </w:p>
        </w:tc>
      </w:tr>
      <w:tr>
        <w:tc>
          <w:tcPr>
            <w:tcW w:type="dxa" w:w="4561"/>
          </w:tcPr>
          <w:p>
            <w:r>
              <w:rPr>
                <w:rFonts w:ascii="Calibri" w:hAnsi="Calibri"/>
                <w:sz w:val="18"/>
              </w:rPr>
              <w:t>Estaciones de carga para vehículos eléctricos</w:t>
            </w:r>
          </w:p>
        </w:tc>
        <w:tc>
          <w:tcPr>
            <w:tcW w:type="dxa" w:w="4561"/>
          </w:tcPr>
          <w:p>
            <w:r>
              <w:rPr>
                <w:rFonts w:ascii="Calibri" w:hAnsi="Calibri"/>
                <w:sz w:val="18"/>
              </w:rPr>
              <w:t>Previsión de infraestructura (puntos de conexión)</w:t>
            </w:r>
          </w:p>
        </w:tc>
      </w:tr>
    </w:tbl>
    <w:p/>
    <w:p>
      <w:pPr>
        <w:pStyle w:val="Heading2"/>
      </w:pPr>
      <w:r>
        <w:t>3.2 Programa Arquitectónico Conceptual</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r>
              <w:rPr>
                <w:rFonts w:ascii="Calibri" w:hAnsi="Calibri"/>
                <w:b/>
                <w:sz w:val="18"/>
              </w:rPr>
              <w:t>Nivel</w:t>
            </w:r>
          </w:p>
        </w:tc>
        <w:tc>
          <w:tcPr>
            <w:tcW w:type="dxa" w:w="1520"/>
          </w:tcPr>
          <w:p>
            <w:r>
              <w:rPr>
                <w:rFonts w:ascii="Calibri" w:hAnsi="Calibri"/>
                <w:b/>
                <w:sz w:val="18"/>
              </w:rPr>
              <w:t>Uso principal</w:t>
            </w:r>
          </w:p>
        </w:tc>
        <w:tc>
          <w:tcPr>
            <w:tcW w:type="dxa" w:w="1520"/>
          </w:tcPr>
          <w:p>
            <w:r>
              <w:rPr>
                <w:rFonts w:ascii="Calibri" w:hAnsi="Calibri"/>
                <w:b/>
                <w:sz w:val="18"/>
              </w:rPr>
              <w:t>Área estimada (m²)</w:t>
            </w:r>
          </w:p>
        </w:tc>
        <w:tc>
          <w:tcPr>
            <w:tcW w:type="dxa" w:w="1520"/>
          </w:tcPr>
          <w:p>
            <w:r>
              <w:rPr>
                <w:rFonts w:ascii="Calibri" w:hAnsi="Calibri"/>
                <w:b/>
                <w:sz w:val="18"/>
              </w:rPr>
              <w:t>Celdas vehiculares</w:t>
            </w:r>
          </w:p>
        </w:tc>
        <w:tc>
          <w:tcPr>
            <w:tcW w:type="dxa" w:w="1520"/>
          </w:tcPr>
          <w:p>
            <w:r>
              <w:rPr>
                <w:rFonts w:ascii="Calibri" w:hAnsi="Calibri"/>
                <w:b/>
                <w:sz w:val="18"/>
              </w:rPr>
              <w:t>Celdas motos</w:t>
            </w:r>
          </w:p>
        </w:tc>
        <w:tc>
          <w:tcPr>
            <w:tcW w:type="dxa" w:w="1520"/>
          </w:tcPr>
          <w:p>
            <w:r>
              <w:rPr>
                <w:rFonts w:ascii="Calibri" w:hAnsi="Calibri"/>
                <w:b/>
                <w:sz w:val="18"/>
              </w:rPr>
              <w:t>Área comercial</w:t>
            </w:r>
          </w:p>
        </w:tc>
      </w:tr>
      <w:tr>
        <w:tc>
          <w:tcPr>
            <w:tcW w:type="dxa" w:w="1520"/>
          </w:tcPr>
          <w:p>
            <w:r>
              <w:rPr>
                <w:rFonts w:ascii="Calibri" w:hAnsi="Calibri"/>
                <w:sz w:val="18"/>
              </w:rPr>
              <w:t>Sótano -2</w:t>
            </w:r>
          </w:p>
        </w:tc>
        <w:tc>
          <w:tcPr>
            <w:tcW w:type="dxa" w:w="1520"/>
          </w:tcPr>
          <w:p>
            <w:r>
              <w:rPr>
                <w:rFonts w:ascii="Calibri" w:hAnsi="Calibri"/>
                <w:sz w:val="18"/>
              </w:rPr>
              <w:t>Estacionamiento</w:t>
            </w:r>
          </w:p>
        </w:tc>
        <w:tc>
          <w:tcPr>
            <w:tcW w:type="dxa" w:w="1520"/>
          </w:tcPr>
          <w:p>
            <w:r>
              <w:rPr>
                <w:rFonts w:ascii="Calibri" w:hAnsi="Calibri"/>
                <w:sz w:val="18"/>
              </w:rPr>
              <w:t>~5,500</w:t>
            </w:r>
          </w:p>
        </w:tc>
        <w:tc>
          <w:tcPr>
            <w:tcW w:type="dxa" w:w="1520"/>
          </w:tcPr>
          <w:p>
            <w:r>
              <w:rPr>
                <w:rFonts w:ascii="Calibri" w:hAnsi="Calibri"/>
                <w:sz w:val="18"/>
              </w:rPr>
              <w:t>~440</w:t>
            </w:r>
          </w:p>
        </w:tc>
        <w:tc>
          <w:tcPr>
            <w:tcW w:type="dxa" w:w="1520"/>
          </w:tcPr>
          <w:p>
            <w:r>
              <w:rPr>
                <w:rFonts w:ascii="Calibri" w:hAnsi="Calibri"/>
                <w:sz w:val="18"/>
              </w:rPr>
              <w:t>~110</w:t>
            </w:r>
          </w:p>
        </w:tc>
        <w:tc>
          <w:tcPr>
            <w:tcW w:type="dxa" w:w="1520"/>
          </w:tcPr>
          <w:p>
            <w:r>
              <w:rPr>
                <w:rFonts w:ascii="Calibri" w:hAnsi="Calibri"/>
                <w:sz w:val="18"/>
              </w:rPr>
              <w:t>—</w:t>
            </w:r>
          </w:p>
        </w:tc>
      </w:tr>
      <w:tr>
        <w:tc>
          <w:tcPr>
            <w:tcW w:type="dxa" w:w="1520"/>
          </w:tcPr>
          <w:p>
            <w:r>
              <w:rPr>
                <w:rFonts w:ascii="Calibri" w:hAnsi="Calibri"/>
                <w:sz w:val="18"/>
              </w:rPr>
              <w:t>Sótano -1</w:t>
            </w:r>
          </w:p>
        </w:tc>
        <w:tc>
          <w:tcPr>
            <w:tcW w:type="dxa" w:w="1520"/>
          </w:tcPr>
          <w:p>
            <w:r>
              <w:rPr>
                <w:rFonts w:ascii="Calibri" w:hAnsi="Calibri"/>
                <w:sz w:val="18"/>
              </w:rPr>
              <w:t>Estacionamiento</w:t>
            </w:r>
          </w:p>
        </w:tc>
        <w:tc>
          <w:tcPr>
            <w:tcW w:type="dxa" w:w="1520"/>
          </w:tcPr>
          <w:p>
            <w:r>
              <w:rPr>
                <w:rFonts w:ascii="Calibri" w:hAnsi="Calibri"/>
                <w:sz w:val="18"/>
              </w:rPr>
              <w:t>~5,500</w:t>
            </w:r>
          </w:p>
        </w:tc>
        <w:tc>
          <w:tcPr>
            <w:tcW w:type="dxa" w:w="1520"/>
          </w:tcPr>
          <w:p>
            <w:r>
              <w:rPr>
                <w:rFonts w:ascii="Calibri" w:hAnsi="Calibri"/>
                <w:sz w:val="18"/>
              </w:rPr>
              <w:t>~440</w:t>
            </w:r>
          </w:p>
        </w:tc>
        <w:tc>
          <w:tcPr>
            <w:tcW w:type="dxa" w:w="1520"/>
          </w:tcPr>
          <w:p>
            <w:r>
              <w:rPr>
                <w:rFonts w:ascii="Calibri" w:hAnsi="Calibri"/>
                <w:sz w:val="18"/>
              </w:rPr>
              <w:t>~110</w:t>
            </w:r>
          </w:p>
        </w:tc>
        <w:tc>
          <w:tcPr>
            <w:tcW w:type="dxa" w:w="1520"/>
          </w:tcPr>
          <w:p>
            <w:r>
              <w:rPr>
                <w:rFonts w:ascii="Calibri" w:hAnsi="Calibri"/>
                <w:sz w:val="18"/>
              </w:rPr>
              <w:t>—</w:t>
            </w:r>
          </w:p>
        </w:tc>
      </w:tr>
      <w:tr>
        <w:tc>
          <w:tcPr>
            <w:tcW w:type="dxa" w:w="1520"/>
          </w:tcPr>
          <w:p>
            <w:r>
              <w:rPr>
                <w:rFonts w:ascii="Calibri" w:hAnsi="Calibri"/>
                <w:sz w:val="18"/>
              </w:rPr>
              <w:t>Nivel 0 (calle)</w:t>
            </w:r>
          </w:p>
        </w:tc>
        <w:tc>
          <w:tcPr>
            <w:tcW w:type="dxa" w:w="1520"/>
          </w:tcPr>
          <w:p>
            <w:r>
              <w:rPr>
                <w:rFonts w:ascii="Calibri" w:hAnsi="Calibri"/>
                <w:sz w:val="18"/>
              </w:rPr>
              <w:t>Comercio + accesos vehiculares y peatonales</w:t>
            </w:r>
          </w:p>
        </w:tc>
        <w:tc>
          <w:tcPr>
            <w:tcW w:type="dxa" w:w="1520"/>
          </w:tcPr>
          <w:p>
            <w:r>
              <w:rPr>
                <w:rFonts w:ascii="Calibri" w:hAnsi="Calibri"/>
                <w:sz w:val="18"/>
              </w:rPr>
              <w:t>~2,500</w:t>
            </w:r>
          </w:p>
        </w:tc>
        <w:tc>
          <w:tcPr>
            <w:tcW w:type="dxa" w:w="1520"/>
          </w:tcPr>
          <w:p>
            <w:r>
              <w:rPr>
                <w:rFonts w:ascii="Calibri" w:hAnsi="Calibri"/>
                <w:sz w:val="18"/>
              </w:rPr>
              <w:t>—</w:t>
            </w:r>
          </w:p>
        </w:tc>
        <w:tc>
          <w:tcPr>
            <w:tcW w:type="dxa" w:w="1520"/>
          </w:tcPr>
          <w:p>
            <w:r>
              <w:rPr>
                <w:rFonts w:ascii="Calibri" w:hAnsi="Calibri"/>
                <w:sz w:val="18"/>
              </w:rPr>
              <w:t>—</w:t>
            </w:r>
          </w:p>
        </w:tc>
        <w:tc>
          <w:tcPr>
            <w:tcW w:type="dxa" w:w="1520"/>
          </w:tcPr>
          <w:p>
            <w:r>
              <w:rPr>
                <w:rFonts w:ascii="Calibri" w:hAnsi="Calibri"/>
                <w:sz w:val="18"/>
              </w:rPr>
              <w:t>~2,000 m²</w:t>
            </w:r>
          </w:p>
        </w:tc>
      </w:tr>
      <w:tr>
        <w:tc>
          <w:tcPr>
            <w:tcW w:type="dxa" w:w="1520"/>
          </w:tcPr>
          <w:p>
            <w:r>
              <w:rPr>
                <w:rFonts w:ascii="Calibri" w:hAnsi="Calibri"/>
                <w:sz w:val="18"/>
              </w:rPr>
              <w:t>Total</w:t>
            </w:r>
          </w:p>
        </w:tc>
        <w:tc>
          <w:tcPr>
            <w:tcW w:type="dxa" w:w="1520"/>
          </w:tcPr>
          <w:p>
            <w:r>
              <w:rPr>
                <w:rFonts w:ascii="Calibri" w:hAnsi="Calibri"/>
                <w:sz w:val="18"/>
              </w:rPr>
            </w:r>
          </w:p>
        </w:tc>
        <w:tc>
          <w:tcPr>
            <w:tcW w:type="dxa" w:w="1520"/>
          </w:tcPr>
          <w:p>
            <w:r>
              <w:rPr>
                <w:rFonts w:ascii="Calibri" w:hAnsi="Calibri"/>
                <w:sz w:val="18"/>
              </w:rPr>
              <w:t>~13,500</w:t>
            </w:r>
          </w:p>
        </w:tc>
        <w:tc>
          <w:tcPr>
            <w:tcW w:type="dxa" w:w="1520"/>
          </w:tcPr>
          <w:p>
            <w:r>
              <w:rPr>
                <w:rFonts w:ascii="Calibri" w:hAnsi="Calibri"/>
                <w:sz w:val="18"/>
              </w:rPr>
              <w:t>~880</w:t>
            </w:r>
          </w:p>
        </w:tc>
        <w:tc>
          <w:tcPr>
            <w:tcW w:type="dxa" w:w="1520"/>
          </w:tcPr>
          <w:p>
            <w:r>
              <w:rPr>
                <w:rFonts w:ascii="Calibri" w:hAnsi="Calibri"/>
                <w:sz w:val="18"/>
              </w:rPr>
              <w:t>~220</w:t>
            </w:r>
          </w:p>
        </w:tc>
        <w:tc>
          <w:tcPr>
            <w:tcW w:type="dxa" w:w="1520"/>
          </w:tcPr>
          <w:p>
            <w:r>
              <w:rPr>
                <w:rFonts w:ascii="Calibri" w:hAnsi="Calibri"/>
                <w:sz w:val="18"/>
              </w:rPr>
              <w:t>~2,000 m²</w:t>
            </w:r>
          </w:p>
        </w:tc>
      </w:tr>
    </w:tbl>
    <w:p/>
    <w:p>
      <w:r>
        <w:t>El programa arquitectónico conceptual considera una eficiencia del 65% del área bruta para celdas de estacionamiento (descontando pasillos de circulación, rampas, muros estructurales, cuartos técnicos y áreas de servicio). La distribución entre celdas vehiculares (~80%) y celdas para motocicletas (~20%) refleja la composición vehicular de la zona, donde las motocicletas representan el 38% del tráfico según los aforos oficiales del SIMM. Cada celda vehicular de 13.75 m² puede albergar tres motocicletas en su configuración alterna.</w:t>
      </w:r>
    </w:p>
    <w:p>
      <w:pPr>
        <w:pStyle w:val="Heading2"/>
      </w:pPr>
      <w:r>
        <w:t>3.3 Esquema de Operación y Tarifas</w:t>
      </w:r>
    </w:p>
    <w:p>
      <w:r>
        <w:t>El proyecto operará bajo un modelo de ingresos diversificado que combina tarifas de estacionamiento con tarifa dinámica (diferenciando días normales de días de evento), pases mensuales, servicio de valet parking y renta de locales comerciales a nivel de calle.</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r>
              <w:rPr>
                <w:rFonts w:ascii="Calibri" w:hAnsi="Calibri"/>
                <w:b/>
                <w:sz w:val="18"/>
              </w:rPr>
              <w:t>Concepto</w:t>
            </w:r>
          </w:p>
        </w:tc>
        <w:tc>
          <w:tcPr>
            <w:tcW w:type="dxa" w:w="3041"/>
          </w:tcPr>
          <w:p>
            <w:r>
              <w:rPr>
                <w:rFonts w:ascii="Calibri" w:hAnsi="Calibri"/>
                <w:b/>
                <w:sz w:val="18"/>
              </w:rPr>
              <w:t>Valor propuesto</w:t>
            </w:r>
          </w:p>
        </w:tc>
        <w:tc>
          <w:tcPr>
            <w:tcW w:type="dxa" w:w="3041"/>
          </w:tcPr>
          <w:p>
            <w:r>
              <w:rPr>
                <w:rFonts w:ascii="Calibri" w:hAnsi="Calibri"/>
                <w:b/>
                <w:sz w:val="18"/>
              </w:rPr>
              <w:t>Referencia de mercado</w:t>
            </w:r>
          </w:p>
        </w:tc>
      </w:tr>
      <w:tr>
        <w:tc>
          <w:tcPr>
            <w:tcW w:type="dxa" w:w="3041"/>
          </w:tcPr>
          <w:p>
            <w:r>
              <w:rPr>
                <w:rFonts w:ascii="Calibri" w:hAnsi="Calibri"/>
                <w:sz w:val="18"/>
              </w:rPr>
              <w:t>Tarifa base (día normal, por hora)</w:t>
            </w:r>
          </w:p>
        </w:tc>
        <w:tc>
          <w:tcPr>
            <w:tcW w:type="dxa" w:w="3041"/>
          </w:tcPr>
          <w:p>
            <w:r>
              <w:rPr>
                <w:rFonts w:ascii="Calibri" w:hAnsi="Calibri"/>
                <w:sz w:val="18"/>
              </w:rPr>
              <w:t>$5,000 COP/hr</w:t>
            </w:r>
          </w:p>
        </w:tc>
        <w:tc>
          <w:tcPr>
            <w:tcW w:type="dxa" w:w="3041"/>
          </w:tcPr>
          <w:p>
            <w:r>
              <w:rPr>
                <w:rFonts w:ascii="Calibri" w:hAnsi="Calibri"/>
                <w:sz w:val="18"/>
              </w:rPr>
              <w:t>Promedio zona: $4,000-$9,000/hr</w:t>
            </w:r>
          </w:p>
        </w:tc>
      </w:tr>
      <w:tr>
        <w:tc>
          <w:tcPr>
            <w:tcW w:type="dxa" w:w="3041"/>
          </w:tcPr>
          <w:p>
            <w:r>
              <w:rPr>
                <w:rFonts w:ascii="Calibri" w:hAnsi="Calibri"/>
                <w:sz w:val="18"/>
              </w:rPr>
              <w:t>Tarifa evento (52 fechas/año, por día)</w:t>
            </w:r>
          </w:p>
        </w:tc>
        <w:tc>
          <w:tcPr>
            <w:tcW w:type="dxa" w:w="3041"/>
          </w:tcPr>
          <w:p>
            <w:r>
              <w:rPr>
                <w:rFonts w:ascii="Calibri" w:hAnsi="Calibri"/>
                <w:sz w:val="18"/>
              </w:rPr>
              <w:t>$35,000 COP/día</w:t>
            </w:r>
          </w:p>
        </w:tc>
        <w:tc>
          <w:tcPr>
            <w:tcW w:type="dxa" w:w="3041"/>
          </w:tcPr>
          <w:p>
            <w:r>
              <w:rPr>
                <w:rFonts w:ascii="Calibri" w:hAnsi="Calibri"/>
                <w:sz w:val="18"/>
              </w:rPr>
              <w:t>Obelisco: $27,000/día; premium justificado por ubicación</w:t>
            </w:r>
          </w:p>
        </w:tc>
      </w:tr>
      <w:tr>
        <w:tc>
          <w:tcPr>
            <w:tcW w:type="dxa" w:w="3041"/>
          </w:tcPr>
          <w:p>
            <w:r>
              <w:rPr>
                <w:rFonts w:ascii="Calibri" w:hAnsi="Calibri"/>
                <w:sz w:val="18"/>
              </w:rPr>
              <w:t>Pases mensuales (cupo limitado)</w:t>
            </w:r>
          </w:p>
        </w:tc>
        <w:tc>
          <w:tcPr>
            <w:tcW w:type="dxa" w:w="3041"/>
          </w:tcPr>
          <w:p>
            <w:r>
              <w:rPr>
                <w:rFonts w:ascii="Calibri" w:hAnsi="Calibri"/>
                <w:sz w:val="18"/>
              </w:rPr>
              <w:t>$400,000 COP/mes (40 slots)</w:t>
            </w:r>
          </w:p>
        </w:tc>
        <w:tc>
          <w:tcPr>
            <w:tcW w:type="dxa" w:w="3041"/>
          </w:tcPr>
          <w:p>
            <w:r>
              <w:rPr>
                <w:rFonts w:ascii="Calibri" w:hAnsi="Calibri"/>
                <w:sz w:val="18"/>
              </w:rPr>
              <w:t>Mercado corporativo Laureles</w:t>
            </w:r>
          </w:p>
        </w:tc>
      </w:tr>
      <w:tr>
        <w:tc>
          <w:tcPr>
            <w:tcW w:type="dxa" w:w="3041"/>
          </w:tcPr>
          <w:p>
            <w:r>
              <w:rPr>
                <w:rFonts w:ascii="Calibri" w:hAnsi="Calibri"/>
                <w:sz w:val="18"/>
              </w:rPr>
              <w:t>Servicio valet parking (eventos)</w:t>
            </w:r>
          </w:p>
        </w:tc>
        <w:tc>
          <w:tcPr>
            <w:tcW w:type="dxa" w:w="3041"/>
          </w:tcPr>
          <w:p>
            <w:r>
              <w:rPr>
                <w:rFonts w:ascii="Calibri" w:hAnsi="Calibri"/>
                <w:sz w:val="18"/>
              </w:rPr>
              <w:t>$15,000 COP/servicio</w:t>
            </w:r>
          </w:p>
        </w:tc>
        <w:tc>
          <w:tcPr>
            <w:tcW w:type="dxa" w:w="3041"/>
          </w:tcPr>
          <w:p>
            <w:r>
              <w:rPr>
                <w:rFonts w:ascii="Calibri" w:hAnsi="Calibri"/>
                <w:sz w:val="18"/>
              </w:rPr>
              <w:t>Estándar eventos masivos</w:t>
            </w:r>
          </w:p>
        </w:tc>
      </w:tr>
      <w:tr>
        <w:tc>
          <w:tcPr>
            <w:tcW w:type="dxa" w:w="3041"/>
          </w:tcPr>
          <w:p>
            <w:r>
              <w:rPr>
                <w:rFonts w:ascii="Calibri" w:hAnsi="Calibri"/>
                <w:sz w:val="18"/>
              </w:rPr>
              <w:t>Renta comercial (nivel calle)</w:t>
            </w:r>
          </w:p>
        </w:tc>
        <w:tc>
          <w:tcPr>
            <w:tcW w:type="dxa" w:w="3041"/>
          </w:tcPr>
          <w:p>
            <w:r>
              <w:rPr>
                <w:rFonts w:ascii="Calibri" w:hAnsi="Calibri"/>
                <w:sz w:val="18"/>
              </w:rPr>
              <w:t>$60,000-$120,000 COP/m²/mes</w:t>
            </w:r>
          </w:p>
        </w:tc>
        <w:tc>
          <w:tcPr>
            <w:tcW w:type="dxa" w:w="3041"/>
          </w:tcPr>
          <w:p>
            <w:r>
              <w:rPr>
                <w:rFonts w:ascii="Calibri" w:hAnsi="Calibri"/>
                <w:sz w:val="18"/>
              </w:rPr>
              <w:t>Laureles promedio: $28K-$100K/m²/mes según tamaño</w:t>
            </w:r>
          </w:p>
        </w:tc>
      </w:tr>
      <w:tr>
        <w:tc>
          <w:tcPr>
            <w:tcW w:type="dxa" w:w="3041"/>
          </w:tcPr>
          <w:p>
            <w:r>
              <w:rPr>
                <w:rFonts w:ascii="Calibri" w:hAnsi="Calibri"/>
                <w:sz w:val="18"/>
              </w:rPr>
              <w:t>Horario de operación</w:t>
            </w:r>
          </w:p>
        </w:tc>
        <w:tc>
          <w:tcPr>
            <w:tcW w:type="dxa" w:w="3041"/>
          </w:tcPr>
          <w:p>
            <w:r>
              <w:rPr>
                <w:rFonts w:ascii="Calibri" w:hAnsi="Calibri"/>
                <w:sz w:val="18"/>
              </w:rPr>
              <w:t>6:00 AM – 8:00 PM (14 hrs)</w:t>
            </w:r>
          </w:p>
        </w:tc>
        <w:tc>
          <w:tcPr>
            <w:tcW w:type="dxa" w:w="3041"/>
          </w:tcPr>
          <w:p>
            <w:r>
              <w:rPr>
                <w:rFonts w:ascii="Calibri" w:hAnsi="Calibri"/>
                <w:sz w:val="18"/>
              </w:rPr>
              <w:t>Ampliable en eventos nocturnos</w:t>
            </w:r>
          </w:p>
        </w:tc>
      </w:tr>
    </w:tbl>
    <w:p/>
    <w:p>
      <w:r>
        <w:t>El esquema de tarifa dinámica se fundamenta en la diferenciación entre la tarifa base para días normales y una tarifa plena para los 52 días de evento anuales (correspondientes a un evento por semana en promedio). La tarifa plena de $35,000 COP/día se posiciona un 30% por encima de la tarifa del Centro Comercial Obelisco ($27,000/día), justificado por la ubicación privilegiada inmediata al estadio, la seguridad de la infraestructura subterránea, y la eliminación del riesgo de multa por parqueo ilegal ($344,000 COP).</w:t>
      </w:r>
    </w:p>
    <w:p>
      <w:pPr>
        <w:pStyle w:val="Heading2"/>
      </w:pPr>
      <w:r>
        <w:t>3.4 Población Beneficiada y Afectada</w:t>
      </w:r>
    </w:p>
    <w:p>
      <w:r/>
      <w:r>
        <w:rPr>
          <w:b/>
        </w:rPr>
        <w:t>Beneficiarios directos:</w:t>
      </w:r>
      <w:r/>
    </w:p>
    <w:p>
      <w:pPr>
        <w:pStyle w:val="ListBullet"/>
      </w:pPr>
      <w:r>
        <w:t>~2,200,000 asistentes anuales a eventos en el Atanasio Girardot (fútbol, conciertos, ferias)</w:t>
      </w:r>
    </w:p>
    <w:p>
      <w:pPr>
        <w:pStyle w:val="ListBullet"/>
      </w:pPr>
      <w:r>
        <w:t>Usuarios permanentes de las instalaciones deportivas del complejo: ligas de natación, patinaje, tenis, atletismo (~2,000-5,000 usuarios semanales)</w:t>
      </w:r>
    </w:p>
    <w:p>
      <w:pPr>
        <w:pStyle w:val="ListBullet"/>
      </w:pPr>
      <w:r>
        <w:t>Comerciantes del corredor gastronómico y comercial de Laureles-Estadio</w:t>
      </w:r>
    </w:p>
    <w:p>
      <w:r/>
      <w:r>
        <w:rPr>
          <w:b/>
        </w:rPr>
        <w:t>Beneficiarios indirectos:</w:t>
      </w:r>
      <w:r/>
    </w:p>
    <w:p>
      <w:pPr>
        <w:pStyle w:val="ListBullet"/>
      </w:pPr>
      <w:r>
        <w:t>72,803 habitantes de la Comuna 11 (mejora en movilidad y calidad de vida)</w:t>
      </w:r>
    </w:p>
    <w:p>
      <w:pPr>
        <w:pStyle w:val="ListBullet"/>
      </w:pPr>
      <w:r>
        <w:t>449,000 habitantes del área de influencia (Comunas 10, 11, 12, 16 y parte de Robledo)</w:t>
      </w:r>
    </w:p>
    <w:p>
      <w:pPr>
        <w:pStyle w:val="ListBullet"/>
      </w:pPr>
      <w:r>
        <w:t>11,247 empresas registradas en la zona (mejora en accesibilidad para clientes y empleados)</w:t>
      </w:r>
    </w:p>
    <w:p>
      <w:r/>
      <w:r>
        <w:rPr>
          <w:b/>
        </w:rPr>
        <w:t>Población potencialmente afectada (fase de construcción):</w:t>
      </w:r>
      <w:r/>
    </w:p>
    <w:p>
      <w:pPr>
        <w:pStyle w:val="ListBullet"/>
      </w:pPr>
      <w:r>
        <w:t>Residentes y comerciantes en un radio de 200 m del sitio de obras: afectación temporal por ruido, material particulado, ingreso y salida de vehículos de obra</w:t>
      </w:r>
    </w:p>
    <w:p>
      <w:pPr>
        <w:pStyle w:val="ListBullet"/>
      </w:pPr>
      <w:r>
        <w:t>Usuarios de las vías circundantes: afectación temporal de movilidad durante la fase de construcción (18-24 meses)</w:t>
      </w:r>
    </w:p>
    <w:p>
      <w:pPr>
        <w:pStyle w:val="ListBullet"/>
      </w:pPr>
      <w:r>
        <w:t>Mitigaciones previstas: Plan de Manejo de Tránsito (PMT), Plan de Manejo Ambiental, señalización temporal, horarios de obra restringidos</w:t>
      </w:r>
    </w:p>
    <w:p>
      <w:r/>
      <w:r>
        <w:rPr>
          <w:b/>
        </w:rPr>
        <w:t>Fundamentación jurídica:</w:t>
      </w:r>
      <w:r>
        <w:t xml:space="preserve"> Decreto 1082 de 2015, Artículo 2.2.2.1.5.2, Numerales 2.2, 2.4 y 2.14-2.16.</w:t>
      </w:r>
    </w:p>
    <w:p>
      <w:pPr>
        <w:pStyle w:val="Heading2"/>
      </w:pPr>
      <w:r>
        <w:t>3.5 Cronograma General</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tcPr>
          <w:p>
            <w:r>
              <w:rPr>
                <w:rFonts w:ascii="Calibri" w:hAnsi="Calibri"/>
                <w:b/>
                <w:sz w:val="18"/>
              </w:rPr>
              <w:t>#</w:t>
            </w:r>
          </w:p>
        </w:tc>
        <w:tc>
          <w:tcPr>
            <w:tcW w:type="dxa" w:w="2280"/>
          </w:tcPr>
          <w:p>
            <w:r>
              <w:rPr>
                <w:rFonts w:ascii="Calibri" w:hAnsi="Calibri"/>
                <w:b/>
                <w:sz w:val="18"/>
              </w:rPr>
              <w:t>Fase</w:t>
            </w:r>
          </w:p>
        </w:tc>
        <w:tc>
          <w:tcPr>
            <w:tcW w:type="dxa" w:w="2280"/>
          </w:tcPr>
          <w:p>
            <w:r>
              <w:rPr>
                <w:rFonts w:ascii="Calibri" w:hAnsi="Calibri"/>
                <w:b/>
                <w:sz w:val="18"/>
              </w:rPr>
              <w:t>Actividades principales</w:t>
            </w:r>
          </w:p>
        </w:tc>
        <w:tc>
          <w:tcPr>
            <w:tcW w:type="dxa" w:w="2280"/>
          </w:tcPr>
          <w:p>
            <w:r>
              <w:rPr>
                <w:rFonts w:ascii="Calibri" w:hAnsi="Calibri"/>
                <w:b/>
                <w:sz w:val="18"/>
              </w:rPr>
              <w:t>Duración estimada</w:t>
            </w:r>
          </w:p>
        </w:tc>
      </w:tr>
      <w:tr>
        <w:tc>
          <w:tcPr>
            <w:tcW w:type="dxa" w:w="2280"/>
          </w:tcPr>
          <w:p>
            <w:r>
              <w:rPr>
                <w:rFonts w:ascii="Calibri" w:hAnsi="Calibri"/>
                <w:sz w:val="18"/>
              </w:rPr>
              <w:t>1</w:t>
            </w:r>
          </w:p>
        </w:tc>
        <w:tc>
          <w:tcPr>
            <w:tcW w:type="dxa" w:w="2280"/>
          </w:tcPr>
          <w:p>
            <w:r>
              <w:rPr>
                <w:rFonts w:ascii="Calibri" w:hAnsi="Calibri"/>
                <w:sz w:val="18"/>
              </w:rPr>
              <w:t>Estructuración</w:t>
            </w:r>
          </w:p>
        </w:tc>
        <w:tc>
          <w:tcPr>
            <w:tcW w:type="dxa" w:w="2280"/>
          </w:tcPr>
          <w:p>
            <w:r>
              <w:rPr>
                <w:rFonts w:ascii="Calibri" w:hAnsi="Calibri"/>
                <w:sz w:val="18"/>
              </w:rPr>
              <w:t>Diseños arquitectónicos y de ingeniería, estudios de suelos, modelo financiero detallado, licencias previas</w:t>
            </w:r>
          </w:p>
        </w:tc>
        <w:tc>
          <w:tcPr>
            <w:tcW w:type="dxa" w:w="2280"/>
          </w:tcPr>
          <w:p>
            <w:r>
              <w:rPr>
                <w:rFonts w:ascii="Calibri" w:hAnsi="Calibri"/>
                <w:sz w:val="18"/>
              </w:rPr>
              <w:t>6-8 meses</w:t>
            </w:r>
          </w:p>
        </w:tc>
      </w:tr>
      <w:tr>
        <w:tc>
          <w:tcPr>
            <w:tcW w:type="dxa" w:w="2280"/>
          </w:tcPr>
          <w:p>
            <w:r>
              <w:rPr>
                <w:rFonts w:ascii="Calibri" w:hAnsi="Calibri"/>
                <w:sz w:val="18"/>
              </w:rPr>
              <w:t>2</w:t>
            </w:r>
          </w:p>
        </w:tc>
        <w:tc>
          <w:tcPr>
            <w:tcW w:type="dxa" w:w="2280"/>
          </w:tcPr>
          <w:p>
            <w:r>
              <w:rPr>
                <w:rFonts w:ascii="Calibri" w:hAnsi="Calibri"/>
                <w:sz w:val="18"/>
              </w:rPr>
              <w:t>Licenciamiento</w:t>
            </w:r>
          </w:p>
        </w:tc>
        <w:tc>
          <w:tcPr>
            <w:tcW w:type="dxa" w:w="2280"/>
          </w:tcPr>
          <w:p>
            <w:r>
              <w:rPr>
                <w:rFonts w:ascii="Calibri" w:hAnsi="Calibri"/>
                <w:sz w:val="18"/>
              </w:rPr>
              <w:t>Licencia de construcción (Curaduría Urbana), permisos ambientales (AMVA), concepto de movilidad (Secretaría de Movilidad), licencia de intervención del espacio público</w:t>
            </w:r>
          </w:p>
        </w:tc>
        <w:tc>
          <w:tcPr>
            <w:tcW w:type="dxa" w:w="2280"/>
          </w:tcPr>
          <w:p>
            <w:r>
              <w:rPr>
                <w:rFonts w:ascii="Calibri" w:hAnsi="Calibri"/>
                <w:sz w:val="18"/>
              </w:rPr>
              <w:t>3-4 meses</w:t>
            </w:r>
          </w:p>
        </w:tc>
      </w:tr>
      <w:tr>
        <w:tc>
          <w:tcPr>
            <w:tcW w:type="dxa" w:w="2280"/>
          </w:tcPr>
          <w:p>
            <w:r>
              <w:rPr>
                <w:rFonts w:ascii="Calibri" w:hAnsi="Calibri"/>
                <w:sz w:val="18"/>
              </w:rPr>
              <w:t>3</w:t>
            </w:r>
          </w:p>
        </w:tc>
        <w:tc>
          <w:tcPr>
            <w:tcW w:type="dxa" w:w="2280"/>
          </w:tcPr>
          <w:p>
            <w:r>
              <w:rPr>
                <w:rFonts w:ascii="Calibri" w:hAnsi="Calibri"/>
                <w:sz w:val="18"/>
              </w:rPr>
              <w:t>Construcción</w:t>
            </w:r>
          </w:p>
        </w:tc>
        <w:tc>
          <w:tcPr>
            <w:tcW w:type="dxa" w:w="2280"/>
          </w:tcPr>
          <w:p>
            <w:r>
              <w:rPr>
                <w:rFonts w:ascii="Calibri" w:hAnsi="Calibri"/>
                <w:sz w:val="18"/>
              </w:rPr>
              <w:t>Excavación, obra civil, instalaciones hidrosanitarias, eléctricas, mecánicas, acabados, equipamiento tecnológico</w:t>
            </w:r>
          </w:p>
        </w:tc>
        <w:tc>
          <w:tcPr>
            <w:tcW w:type="dxa" w:w="2280"/>
          </w:tcPr>
          <w:p>
            <w:r>
              <w:rPr>
                <w:rFonts w:ascii="Calibri" w:hAnsi="Calibri"/>
                <w:sz w:val="18"/>
              </w:rPr>
              <w:t>18-24 meses</w:t>
            </w:r>
          </w:p>
        </w:tc>
      </w:tr>
      <w:tr>
        <w:tc>
          <w:tcPr>
            <w:tcW w:type="dxa" w:w="2280"/>
          </w:tcPr>
          <w:p>
            <w:r>
              <w:rPr>
                <w:rFonts w:ascii="Calibri" w:hAnsi="Calibri"/>
                <w:sz w:val="18"/>
              </w:rPr>
              <w:t>4</w:t>
            </w:r>
          </w:p>
        </w:tc>
        <w:tc>
          <w:tcPr>
            <w:tcW w:type="dxa" w:w="2280"/>
          </w:tcPr>
          <w:p>
            <w:r>
              <w:rPr>
                <w:rFonts w:ascii="Calibri" w:hAnsi="Calibri"/>
                <w:sz w:val="18"/>
              </w:rPr>
              <w:t>Puesta en operación</w:t>
            </w:r>
          </w:p>
        </w:tc>
        <w:tc>
          <w:tcPr>
            <w:tcW w:type="dxa" w:w="2280"/>
          </w:tcPr>
          <w:p>
            <w:r>
              <w:rPr>
                <w:rFonts w:ascii="Calibri" w:hAnsi="Calibri"/>
                <w:sz w:val="18"/>
              </w:rPr>
              <w:t>Pruebas, certificaciones, obtención de permiso de ocupación, campaña de marketing, ramp-up operativo</w:t>
            </w:r>
          </w:p>
        </w:tc>
        <w:tc>
          <w:tcPr>
            <w:tcW w:type="dxa" w:w="2280"/>
          </w:tcPr>
          <w:p>
            <w:r>
              <w:rPr>
                <w:rFonts w:ascii="Calibri" w:hAnsi="Calibri"/>
                <w:sz w:val="18"/>
              </w:rPr>
              <w:t>2-3 meses</w:t>
            </w:r>
          </w:p>
        </w:tc>
      </w:tr>
      <w:tr>
        <w:tc>
          <w:tcPr>
            <w:tcW w:type="dxa" w:w="2280"/>
          </w:tcPr>
          <w:p>
            <w:r>
              <w:rPr>
                <w:rFonts w:ascii="Calibri" w:hAnsi="Calibri"/>
                <w:sz w:val="18"/>
              </w:rPr>
              <w:t>5</w:t>
            </w:r>
          </w:p>
        </w:tc>
        <w:tc>
          <w:tcPr>
            <w:tcW w:type="dxa" w:w="2280"/>
          </w:tcPr>
          <w:p>
            <w:r>
              <w:rPr>
                <w:rFonts w:ascii="Calibri" w:hAnsi="Calibri"/>
                <w:sz w:val="18"/>
              </w:rPr>
              <w:t>Operación y mantenimiento</w:t>
            </w:r>
          </w:p>
        </w:tc>
        <w:tc>
          <w:tcPr>
            <w:tcW w:type="dxa" w:w="2280"/>
          </w:tcPr>
          <w:p>
            <w:r>
              <w:rPr>
                <w:rFonts w:ascii="Calibri" w:hAnsi="Calibri"/>
                <w:sz w:val="18"/>
              </w:rPr>
              <w:t>Operación continua, mantenimiento preventivo y correctivo, reposición de equipos</w:t>
            </w:r>
          </w:p>
        </w:tc>
        <w:tc>
          <w:tcPr>
            <w:tcW w:type="dxa" w:w="2280"/>
          </w:tcPr>
          <w:p>
            <w:r>
              <w:rPr>
                <w:rFonts w:ascii="Calibri" w:hAnsi="Calibri"/>
                <w:sz w:val="18"/>
              </w:rPr>
              <w:t>25-30 años</w:t>
            </w:r>
          </w:p>
        </w:tc>
      </w:tr>
      <w:tr>
        <w:tc>
          <w:tcPr>
            <w:tcW w:type="dxa" w:w="2280"/>
          </w:tcPr>
          <w:p>
            <w:r>
              <w:rPr>
                <w:rFonts w:ascii="Calibri" w:hAnsi="Calibri"/>
                <w:sz w:val="18"/>
              </w:rPr>
              <w:t>6</w:t>
            </w:r>
          </w:p>
        </w:tc>
        <w:tc>
          <w:tcPr>
            <w:tcW w:type="dxa" w:w="2280"/>
          </w:tcPr>
          <w:p>
            <w:r>
              <w:rPr>
                <w:rFonts w:ascii="Calibri" w:hAnsi="Calibri"/>
                <w:sz w:val="18"/>
              </w:rPr>
              <w:t>Reversión</w:t>
            </w:r>
          </w:p>
        </w:tc>
        <w:tc>
          <w:tcPr>
            <w:tcW w:type="dxa" w:w="2280"/>
          </w:tcPr>
          <w:p>
            <w:r>
              <w:rPr>
                <w:rFonts w:ascii="Calibri" w:hAnsi="Calibri"/>
                <w:sz w:val="18"/>
              </w:rPr>
              <w:t>Entrega de la infraestructura al Municipio en condiciones óptimas de operación</w:t>
            </w:r>
          </w:p>
        </w:tc>
        <w:tc>
          <w:tcPr>
            <w:tcW w:type="dxa" w:w="2280"/>
          </w:tcPr>
          <w:p>
            <w:r>
              <w:rPr>
                <w:rFonts w:ascii="Calibri" w:hAnsi="Calibri"/>
                <w:sz w:val="18"/>
              </w:rPr>
              <w:t>6 meses</w:t>
            </w:r>
          </w:p>
        </w:tc>
      </w:tr>
      <w:tr>
        <w:tc>
          <w:tcPr>
            <w:tcW w:type="dxa" w:w="2280"/>
          </w:tcPr>
          <w:p>
            <w:r>
              <w:rPr>
                <w:rFonts w:ascii="Calibri" w:hAnsi="Calibri"/>
                <w:sz w:val="18"/>
              </w:rPr>
            </w:r>
          </w:p>
        </w:tc>
        <w:tc>
          <w:tcPr>
            <w:tcW w:type="dxa" w:w="2280"/>
          </w:tcPr>
          <w:p>
            <w:r>
              <w:rPr>
                <w:rFonts w:ascii="Calibri" w:hAnsi="Calibri"/>
                <w:sz w:val="18"/>
              </w:rPr>
              <w:t>Total pre-operación</w:t>
            </w:r>
          </w:p>
        </w:tc>
        <w:tc>
          <w:tcPr>
            <w:tcW w:type="dxa" w:w="2280"/>
          </w:tcPr>
          <w:p>
            <w:r>
              <w:rPr>
                <w:rFonts w:ascii="Calibri" w:hAnsi="Calibri"/>
                <w:sz w:val="18"/>
              </w:rPr>
            </w:r>
          </w:p>
        </w:tc>
        <w:tc>
          <w:tcPr>
            <w:tcW w:type="dxa" w:w="2280"/>
          </w:tcPr>
          <w:p>
            <w:r>
              <w:rPr>
                <w:rFonts w:ascii="Calibri" w:hAnsi="Calibri"/>
                <w:sz w:val="18"/>
              </w:rPr>
              <w:t>~30-39 meses</w:t>
            </w:r>
          </w:p>
        </w:tc>
      </w:tr>
      <w:tr>
        <w:tc>
          <w:tcPr>
            <w:tcW w:type="dxa" w:w="2280"/>
          </w:tcPr>
          <w:p>
            <w:r>
              <w:rPr>
                <w:rFonts w:ascii="Calibri" w:hAnsi="Calibri"/>
                <w:sz w:val="18"/>
              </w:rPr>
            </w:r>
          </w:p>
        </w:tc>
        <w:tc>
          <w:tcPr>
            <w:tcW w:type="dxa" w:w="2280"/>
          </w:tcPr>
          <w:p>
            <w:r>
              <w:rPr>
                <w:rFonts w:ascii="Calibri" w:hAnsi="Calibri"/>
                <w:sz w:val="18"/>
              </w:rPr>
              <w:t>Horizonte total del contrato</w:t>
            </w:r>
          </w:p>
        </w:tc>
        <w:tc>
          <w:tcPr>
            <w:tcW w:type="dxa" w:w="2280"/>
          </w:tcPr>
          <w:p>
            <w:r>
              <w:rPr>
                <w:rFonts w:ascii="Calibri" w:hAnsi="Calibri"/>
                <w:sz w:val="18"/>
              </w:rPr>
            </w:r>
          </w:p>
        </w:tc>
        <w:tc>
          <w:tcPr>
            <w:tcW w:type="dxa" w:w="2280"/>
          </w:tcPr>
          <w:p>
            <w:r>
              <w:rPr>
                <w:rFonts w:ascii="Calibri" w:hAnsi="Calibri"/>
                <w:sz w:val="18"/>
              </w:rPr>
              <w:t>25-30 años</w:t>
            </w:r>
          </w:p>
        </w:tc>
      </w:tr>
    </w:tbl>
    <w:p/>
    <w:p>
      <w:pPr>
        <w:pStyle w:val="Heading1"/>
      </w:pPr>
      <w:r>
        <w:t>4. ESTUDIO DE DEMANDA</w:t>
      </w:r>
    </w:p>
    <w:p>
      <w:pPr>
        <w:pStyle w:val="Heading2"/>
      </w:pPr>
      <w:r>
        <w:t>4.1 Metodología</w:t>
      </w:r>
    </w:p>
    <w:p>
      <w:r>
        <w:t>El estudio de demanda de estacionamiento se fundamenta en la estimación indirecta a partir del tráfico vehicular real del polígono de estudio, complementada con datos de asistencia a eventos, afluencia del sistema Metro y análisis de orígenes y destinos. La metodología emplea información secundaria y cifras históricas oficiales, conforme a lo establecido en el artículo 2.2.2.1.5.2 del Decreto 1082 de 2015 para la etapa de prefactibilidad.</w:t>
      </w:r>
    </w:p>
    <w:p>
      <w:r/>
      <w:r>
        <w:rPr>
          <w:b/>
        </w:rPr>
        <w:t>Área de estudio:</w:t>
      </w:r>
      <w:r>
        <w:t xml:space="preserve"> Polígono delimitado por la Carrera 68 (este), Carrera 77C (oeste), Calle 45 (sur) y Calle 53A (norte), con un área aproximada de 1.44 km². Este polígono se alinea con el área de influencia de microsimulación del estudio de ingeniería de tránsito contratado por el proyecto con la firma Cali Mayor.</w:t>
      </w:r>
    </w:p>
    <w:p>
      <w:r/>
      <w:r>
        <w:rPr>
          <w:b/>
        </w:rPr>
        <w:t>Fuentes primarias:</w:t>
      </w:r>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824"/>
          </w:tcPr>
          <w:p>
            <w:r>
              <w:rPr>
                <w:rFonts w:ascii="Calibri" w:hAnsi="Calibri"/>
                <w:b/>
                <w:sz w:val="18"/>
              </w:rPr>
              <w:t>Fuente</w:t>
            </w:r>
          </w:p>
        </w:tc>
        <w:tc>
          <w:tcPr>
            <w:tcW w:type="dxa" w:w="1824"/>
          </w:tcPr>
          <w:p>
            <w:r>
              <w:rPr>
                <w:rFonts w:ascii="Calibri" w:hAnsi="Calibri"/>
                <w:b/>
                <w:sz w:val="18"/>
              </w:rPr>
              <w:t>Dataset</w:t>
            </w:r>
          </w:p>
        </w:tc>
        <w:tc>
          <w:tcPr>
            <w:tcW w:type="dxa" w:w="1824"/>
          </w:tcPr>
          <w:p>
            <w:r>
              <w:rPr>
                <w:rFonts w:ascii="Calibri" w:hAnsi="Calibri"/>
                <w:b/>
                <w:sz w:val="18"/>
              </w:rPr>
              <w:t>Registros totales</w:t>
            </w:r>
          </w:p>
        </w:tc>
        <w:tc>
          <w:tcPr>
            <w:tcW w:type="dxa" w:w="1824"/>
          </w:tcPr>
          <w:p>
            <w:r>
              <w:rPr>
                <w:rFonts w:ascii="Calibri" w:hAnsi="Calibri"/>
                <w:b/>
                <w:sz w:val="18"/>
              </w:rPr>
              <w:t>Registros en polígono</w:t>
            </w:r>
          </w:p>
        </w:tc>
        <w:tc>
          <w:tcPr>
            <w:tcW w:type="dxa" w:w="1824"/>
          </w:tcPr>
          <w:p>
            <w:r>
              <w:rPr>
                <w:rFonts w:ascii="Calibri" w:hAnsi="Calibri"/>
                <w:b/>
                <w:sz w:val="18"/>
              </w:rPr>
              <w:t>Resolución temporal</w:t>
            </w:r>
          </w:p>
        </w:tc>
      </w:tr>
      <w:tr>
        <w:tc>
          <w:tcPr>
            <w:tcW w:type="dxa" w:w="1824"/>
          </w:tcPr>
          <w:p>
            <w:r>
              <w:rPr>
                <w:rFonts w:ascii="Calibri" w:hAnsi="Calibri"/>
                <w:sz w:val="18"/>
              </w:rPr>
              <w:t>SIMM — Aforos Vehiculares</w:t>
            </w:r>
          </w:p>
        </w:tc>
        <w:tc>
          <w:tcPr>
            <w:tcW w:type="dxa" w:w="1824"/>
          </w:tcPr>
          <w:p>
            <w:r>
              <w:rPr>
                <w:rFonts w:ascii="Calibri" w:hAnsi="Calibri"/>
                <w:sz w:val="18"/>
              </w:rPr>
              <w:t>MEData, 1-023-25-000301</w:t>
            </w:r>
          </w:p>
        </w:tc>
        <w:tc>
          <w:tcPr>
            <w:tcW w:type="dxa" w:w="1824"/>
          </w:tcPr>
          <w:p>
            <w:r>
              <w:rPr>
                <w:rFonts w:ascii="Calibri" w:hAnsi="Calibri"/>
                <w:sz w:val="18"/>
              </w:rPr>
              <w:t>74,900</w:t>
            </w:r>
          </w:p>
        </w:tc>
        <w:tc>
          <w:tcPr>
            <w:tcW w:type="dxa" w:w="1824"/>
          </w:tcPr>
          <w:p>
            <w:r>
              <w:rPr>
                <w:rFonts w:ascii="Calibri" w:hAnsi="Calibri"/>
                <w:sz w:val="18"/>
              </w:rPr>
              <w:t>3,859</w:t>
            </w:r>
          </w:p>
        </w:tc>
        <w:tc>
          <w:tcPr>
            <w:tcW w:type="dxa" w:w="1824"/>
          </w:tcPr>
          <w:p>
            <w:r>
              <w:rPr>
                <w:rFonts w:ascii="Calibri" w:hAnsi="Calibri"/>
                <w:sz w:val="18"/>
              </w:rPr>
              <w:t>15 minutos</w:t>
            </w:r>
          </w:p>
        </w:tc>
      </w:tr>
      <w:tr>
        <w:tc>
          <w:tcPr>
            <w:tcW w:type="dxa" w:w="1824"/>
          </w:tcPr>
          <w:p>
            <w:r>
              <w:rPr>
                <w:rFonts w:ascii="Calibri" w:hAnsi="Calibri"/>
                <w:sz w:val="18"/>
              </w:rPr>
              <w:t>SIMM — Velocidad e Intensidad</w:t>
            </w:r>
          </w:p>
        </w:tc>
        <w:tc>
          <w:tcPr>
            <w:tcW w:type="dxa" w:w="1824"/>
          </w:tcPr>
          <w:p>
            <w:r>
              <w:rPr>
                <w:rFonts w:ascii="Calibri" w:hAnsi="Calibri"/>
                <w:sz w:val="18"/>
              </w:rPr>
              <w:t>MEData</w:t>
            </w:r>
          </w:p>
        </w:tc>
        <w:tc>
          <w:tcPr>
            <w:tcW w:type="dxa" w:w="1824"/>
          </w:tcPr>
          <w:p>
            <w:r>
              <w:rPr>
                <w:rFonts w:ascii="Calibri" w:hAnsi="Calibri"/>
                <w:sz w:val="18"/>
              </w:rPr>
              <w:t>431,491</w:t>
            </w:r>
          </w:p>
        </w:tc>
        <w:tc>
          <w:tcPr>
            <w:tcW w:type="dxa" w:w="1824"/>
          </w:tcPr>
          <w:p>
            <w:r>
              <w:rPr>
                <w:rFonts w:ascii="Calibri" w:hAnsi="Calibri"/>
                <w:sz w:val="18"/>
              </w:rPr>
              <w:t>33,070</w:t>
            </w:r>
          </w:p>
        </w:tc>
        <w:tc>
          <w:tcPr>
            <w:tcW w:type="dxa" w:w="1824"/>
          </w:tcPr>
          <w:p>
            <w:r>
              <w:rPr>
                <w:rFonts w:ascii="Calibri" w:hAnsi="Calibri"/>
                <w:sz w:val="18"/>
              </w:rPr>
              <w:t>Horaria</w:t>
            </w:r>
          </w:p>
        </w:tc>
      </w:tr>
    </w:tbl>
    <w:p/>
    <w:p>
      <w:pPr>
        <w:pStyle w:val="Heading2"/>
      </w:pPr>
      <w:r>
        <w:t>4.2 Tráfico Vehicular</w:t>
      </w:r>
    </w:p>
    <w:p>
      <w:pPr>
        <w:pStyle w:val="Heading3"/>
      </w:pPr>
      <w:r>
        <w:t>4.2.1 Aforos Vehiculares — 14 Intersecciones Oficiales SIMM</w:t>
      </w:r>
    </w:p>
    <w:p>
      <w:r>
        <w:t>Los datos de aforos vehiculares provienen de campañas de conteo realizadas por el SIMM entre abril de 2018 y octubre de 2019, con resolución de 15 minutos y desagregación por cinco tipos de vehículo. Dentro del polígono de estudio se identificaron 14 intersecciones monitoreadas en 15 puntos georreferenciados, con un total de 3,859 observaciones de 15 minutos.</w:t>
      </w:r>
    </w:p>
    <w:tbl>
      <w:tblPr>
        <w:tblStyle w:val="LightGrid-Accent1"/>
        <w:tblW w:type="auto" w:w="0"/>
        <w:jc w:val="center"/>
        <w:tblLook w:firstColumn="1" w:firstRow="1" w:lastColumn="0" w:lastRow="0" w:noHBand="0" w:noVBand="1" w:val="04A0"/>
      </w:tblPr>
      <w:tblGrid>
        <w:gridCol w:w="1303"/>
        <w:gridCol w:w="1303"/>
        <w:gridCol w:w="1303"/>
        <w:gridCol w:w="1303"/>
        <w:gridCol w:w="1303"/>
        <w:gridCol w:w="1303"/>
        <w:gridCol w:w="1303"/>
      </w:tblGrid>
      <w:tr>
        <w:tc>
          <w:tcPr>
            <w:tcW w:type="dxa" w:w="1303"/>
          </w:tcPr>
          <w:p>
            <w:r>
              <w:rPr>
                <w:rFonts w:ascii="Calibri" w:hAnsi="Calibri"/>
                <w:b/>
                <w:sz w:val="18"/>
              </w:rPr>
              <w:t>#</w:t>
            </w:r>
          </w:p>
        </w:tc>
        <w:tc>
          <w:tcPr>
            <w:tcW w:type="dxa" w:w="1303"/>
          </w:tcPr>
          <w:p>
            <w:r>
              <w:rPr>
                <w:rFonts w:ascii="Calibri" w:hAnsi="Calibri"/>
                <w:b/>
                <w:sz w:val="18"/>
              </w:rPr>
              <w:t>Intersección</w:t>
            </w:r>
          </w:p>
        </w:tc>
        <w:tc>
          <w:tcPr>
            <w:tcW w:type="dxa" w:w="1303"/>
          </w:tcPr>
          <w:p>
            <w:r>
              <w:rPr>
                <w:rFonts w:ascii="Calibri" w:hAnsi="Calibri"/>
                <w:b/>
                <w:sz w:val="18"/>
              </w:rPr>
              <w:t>TPD (veh/día)</w:t>
            </w:r>
          </w:p>
        </w:tc>
        <w:tc>
          <w:tcPr>
            <w:tcW w:type="dxa" w:w="1303"/>
          </w:tcPr>
          <w:p>
            <w:r>
              <w:rPr>
                <w:rFonts w:ascii="Calibri" w:hAnsi="Calibri"/>
                <w:b/>
                <w:sz w:val="18"/>
              </w:rPr>
              <w:t>HMD (veh/hr)</w:t>
            </w:r>
          </w:p>
        </w:tc>
        <w:tc>
          <w:tcPr>
            <w:tcW w:type="dxa" w:w="1303"/>
          </w:tcPr>
          <w:p>
            <w:r>
              <w:rPr>
                <w:rFonts w:ascii="Calibri" w:hAnsi="Calibri"/>
                <w:b/>
                <w:sz w:val="18"/>
              </w:rPr>
              <w:t>Hora pico</w:t>
            </w:r>
          </w:p>
        </w:tc>
        <w:tc>
          <w:tcPr>
            <w:tcW w:type="dxa" w:w="1303"/>
          </w:tcPr>
          <w:p>
            <w:r>
              <w:rPr>
                <w:rFonts w:ascii="Calibri" w:hAnsi="Calibri"/>
                <w:b/>
                <w:sz w:val="18"/>
              </w:rPr>
              <w:t>% Autos</w:t>
            </w:r>
          </w:p>
        </w:tc>
        <w:tc>
          <w:tcPr>
            <w:tcW w:type="dxa" w:w="1303"/>
          </w:tcPr>
          <w:p>
            <w:r>
              <w:rPr>
                <w:rFonts w:ascii="Calibri" w:hAnsi="Calibri"/>
                <w:b/>
                <w:sz w:val="18"/>
              </w:rPr>
              <w:t>% Motos</w:t>
            </w:r>
          </w:p>
        </w:tc>
      </w:tr>
      <w:tr>
        <w:tc>
          <w:tcPr>
            <w:tcW w:type="dxa" w:w="1303"/>
          </w:tcPr>
          <w:p>
            <w:r>
              <w:rPr>
                <w:rFonts w:ascii="Calibri" w:hAnsi="Calibri"/>
                <w:sz w:val="18"/>
              </w:rPr>
              <w:t>1</w:t>
            </w:r>
          </w:p>
        </w:tc>
        <w:tc>
          <w:tcPr>
            <w:tcW w:type="dxa" w:w="1303"/>
          </w:tcPr>
          <w:p>
            <w:r>
              <w:rPr>
                <w:rFonts w:ascii="Calibri" w:hAnsi="Calibri"/>
                <w:sz w:val="18"/>
              </w:rPr>
              <w:t>Cra 65 × Cll 50 (punto A)</w:t>
            </w:r>
          </w:p>
        </w:tc>
        <w:tc>
          <w:tcPr>
            <w:tcW w:type="dxa" w:w="1303"/>
          </w:tcPr>
          <w:p>
            <w:r>
              <w:rPr>
                <w:rFonts w:ascii="Calibri" w:hAnsi="Calibri"/>
                <w:sz w:val="18"/>
              </w:rPr>
              <w:t>18,220</w:t>
            </w:r>
          </w:p>
        </w:tc>
        <w:tc>
          <w:tcPr>
            <w:tcW w:type="dxa" w:w="1303"/>
          </w:tcPr>
          <w:p>
            <w:r>
              <w:rPr>
                <w:rFonts w:ascii="Calibri" w:hAnsi="Calibri"/>
                <w:sz w:val="18"/>
              </w:rPr>
              <w:t>1,419</w:t>
            </w:r>
          </w:p>
        </w:tc>
        <w:tc>
          <w:tcPr>
            <w:tcW w:type="dxa" w:w="1303"/>
          </w:tcPr>
          <w:p>
            <w:r>
              <w:rPr>
                <w:rFonts w:ascii="Calibri" w:hAnsi="Calibri"/>
                <w:sz w:val="18"/>
              </w:rPr>
              <w:t>6:00</w:t>
            </w:r>
          </w:p>
        </w:tc>
        <w:tc>
          <w:tcPr>
            <w:tcW w:type="dxa" w:w="1303"/>
          </w:tcPr>
          <w:p>
            <w:r>
              <w:rPr>
                <w:rFonts w:ascii="Calibri" w:hAnsi="Calibri"/>
                <w:sz w:val="18"/>
              </w:rPr>
              <w:t>48%</w:t>
            </w:r>
          </w:p>
        </w:tc>
        <w:tc>
          <w:tcPr>
            <w:tcW w:type="dxa" w:w="1303"/>
          </w:tcPr>
          <w:p>
            <w:r>
              <w:rPr>
                <w:rFonts w:ascii="Calibri" w:hAnsi="Calibri"/>
                <w:sz w:val="18"/>
              </w:rPr>
              <w:t>43%</w:t>
            </w:r>
          </w:p>
        </w:tc>
      </w:tr>
      <w:tr>
        <w:tc>
          <w:tcPr>
            <w:tcW w:type="dxa" w:w="1303"/>
          </w:tcPr>
          <w:p>
            <w:r>
              <w:rPr>
                <w:rFonts w:ascii="Calibri" w:hAnsi="Calibri"/>
                <w:sz w:val="18"/>
              </w:rPr>
              <w:t>2</w:t>
            </w:r>
          </w:p>
        </w:tc>
        <w:tc>
          <w:tcPr>
            <w:tcW w:type="dxa" w:w="1303"/>
          </w:tcPr>
          <w:p>
            <w:r>
              <w:rPr>
                <w:rFonts w:ascii="Calibri" w:hAnsi="Calibri"/>
                <w:sz w:val="18"/>
              </w:rPr>
              <w:t>Cra 65 × Cll 50 (punto B)</w:t>
            </w:r>
          </w:p>
        </w:tc>
        <w:tc>
          <w:tcPr>
            <w:tcW w:type="dxa" w:w="1303"/>
          </w:tcPr>
          <w:p>
            <w:r>
              <w:rPr>
                <w:rFonts w:ascii="Calibri" w:hAnsi="Calibri"/>
                <w:sz w:val="18"/>
              </w:rPr>
              <w:t>14,506</w:t>
            </w:r>
          </w:p>
        </w:tc>
        <w:tc>
          <w:tcPr>
            <w:tcW w:type="dxa" w:w="1303"/>
          </w:tcPr>
          <w:p>
            <w:r>
              <w:rPr>
                <w:rFonts w:ascii="Calibri" w:hAnsi="Calibri"/>
                <w:sz w:val="18"/>
              </w:rPr>
              <w:t>1,310</w:t>
            </w:r>
          </w:p>
        </w:tc>
        <w:tc>
          <w:tcPr>
            <w:tcW w:type="dxa" w:w="1303"/>
          </w:tcPr>
          <w:p>
            <w:r>
              <w:rPr>
                <w:rFonts w:ascii="Calibri" w:hAnsi="Calibri"/>
                <w:sz w:val="18"/>
              </w:rPr>
              <w:t>17:00</w:t>
            </w:r>
          </w:p>
        </w:tc>
        <w:tc>
          <w:tcPr>
            <w:tcW w:type="dxa" w:w="1303"/>
          </w:tcPr>
          <w:p>
            <w:r>
              <w:rPr>
                <w:rFonts w:ascii="Calibri" w:hAnsi="Calibri"/>
                <w:sz w:val="18"/>
              </w:rPr>
              <w:t>49%</w:t>
            </w:r>
          </w:p>
        </w:tc>
        <w:tc>
          <w:tcPr>
            <w:tcW w:type="dxa" w:w="1303"/>
          </w:tcPr>
          <w:p>
            <w:r>
              <w:rPr>
                <w:rFonts w:ascii="Calibri" w:hAnsi="Calibri"/>
                <w:sz w:val="18"/>
              </w:rPr>
              <w:t>30%</w:t>
            </w:r>
          </w:p>
        </w:tc>
      </w:tr>
      <w:tr>
        <w:tc>
          <w:tcPr>
            <w:tcW w:type="dxa" w:w="1303"/>
          </w:tcPr>
          <w:p>
            <w:r>
              <w:rPr>
                <w:rFonts w:ascii="Calibri" w:hAnsi="Calibri"/>
                <w:sz w:val="18"/>
              </w:rPr>
              <w:t>3</w:t>
            </w:r>
          </w:p>
        </w:tc>
        <w:tc>
          <w:tcPr>
            <w:tcW w:type="dxa" w:w="1303"/>
          </w:tcPr>
          <w:p>
            <w:r>
              <w:rPr>
                <w:rFonts w:ascii="Calibri" w:hAnsi="Calibri"/>
                <w:sz w:val="18"/>
              </w:rPr>
              <w:t>Cra 65 × Cll 49B</w:t>
            </w:r>
          </w:p>
        </w:tc>
        <w:tc>
          <w:tcPr>
            <w:tcW w:type="dxa" w:w="1303"/>
          </w:tcPr>
          <w:p>
            <w:r>
              <w:rPr>
                <w:rFonts w:ascii="Calibri" w:hAnsi="Calibri"/>
                <w:sz w:val="18"/>
              </w:rPr>
              <w:t>9,310</w:t>
            </w:r>
          </w:p>
        </w:tc>
        <w:tc>
          <w:tcPr>
            <w:tcW w:type="dxa" w:w="1303"/>
          </w:tcPr>
          <w:p>
            <w:r>
              <w:rPr>
                <w:rFonts w:ascii="Calibri" w:hAnsi="Calibri"/>
                <w:sz w:val="18"/>
              </w:rPr>
              <w:t>892</w:t>
            </w:r>
          </w:p>
        </w:tc>
        <w:tc>
          <w:tcPr>
            <w:tcW w:type="dxa" w:w="1303"/>
          </w:tcPr>
          <w:p>
            <w:r>
              <w:rPr>
                <w:rFonts w:ascii="Calibri" w:hAnsi="Calibri"/>
                <w:sz w:val="18"/>
              </w:rPr>
              <w:t>18:00</w:t>
            </w:r>
          </w:p>
        </w:tc>
        <w:tc>
          <w:tcPr>
            <w:tcW w:type="dxa" w:w="1303"/>
          </w:tcPr>
          <w:p>
            <w:r>
              <w:rPr>
                <w:rFonts w:ascii="Calibri" w:hAnsi="Calibri"/>
                <w:sz w:val="18"/>
              </w:rPr>
              <w:t>55%</w:t>
            </w:r>
          </w:p>
        </w:tc>
        <w:tc>
          <w:tcPr>
            <w:tcW w:type="dxa" w:w="1303"/>
          </w:tcPr>
          <w:p>
            <w:r>
              <w:rPr>
                <w:rFonts w:ascii="Calibri" w:hAnsi="Calibri"/>
                <w:sz w:val="18"/>
              </w:rPr>
              <w:t>41%</w:t>
            </w:r>
          </w:p>
        </w:tc>
      </w:tr>
      <w:tr>
        <w:tc>
          <w:tcPr>
            <w:tcW w:type="dxa" w:w="1303"/>
          </w:tcPr>
          <w:p>
            <w:r>
              <w:rPr>
                <w:rFonts w:ascii="Calibri" w:hAnsi="Calibri"/>
                <w:sz w:val="18"/>
              </w:rPr>
              <w:t>4</w:t>
            </w:r>
          </w:p>
        </w:tc>
        <w:tc>
          <w:tcPr>
            <w:tcW w:type="dxa" w:w="1303"/>
          </w:tcPr>
          <w:p>
            <w:r>
              <w:rPr>
                <w:rFonts w:ascii="Calibri" w:hAnsi="Calibri"/>
                <w:sz w:val="18"/>
              </w:rPr>
              <w:t>Cra 70 × Cll 53</w:t>
            </w:r>
          </w:p>
        </w:tc>
        <w:tc>
          <w:tcPr>
            <w:tcW w:type="dxa" w:w="1303"/>
          </w:tcPr>
          <w:p>
            <w:r>
              <w:rPr>
                <w:rFonts w:ascii="Calibri" w:hAnsi="Calibri"/>
                <w:sz w:val="18"/>
              </w:rPr>
              <w:t>8,571</w:t>
            </w:r>
          </w:p>
        </w:tc>
        <w:tc>
          <w:tcPr>
            <w:tcW w:type="dxa" w:w="1303"/>
          </w:tcPr>
          <w:p>
            <w:r>
              <w:rPr>
                <w:rFonts w:ascii="Calibri" w:hAnsi="Calibri"/>
                <w:sz w:val="18"/>
              </w:rPr>
              <w:t>727</w:t>
            </w:r>
          </w:p>
        </w:tc>
        <w:tc>
          <w:tcPr>
            <w:tcW w:type="dxa" w:w="1303"/>
          </w:tcPr>
          <w:p>
            <w:r>
              <w:rPr>
                <w:rFonts w:ascii="Calibri" w:hAnsi="Calibri"/>
                <w:sz w:val="18"/>
              </w:rPr>
              <w:t>17:00</w:t>
            </w:r>
          </w:p>
        </w:tc>
        <w:tc>
          <w:tcPr>
            <w:tcW w:type="dxa" w:w="1303"/>
          </w:tcPr>
          <w:p>
            <w:r>
              <w:rPr>
                <w:rFonts w:ascii="Calibri" w:hAnsi="Calibri"/>
                <w:sz w:val="18"/>
              </w:rPr>
              <w:t>48%</w:t>
            </w:r>
          </w:p>
        </w:tc>
        <w:tc>
          <w:tcPr>
            <w:tcW w:type="dxa" w:w="1303"/>
          </w:tcPr>
          <w:p>
            <w:r>
              <w:rPr>
                <w:rFonts w:ascii="Calibri" w:hAnsi="Calibri"/>
                <w:sz w:val="18"/>
              </w:rPr>
              <w:t>40%</w:t>
            </w:r>
          </w:p>
        </w:tc>
      </w:tr>
      <w:tr>
        <w:tc>
          <w:tcPr>
            <w:tcW w:type="dxa" w:w="1303"/>
          </w:tcPr>
          <w:p>
            <w:r>
              <w:rPr>
                <w:rFonts w:ascii="Calibri" w:hAnsi="Calibri"/>
                <w:sz w:val="18"/>
              </w:rPr>
              <w:t>5</w:t>
            </w:r>
          </w:p>
        </w:tc>
        <w:tc>
          <w:tcPr>
            <w:tcW w:type="dxa" w:w="1303"/>
          </w:tcPr>
          <w:p>
            <w:r>
              <w:rPr>
                <w:rFonts w:ascii="Calibri" w:hAnsi="Calibri"/>
                <w:sz w:val="18"/>
              </w:rPr>
              <w:t>Cra 65 × Cll 51</w:t>
            </w:r>
          </w:p>
        </w:tc>
        <w:tc>
          <w:tcPr>
            <w:tcW w:type="dxa" w:w="1303"/>
          </w:tcPr>
          <w:p>
            <w:r>
              <w:rPr>
                <w:rFonts w:ascii="Calibri" w:hAnsi="Calibri"/>
                <w:sz w:val="18"/>
              </w:rPr>
              <w:t>7,075</w:t>
            </w:r>
          </w:p>
        </w:tc>
        <w:tc>
          <w:tcPr>
            <w:tcW w:type="dxa" w:w="1303"/>
          </w:tcPr>
          <w:p>
            <w:r>
              <w:rPr>
                <w:rFonts w:ascii="Calibri" w:hAnsi="Calibri"/>
                <w:sz w:val="18"/>
              </w:rPr>
              <w:t>733</w:t>
            </w:r>
          </w:p>
        </w:tc>
        <w:tc>
          <w:tcPr>
            <w:tcW w:type="dxa" w:w="1303"/>
          </w:tcPr>
          <w:p>
            <w:r>
              <w:rPr>
                <w:rFonts w:ascii="Calibri" w:hAnsi="Calibri"/>
                <w:sz w:val="18"/>
              </w:rPr>
              <w:t>17:00</w:t>
            </w:r>
          </w:p>
        </w:tc>
        <w:tc>
          <w:tcPr>
            <w:tcW w:type="dxa" w:w="1303"/>
          </w:tcPr>
          <w:p>
            <w:r>
              <w:rPr>
                <w:rFonts w:ascii="Calibri" w:hAnsi="Calibri"/>
                <w:sz w:val="18"/>
              </w:rPr>
              <w:t>54%</w:t>
            </w:r>
          </w:p>
        </w:tc>
        <w:tc>
          <w:tcPr>
            <w:tcW w:type="dxa" w:w="1303"/>
          </w:tcPr>
          <w:p>
            <w:r>
              <w:rPr>
                <w:rFonts w:ascii="Calibri" w:hAnsi="Calibri"/>
                <w:sz w:val="18"/>
              </w:rPr>
              <w:t>41%</w:t>
            </w:r>
          </w:p>
        </w:tc>
      </w:tr>
      <w:tr>
        <w:tc>
          <w:tcPr>
            <w:tcW w:type="dxa" w:w="1303"/>
          </w:tcPr>
          <w:p>
            <w:r>
              <w:rPr>
                <w:rFonts w:ascii="Calibri" w:hAnsi="Calibri"/>
                <w:sz w:val="18"/>
              </w:rPr>
              <w:t>6</w:t>
            </w:r>
          </w:p>
        </w:tc>
        <w:tc>
          <w:tcPr>
            <w:tcW w:type="dxa" w:w="1303"/>
          </w:tcPr>
          <w:p>
            <w:r>
              <w:rPr>
                <w:rFonts w:ascii="Calibri" w:hAnsi="Calibri"/>
                <w:sz w:val="18"/>
              </w:rPr>
              <w:t>Cra 70 × Cll 51</w:t>
            </w:r>
          </w:p>
        </w:tc>
        <w:tc>
          <w:tcPr>
            <w:tcW w:type="dxa" w:w="1303"/>
          </w:tcPr>
          <w:p>
            <w:r>
              <w:rPr>
                <w:rFonts w:ascii="Calibri" w:hAnsi="Calibri"/>
                <w:sz w:val="18"/>
              </w:rPr>
              <w:t>4,998</w:t>
            </w:r>
          </w:p>
        </w:tc>
        <w:tc>
          <w:tcPr>
            <w:tcW w:type="dxa" w:w="1303"/>
          </w:tcPr>
          <w:p>
            <w:r>
              <w:rPr>
                <w:rFonts w:ascii="Calibri" w:hAnsi="Calibri"/>
                <w:sz w:val="18"/>
              </w:rPr>
              <w:t>483</w:t>
            </w:r>
          </w:p>
        </w:tc>
        <w:tc>
          <w:tcPr>
            <w:tcW w:type="dxa" w:w="1303"/>
          </w:tcPr>
          <w:p>
            <w:r>
              <w:rPr>
                <w:rFonts w:ascii="Calibri" w:hAnsi="Calibri"/>
                <w:sz w:val="18"/>
              </w:rPr>
              <w:t>6:00</w:t>
            </w:r>
          </w:p>
        </w:tc>
        <w:tc>
          <w:tcPr>
            <w:tcW w:type="dxa" w:w="1303"/>
          </w:tcPr>
          <w:p>
            <w:r>
              <w:rPr>
                <w:rFonts w:ascii="Calibri" w:hAnsi="Calibri"/>
                <w:sz w:val="18"/>
              </w:rPr>
              <w:t>51%</w:t>
            </w:r>
          </w:p>
        </w:tc>
        <w:tc>
          <w:tcPr>
            <w:tcW w:type="dxa" w:w="1303"/>
          </w:tcPr>
          <w:p>
            <w:r>
              <w:rPr>
                <w:rFonts w:ascii="Calibri" w:hAnsi="Calibri"/>
                <w:sz w:val="18"/>
              </w:rPr>
              <w:t>37%</w:t>
            </w:r>
          </w:p>
        </w:tc>
      </w:tr>
      <w:tr>
        <w:tc>
          <w:tcPr>
            <w:tcW w:type="dxa" w:w="1303"/>
          </w:tcPr>
          <w:p>
            <w:r>
              <w:rPr>
                <w:rFonts w:ascii="Calibri" w:hAnsi="Calibri"/>
                <w:sz w:val="18"/>
              </w:rPr>
              <w:t>7</w:t>
            </w:r>
          </w:p>
        </w:tc>
        <w:tc>
          <w:tcPr>
            <w:tcW w:type="dxa" w:w="1303"/>
          </w:tcPr>
          <w:p>
            <w:r>
              <w:rPr>
                <w:rFonts w:ascii="Calibri" w:hAnsi="Calibri"/>
                <w:sz w:val="18"/>
              </w:rPr>
              <w:t>Cll 49B × Cra 74</w:t>
            </w:r>
          </w:p>
        </w:tc>
        <w:tc>
          <w:tcPr>
            <w:tcW w:type="dxa" w:w="1303"/>
          </w:tcPr>
          <w:p>
            <w:r>
              <w:rPr>
                <w:rFonts w:ascii="Calibri" w:hAnsi="Calibri"/>
                <w:sz w:val="18"/>
              </w:rPr>
              <w:t>1,807</w:t>
            </w:r>
          </w:p>
        </w:tc>
        <w:tc>
          <w:tcPr>
            <w:tcW w:type="dxa" w:w="1303"/>
          </w:tcPr>
          <w:p>
            <w:r>
              <w:rPr>
                <w:rFonts w:ascii="Calibri" w:hAnsi="Calibri"/>
                <w:sz w:val="18"/>
              </w:rPr>
              <w:t>274</w:t>
            </w:r>
          </w:p>
        </w:tc>
        <w:tc>
          <w:tcPr>
            <w:tcW w:type="dxa" w:w="1303"/>
          </w:tcPr>
          <w:p>
            <w:r>
              <w:rPr>
                <w:rFonts w:ascii="Calibri" w:hAnsi="Calibri"/>
                <w:sz w:val="18"/>
              </w:rPr>
              <w:t>12:00</w:t>
            </w:r>
          </w:p>
        </w:tc>
        <w:tc>
          <w:tcPr>
            <w:tcW w:type="dxa" w:w="1303"/>
          </w:tcPr>
          <w:p>
            <w:r>
              <w:rPr>
                <w:rFonts w:ascii="Calibri" w:hAnsi="Calibri"/>
                <w:sz w:val="18"/>
              </w:rPr>
              <w:t>68%</w:t>
            </w:r>
          </w:p>
        </w:tc>
        <w:tc>
          <w:tcPr>
            <w:tcW w:type="dxa" w:w="1303"/>
          </w:tcPr>
          <w:p>
            <w:r>
              <w:rPr>
                <w:rFonts w:ascii="Calibri" w:hAnsi="Calibri"/>
                <w:sz w:val="18"/>
              </w:rPr>
              <w:t>31%</w:t>
            </w:r>
          </w:p>
        </w:tc>
      </w:tr>
      <w:tr>
        <w:tc>
          <w:tcPr>
            <w:tcW w:type="dxa" w:w="1303"/>
          </w:tcPr>
          <w:p>
            <w:r>
              <w:rPr>
                <w:rFonts w:ascii="Calibri" w:hAnsi="Calibri"/>
                <w:sz w:val="18"/>
              </w:rPr>
              <w:t>8</w:t>
            </w:r>
          </w:p>
        </w:tc>
        <w:tc>
          <w:tcPr>
            <w:tcW w:type="dxa" w:w="1303"/>
          </w:tcPr>
          <w:p>
            <w:r>
              <w:rPr>
                <w:rFonts w:ascii="Calibri" w:hAnsi="Calibri"/>
                <w:sz w:val="18"/>
              </w:rPr>
              <w:t>Cll 48 × Cra 77B</w:t>
            </w:r>
          </w:p>
        </w:tc>
        <w:tc>
          <w:tcPr>
            <w:tcW w:type="dxa" w:w="1303"/>
          </w:tcPr>
          <w:p>
            <w:r>
              <w:rPr>
                <w:rFonts w:ascii="Calibri" w:hAnsi="Calibri"/>
                <w:sz w:val="18"/>
              </w:rPr>
              <w:t>1,141</w:t>
            </w:r>
          </w:p>
        </w:tc>
        <w:tc>
          <w:tcPr>
            <w:tcW w:type="dxa" w:w="1303"/>
          </w:tcPr>
          <w:p>
            <w:r>
              <w:rPr>
                <w:rFonts w:ascii="Calibri" w:hAnsi="Calibri"/>
                <w:sz w:val="18"/>
              </w:rPr>
              <w:t>1,141</w:t>
            </w:r>
          </w:p>
        </w:tc>
        <w:tc>
          <w:tcPr>
            <w:tcW w:type="dxa" w:w="1303"/>
          </w:tcPr>
          <w:p>
            <w:r>
              <w:rPr>
                <w:rFonts w:ascii="Calibri" w:hAnsi="Calibri"/>
                <w:sz w:val="18"/>
              </w:rPr>
              <w:t>17:00</w:t>
            </w:r>
          </w:p>
        </w:tc>
        <w:tc>
          <w:tcPr>
            <w:tcW w:type="dxa" w:w="1303"/>
          </w:tcPr>
          <w:p>
            <w:r>
              <w:rPr>
                <w:rFonts w:ascii="Calibri" w:hAnsi="Calibri"/>
                <w:sz w:val="18"/>
              </w:rPr>
              <w:t>54%</w:t>
            </w:r>
          </w:p>
        </w:tc>
        <w:tc>
          <w:tcPr>
            <w:tcW w:type="dxa" w:w="1303"/>
          </w:tcPr>
          <w:p>
            <w:r>
              <w:rPr>
                <w:rFonts w:ascii="Calibri" w:hAnsi="Calibri"/>
                <w:sz w:val="18"/>
              </w:rPr>
              <w:t>44%</w:t>
            </w:r>
          </w:p>
        </w:tc>
      </w:tr>
      <w:tr>
        <w:tc>
          <w:tcPr>
            <w:tcW w:type="dxa" w:w="1303"/>
          </w:tcPr>
          <w:p>
            <w:r>
              <w:rPr>
                <w:rFonts w:ascii="Calibri" w:hAnsi="Calibri"/>
                <w:sz w:val="18"/>
              </w:rPr>
              <w:t>9</w:t>
            </w:r>
          </w:p>
        </w:tc>
        <w:tc>
          <w:tcPr>
            <w:tcW w:type="dxa" w:w="1303"/>
          </w:tcPr>
          <w:p>
            <w:r>
              <w:rPr>
                <w:rFonts w:ascii="Calibri" w:hAnsi="Calibri"/>
                <w:sz w:val="18"/>
              </w:rPr>
              <w:t>Cll 49B × Cra 76</w:t>
            </w:r>
          </w:p>
        </w:tc>
        <w:tc>
          <w:tcPr>
            <w:tcW w:type="dxa" w:w="1303"/>
          </w:tcPr>
          <w:p>
            <w:r>
              <w:rPr>
                <w:rFonts w:ascii="Calibri" w:hAnsi="Calibri"/>
                <w:sz w:val="18"/>
              </w:rPr>
              <w:t>875</w:t>
            </w:r>
          </w:p>
        </w:tc>
        <w:tc>
          <w:tcPr>
            <w:tcW w:type="dxa" w:w="1303"/>
          </w:tcPr>
          <w:p>
            <w:r>
              <w:rPr>
                <w:rFonts w:ascii="Calibri" w:hAnsi="Calibri"/>
                <w:sz w:val="18"/>
              </w:rPr>
              <w:t>130</w:t>
            </w:r>
          </w:p>
        </w:tc>
        <w:tc>
          <w:tcPr>
            <w:tcW w:type="dxa" w:w="1303"/>
          </w:tcPr>
          <w:p>
            <w:r>
              <w:rPr>
                <w:rFonts w:ascii="Calibri" w:hAnsi="Calibri"/>
                <w:sz w:val="18"/>
              </w:rPr>
              <w:t>11:00</w:t>
            </w:r>
          </w:p>
        </w:tc>
        <w:tc>
          <w:tcPr>
            <w:tcW w:type="dxa" w:w="1303"/>
          </w:tcPr>
          <w:p>
            <w:r>
              <w:rPr>
                <w:rFonts w:ascii="Calibri" w:hAnsi="Calibri"/>
                <w:sz w:val="18"/>
              </w:rPr>
              <w:t>70%</w:t>
            </w:r>
          </w:p>
        </w:tc>
        <w:tc>
          <w:tcPr>
            <w:tcW w:type="dxa" w:w="1303"/>
          </w:tcPr>
          <w:p>
            <w:r>
              <w:rPr>
                <w:rFonts w:ascii="Calibri" w:hAnsi="Calibri"/>
                <w:sz w:val="18"/>
              </w:rPr>
              <w:t>29%</w:t>
            </w:r>
          </w:p>
        </w:tc>
      </w:tr>
      <w:tr>
        <w:tc>
          <w:tcPr>
            <w:tcW w:type="dxa" w:w="1303"/>
          </w:tcPr>
          <w:p>
            <w:r>
              <w:rPr>
                <w:rFonts w:ascii="Calibri" w:hAnsi="Calibri"/>
                <w:sz w:val="18"/>
              </w:rPr>
              <w:t>10</w:t>
            </w:r>
          </w:p>
        </w:tc>
        <w:tc>
          <w:tcPr>
            <w:tcW w:type="dxa" w:w="1303"/>
          </w:tcPr>
          <w:p>
            <w:r>
              <w:rPr>
                <w:rFonts w:ascii="Calibri" w:hAnsi="Calibri"/>
                <w:sz w:val="18"/>
              </w:rPr>
              <w:t>Cll 49B × Cra 77B</w:t>
            </w:r>
          </w:p>
        </w:tc>
        <w:tc>
          <w:tcPr>
            <w:tcW w:type="dxa" w:w="1303"/>
          </w:tcPr>
          <w:p>
            <w:r>
              <w:rPr>
                <w:rFonts w:ascii="Calibri" w:hAnsi="Calibri"/>
                <w:sz w:val="18"/>
              </w:rPr>
              <w:t>743</w:t>
            </w:r>
          </w:p>
        </w:tc>
        <w:tc>
          <w:tcPr>
            <w:tcW w:type="dxa" w:w="1303"/>
          </w:tcPr>
          <w:p>
            <w:r>
              <w:rPr>
                <w:rFonts w:ascii="Calibri" w:hAnsi="Calibri"/>
                <w:sz w:val="18"/>
              </w:rPr>
              <w:t>78</w:t>
            </w:r>
          </w:p>
        </w:tc>
        <w:tc>
          <w:tcPr>
            <w:tcW w:type="dxa" w:w="1303"/>
          </w:tcPr>
          <w:p>
            <w:r>
              <w:rPr>
                <w:rFonts w:ascii="Calibri" w:hAnsi="Calibri"/>
                <w:sz w:val="18"/>
              </w:rPr>
              <w:t>17:00</w:t>
            </w:r>
          </w:p>
        </w:tc>
        <w:tc>
          <w:tcPr>
            <w:tcW w:type="dxa" w:w="1303"/>
          </w:tcPr>
          <w:p>
            <w:r>
              <w:rPr>
                <w:rFonts w:ascii="Calibri" w:hAnsi="Calibri"/>
                <w:sz w:val="18"/>
              </w:rPr>
              <w:t>66%</w:t>
            </w:r>
          </w:p>
        </w:tc>
        <w:tc>
          <w:tcPr>
            <w:tcW w:type="dxa" w:w="1303"/>
          </w:tcPr>
          <w:p>
            <w:r>
              <w:rPr>
                <w:rFonts w:ascii="Calibri" w:hAnsi="Calibri"/>
                <w:sz w:val="18"/>
              </w:rPr>
              <w:t>32%</w:t>
            </w:r>
          </w:p>
        </w:tc>
      </w:tr>
      <w:tr>
        <w:tc>
          <w:tcPr>
            <w:tcW w:type="dxa" w:w="1303"/>
          </w:tcPr>
          <w:p>
            <w:r>
              <w:rPr>
                <w:rFonts w:ascii="Calibri" w:hAnsi="Calibri"/>
                <w:sz w:val="18"/>
              </w:rPr>
              <w:t>11</w:t>
            </w:r>
          </w:p>
        </w:tc>
        <w:tc>
          <w:tcPr>
            <w:tcW w:type="dxa" w:w="1303"/>
          </w:tcPr>
          <w:p>
            <w:r>
              <w:rPr>
                <w:rFonts w:ascii="Calibri" w:hAnsi="Calibri"/>
                <w:sz w:val="18"/>
              </w:rPr>
              <w:t>Cra 65 × Cll 59</w:t>
            </w:r>
          </w:p>
        </w:tc>
        <w:tc>
          <w:tcPr>
            <w:tcW w:type="dxa" w:w="1303"/>
          </w:tcPr>
          <w:p>
            <w:r>
              <w:rPr>
                <w:rFonts w:ascii="Calibri" w:hAnsi="Calibri"/>
                <w:sz w:val="18"/>
              </w:rPr>
              <w:t>580</w:t>
            </w:r>
          </w:p>
        </w:tc>
        <w:tc>
          <w:tcPr>
            <w:tcW w:type="dxa" w:w="1303"/>
          </w:tcPr>
          <w:p>
            <w:r>
              <w:rPr>
                <w:rFonts w:ascii="Calibri" w:hAnsi="Calibri"/>
                <w:sz w:val="18"/>
              </w:rPr>
              <w:t>85</w:t>
            </w:r>
          </w:p>
        </w:tc>
        <w:tc>
          <w:tcPr>
            <w:tcW w:type="dxa" w:w="1303"/>
          </w:tcPr>
          <w:p>
            <w:r>
              <w:rPr>
                <w:rFonts w:ascii="Calibri" w:hAnsi="Calibri"/>
                <w:sz w:val="18"/>
              </w:rPr>
              <w:t>17:00</w:t>
            </w:r>
          </w:p>
        </w:tc>
        <w:tc>
          <w:tcPr>
            <w:tcW w:type="dxa" w:w="1303"/>
          </w:tcPr>
          <w:p>
            <w:r>
              <w:rPr>
                <w:rFonts w:ascii="Calibri" w:hAnsi="Calibri"/>
                <w:sz w:val="18"/>
              </w:rPr>
              <w:t>11%</w:t>
            </w:r>
          </w:p>
        </w:tc>
        <w:tc>
          <w:tcPr>
            <w:tcW w:type="dxa" w:w="1303"/>
          </w:tcPr>
          <w:p>
            <w:r>
              <w:rPr>
                <w:rFonts w:ascii="Calibri" w:hAnsi="Calibri"/>
                <w:sz w:val="18"/>
              </w:rPr>
              <w:t>69%</w:t>
            </w:r>
          </w:p>
        </w:tc>
      </w:tr>
      <w:tr>
        <w:tc>
          <w:tcPr>
            <w:tcW w:type="dxa" w:w="1303"/>
          </w:tcPr>
          <w:p>
            <w:r>
              <w:rPr>
                <w:rFonts w:ascii="Calibri" w:hAnsi="Calibri"/>
                <w:sz w:val="18"/>
              </w:rPr>
              <w:t>12</w:t>
            </w:r>
          </w:p>
        </w:tc>
        <w:tc>
          <w:tcPr>
            <w:tcW w:type="dxa" w:w="1303"/>
          </w:tcPr>
          <w:p>
            <w:r>
              <w:rPr>
                <w:rFonts w:ascii="Calibri" w:hAnsi="Calibri"/>
                <w:sz w:val="18"/>
              </w:rPr>
              <w:t>Cll 49B × Cra 77A</w:t>
            </w:r>
          </w:p>
        </w:tc>
        <w:tc>
          <w:tcPr>
            <w:tcW w:type="dxa" w:w="1303"/>
          </w:tcPr>
          <w:p>
            <w:r>
              <w:rPr>
                <w:rFonts w:ascii="Calibri" w:hAnsi="Calibri"/>
                <w:sz w:val="18"/>
              </w:rPr>
              <w:t>524</w:t>
            </w:r>
          </w:p>
        </w:tc>
        <w:tc>
          <w:tcPr>
            <w:tcW w:type="dxa" w:w="1303"/>
          </w:tcPr>
          <w:p>
            <w:r>
              <w:rPr>
                <w:rFonts w:ascii="Calibri" w:hAnsi="Calibri"/>
                <w:sz w:val="18"/>
              </w:rPr>
              <w:t>86</w:t>
            </w:r>
          </w:p>
        </w:tc>
        <w:tc>
          <w:tcPr>
            <w:tcW w:type="dxa" w:w="1303"/>
          </w:tcPr>
          <w:p>
            <w:r>
              <w:rPr>
                <w:rFonts w:ascii="Calibri" w:hAnsi="Calibri"/>
                <w:sz w:val="18"/>
              </w:rPr>
              <w:t>14:00</w:t>
            </w:r>
          </w:p>
        </w:tc>
        <w:tc>
          <w:tcPr>
            <w:tcW w:type="dxa" w:w="1303"/>
          </w:tcPr>
          <w:p>
            <w:r>
              <w:rPr>
                <w:rFonts w:ascii="Calibri" w:hAnsi="Calibri"/>
                <w:sz w:val="18"/>
              </w:rPr>
              <w:t>71%</w:t>
            </w:r>
          </w:p>
        </w:tc>
        <w:tc>
          <w:tcPr>
            <w:tcW w:type="dxa" w:w="1303"/>
          </w:tcPr>
          <w:p>
            <w:r>
              <w:rPr>
                <w:rFonts w:ascii="Calibri" w:hAnsi="Calibri"/>
                <w:sz w:val="18"/>
              </w:rPr>
              <w:t>27%</w:t>
            </w:r>
          </w:p>
        </w:tc>
      </w:tr>
      <w:tr>
        <w:tc>
          <w:tcPr>
            <w:tcW w:type="dxa" w:w="1303"/>
          </w:tcPr>
          <w:p>
            <w:r>
              <w:rPr>
                <w:rFonts w:ascii="Calibri" w:hAnsi="Calibri"/>
                <w:sz w:val="18"/>
              </w:rPr>
              <w:t>13</w:t>
            </w:r>
          </w:p>
        </w:tc>
        <w:tc>
          <w:tcPr>
            <w:tcW w:type="dxa" w:w="1303"/>
          </w:tcPr>
          <w:p>
            <w:r>
              <w:rPr>
                <w:rFonts w:ascii="Calibri" w:hAnsi="Calibri"/>
                <w:sz w:val="18"/>
              </w:rPr>
              <w:t>Cll 49B × Cra 75</w:t>
            </w:r>
          </w:p>
        </w:tc>
        <w:tc>
          <w:tcPr>
            <w:tcW w:type="dxa" w:w="1303"/>
          </w:tcPr>
          <w:p>
            <w:r>
              <w:rPr>
                <w:rFonts w:ascii="Calibri" w:hAnsi="Calibri"/>
                <w:sz w:val="18"/>
              </w:rPr>
              <w:t>270</w:t>
            </w:r>
          </w:p>
        </w:tc>
        <w:tc>
          <w:tcPr>
            <w:tcW w:type="dxa" w:w="1303"/>
          </w:tcPr>
          <w:p>
            <w:r>
              <w:rPr>
                <w:rFonts w:ascii="Calibri" w:hAnsi="Calibri"/>
                <w:sz w:val="18"/>
              </w:rPr>
              <w:t>42</w:t>
            </w:r>
          </w:p>
        </w:tc>
        <w:tc>
          <w:tcPr>
            <w:tcW w:type="dxa" w:w="1303"/>
          </w:tcPr>
          <w:p>
            <w:r>
              <w:rPr>
                <w:rFonts w:ascii="Calibri" w:hAnsi="Calibri"/>
                <w:sz w:val="18"/>
              </w:rPr>
              <w:t>12:00</w:t>
            </w:r>
          </w:p>
        </w:tc>
        <w:tc>
          <w:tcPr>
            <w:tcW w:type="dxa" w:w="1303"/>
          </w:tcPr>
          <w:p>
            <w:r>
              <w:rPr>
                <w:rFonts w:ascii="Calibri" w:hAnsi="Calibri"/>
                <w:sz w:val="18"/>
              </w:rPr>
              <w:t>60%</w:t>
            </w:r>
          </w:p>
        </w:tc>
        <w:tc>
          <w:tcPr>
            <w:tcW w:type="dxa" w:w="1303"/>
          </w:tcPr>
          <w:p>
            <w:r>
              <w:rPr>
                <w:rFonts w:ascii="Calibri" w:hAnsi="Calibri"/>
                <w:sz w:val="18"/>
              </w:rPr>
              <w:t>37%</w:t>
            </w:r>
          </w:p>
        </w:tc>
      </w:tr>
      <w:tr>
        <w:tc>
          <w:tcPr>
            <w:tcW w:type="dxa" w:w="1303"/>
          </w:tcPr>
          <w:p>
            <w:r>
              <w:rPr>
                <w:rFonts w:ascii="Calibri" w:hAnsi="Calibri"/>
                <w:sz w:val="18"/>
              </w:rPr>
              <w:t>14-15</w:t>
            </w:r>
          </w:p>
        </w:tc>
        <w:tc>
          <w:tcPr>
            <w:tcW w:type="dxa" w:w="1303"/>
          </w:tcPr>
          <w:p>
            <w:r>
              <w:rPr>
                <w:rFonts w:ascii="Calibri" w:hAnsi="Calibri"/>
                <w:sz w:val="18"/>
              </w:rPr>
              <w:t>Cll 48B/48C × Cra 77B</w:t>
            </w:r>
          </w:p>
        </w:tc>
        <w:tc>
          <w:tcPr>
            <w:tcW w:type="dxa" w:w="1303"/>
          </w:tcPr>
          <w:p>
            <w:r>
              <w:rPr>
                <w:rFonts w:ascii="Calibri" w:hAnsi="Calibri"/>
                <w:sz w:val="18"/>
              </w:rPr>
              <w:t>167</w:t>
            </w:r>
          </w:p>
        </w:tc>
        <w:tc>
          <w:tcPr>
            <w:tcW w:type="dxa" w:w="1303"/>
          </w:tcPr>
          <w:p>
            <w:r>
              <w:rPr>
                <w:rFonts w:ascii="Calibri" w:hAnsi="Calibri"/>
                <w:sz w:val="18"/>
              </w:rPr>
              <w:t>86</w:t>
            </w:r>
          </w:p>
        </w:tc>
        <w:tc>
          <w:tcPr>
            <w:tcW w:type="dxa" w:w="1303"/>
          </w:tcPr>
          <w:p>
            <w:r>
              <w:rPr>
                <w:rFonts w:ascii="Calibri" w:hAnsi="Calibri"/>
                <w:sz w:val="18"/>
              </w:rPr>
              <w:t>17:00</w:t>
            </w:r>
          </w:p>
        </w:tc>
        <w:tc>
          <w:tcPr>
            <w:tcW w:type="dxa" w:w="1303"/>
          </w:tcPr>
          <w:p>
            <w:r>
              <w:rPr>
                <w:rFonts w:ascii="Calibri" w:hAnsi="Calibri"/>
                <w:sz w:val="18"/>
              </w:rPr>
              <w:t>66%</w:t>
            </w:r>
          </w:p>
        </w:tc>
        <w:tc>
          <w:tcPr>
            <w:tcW w:type="dxa" w:w="1303"/>
          </w:tcPr>
          <w:p>
            <w:r>
              <w:rPr>
                <w:rFonts w:ascii="Calibri" w:hAnsi="Calibri"/>
                <w:sz w:val="18"/>
              </w:rPr>
              <w:t>34%</w:t>
            </w:r>
          </w:p>
        </w:tc>
      </w:tr>
      <w:tr>
        <w:tc>
          <w:tcPr>
            <w:tcW w:type="dxa" w:w="1303"/>
          </w:tcPr>
          <w:p>
            <w:r>
              <w:rPr>
                <w:rFonts w:ascii="Calibri" w:hAnsi="Calibri"/>
                <w:sz w:val="18"/>
              </w:rPr>
            </w:r>
          </w:p>
        </w:tc>
        <w:tc>
          <w:tcPr>
            <w:tcW w:type="dxa" w:w="1303"/>
          </w:tcPr>
          <w:p>
            <w:r>
              <w:rPr>
                <w:rFonts w:ascii="Calibri" w:hAnsi="Calibri"/>
                <w:sz w:val="18"/>
              </w:rPr>
              <w:t>TOTAL POLÍGONO</w:t>
            </w:r>
          </w:p>
        </w:tc>
        <w:tc>
          <w:tcPr>
            <w:tcW w:type="dxa" w:w="1303"/>
          </w:tcPr>
          <w:p>
            <w:r>
              <w:rPr>
                <w:rFonts w:ascii="Calibri" w:hAnsi="Calibri"/>
                <w:sz w:val="18"/>
              </w:rPr>
              <w:t>68,787</w:t>
            </w:r>
          </w:p>
        </w:tc>
        <w:tc>
          <w:tcPr>
            <w:tcW w:type="dxa" w:w="1303"/>
          </w:tcPr>
          <w:p>
            <w:r>
              <w:rPr>
                <w:rFonts w:ascii="Calibri" w:hAnsi="Calibri"/>
                <w:sz w:val="18"/>
              </w:rPr>
              <w:t>—</w:t>
            </w:r>
          </w:p>
        </w:tc>
        <w:tc>
          <w:tcPr>
            <w:tcW w:type="dxa" w:w="1303"/>
          </w:tcPr>
          <w:p>
            <w:r>
              <w:rPr>
                <w:rFonts w:ascii="Calibri" w:hAnsi="Calibri"/>
                <w:sz w:val="18"/>
              </w:rPr>
              <w:t>—</w:t>
            </w:r>
          </w:p>
        </w:tc>
        <w:tc>
          <w:tcPr>
            <w:tcW w:type="dxa" w:w="1303"/>
          </w:tcPr>
          <w:p>
            <w:r>
              <w:rPr>
                <w:rFonts w:ascii="Calibri" w:hAnsi="Calibri"/>
                <w:sz w:val="18"/>
              </w:rPr>
              <w:t>~51%</w:t>
            </w:r>
          </w:p>
        </w:tc>
        <w:tc>
          <w:tcPr>
            <w:tcW w:type="dxa" w:w="1303"/>
          </w:tcPr>
          <w:p>
            <w:r>
              <w:rPr>
                <w:rFonts w:ascii="Calibri" w:hAnsi="Calibri"/>
                <w:sz w:val="18"/>
              </w:rPr>
              <w:t>~38%</w:t>
            </w:r>
          </w:p>
        </w:tc>
      </w:tr>
    </w:tbl>
    <w:p/>
    <w:p>
      <w:r/>
      <w:r>
        <w:rPr>
          <w:b/>
        </w:rPr>
        <w:t>Fuente:</w:t>
      </w:r>
      <w:r>
        <w:t xml:space="preserve"> SIMM Medellín, MEData — Aforos Vehiculares, período 2018-2019. Procesamiento propio.</w:t>
      </w:r>
    </w:p>
    <w:p>
      <w:r>
        <w:t>La intersección más transitada del polígono es la Carrera 65 con Calle 50, que registra un TPD de 18,220 vehículos/día con una Hora de Máxima Demanda de 1,419 vehículos/hora a las 6:00 AM. La segunda intersección más transitada es un segundo punto de la misma Carrera 65 con Calle 50, con 14,506 vehículos/día y un pico vespertino de 1,310 vehículos/hora a las 17:00.</w:t>
      </w:r>
    </w:p>
    <w:p>
      <w:pPr>
        <w:pStyle w:val="Heading3"/>
      </w:pPr>
      <w:r>
        <w:t>4.2.2 Composición Vehicular</w:t>
      </w:r>
    </w:p>
    <w:p>
      <w:r>
        <w:t>La composición vehicular del polígono de estudio muestra un predominio de automóviles (51%) seguido por motocicletas (38%), con participación menor de buses (5%), bicicletas (4%) y camiones (2%). Esta composición es consistente con los datos nacionales del RUNT (62% motos, 37% autos a nivel nacional), pero muestra una mayor proporción de automóviles que el promedio nacional, lo cual es coherente con el perfil socioeconómico de estrato 5 de la zona.</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r>
              <w:rPr>
                <w:rFonts w:ascii="Calibri" w:hAnsi="Calibri"/>
                <w:b/>
                <w:sz w:val="18"/>
              </w:rPr>
              <w:t>Tipo de vehículo</w:t>
            </w:r>
          </w:p>
        </w:tc>
        <w:tc>
          <w:tcPr>
            <w:tcW w:type="dxa" w:w="3041"/>
          </w:tcPr>
          <w:p>
            <w:r>
              <w:rPr>
                <w:rFonts w:ascii="Calibri" w:hAnsi="Calibri"/>
                <w:b/>
                <w:sz w:val="18"/>
              </w:rPr>
              <w:t>Participación polígono</w:t>
            </w:r>
          </w:p>
        </w:tc>
        <w:tc>
          <w:tcPr>
            <w:tcW w:type="dxa" w:w="3041"/>
          </w:tcPr>
          <w:p>
            <w:r>
              <w:rPr>
                <w:rFonts w:ascii="Calibri" w:hAnsi="Calibri"/>
                <w:b/>
                <w:sz w:val="18"/>
              </w:rPr>
              <w:t>Participación nacional (RUNT 2024)</w:t>
            </w:r>
          </w:p>
        </w:tc>
      </w:tr>
      <w:tr>
        <w:tc>
          <w:tcPr>
            <w:tcW w:type="dxa" w:w="3041"/>
          </w:tcPr>
          <w:p>
            <w:r>
              <w:rPr>
                <w:rFonts w:ascii="Calibri" w:hAnsi="Calibri"/>
                <w:sz w:val="18"/>
              </w:rPr>
              <w:t>Automóviles</w:t>
            </w:r>
          </w:p>
        </w:tc>
        <w:tc>
          <w:tcPr>
            <w:tcW w:type="dxa" w:w="3041"/>
          </w:tcPr>
          <w:p>
            <w:r>
              <w:rPr>
                <w:rFonts w:ascii="Calibri" w:hAnsi="Calibri"/>
                <w:sz w:val="18"/>
              </w:rPr>
              <w:t>51%</w:t>
            </w:r>
          </w:p>
        </w:tc>
        <w:tc>
          <w:tcPr>
            <w:tcW w:type="dxa" w:w="3041"/>
          </w:tcPr>
          <w:p>
            <w:r>
              <w:rPr>
                <w:rFonts w:ascii="Calibri" w:hAnsi="Calibri"/>
                <w:sz w:val="18"/>
              </w:rPr>
              <w:t>37%</w:t>
            </w:r>
          </w:p>
        </w:tc>
      </w:tr>
      <w:tr>
        <w:tc>
          <w:tcPr>
            <w:tcW w:type="dxa" w:w="3041"/>
          </w:tcPr>
          <w:p>
            <w:r>
              <w:rPr>
                <w:rFonts w:ascii="Calibri" w:hAnsi="Calibri"/>
                <w:sz w:val="18"/>
              </w:rPr>
              <w:t>Motocicletas</w:t>
            </w:r>
          </w:p>
        </w:tc>
        <w:tc>
          <w:tcPr>
            <w:tcW w:type="dxa" w:w="3041"/>
          </w:tcPr>
          <w:p>
            <w:r>
              <w:rPr>
                <w:rFonts w:ascii="Calibri" w:hAnsi="Calibri"/>
                <w:sz w:val="18"/>
              </w:rPr>
              <w:t>38%</w:t>
            </w:r>
          </w:p>
        </w:tc>
        <w:tc>
          <w:tcPr>
            <w:tcW w:type="dxa" w:w="3041"/>
          </w:tcPr>
          <w:p>
            <w:r>
              <w:rPr>
                <w:rFonts w:ascii="Calibri" w:hAnsi="Calibri"/>
                <w:sz w:val="18"/>
              </w:rPr>
              <w:t>62%</w:t>
            </w:r>
          </w:p>
        </w:tc>
      </w:tr>
      <w:tr>
        <w:tc>
          <w:tcPr>
            <w:tcW w:type="dxa" w:w="3041"/>
          </w:tcPr>
          <w:p>
            <w:r>
              <w:rPr>
                <w:rFonts w:ascii="Calibri" w:hAnsi="Calibri"/>
                <w:sz w:val="18"/>
              </w:rPr>
              <w:t>Buses</w:t>
            </w:r>
          </w:p>
        </w:tc>
        <w:tc>
          <w:tcPr>
            <w:tcW w:type="dxa" w:w="3041"/>
          </w:tcPr>
          <w:p>
            <w:r>
              <w:rPr>
                <w:rFonts w:ascii="Calibri" w:hAnsi="Calibri"/>
                <w:sz w:val="18"/>
              </w:rPr>
              <w:t>5%</w:t>
            </w:r>
          </w:p>
        </w:tc>
        <w:tc>
          <w:tcPr>
            <w:tcW w:type="dxa" w:w="3041"/>
          </w:tcPr>
          <w:p>
            <w:r>
              <w:rPr>
                <w:rFonts w:ascii="Calibri" w:hAnsi="Calibri"/>
                <w:sz w:val="18"/>
              </w:rPr>
              <w:t>&lt;1% (del parque, pero alta frecuencia)</w:t>
            </w:r>
          </w:p>
        </w:tc>
      </w:tr>
      <w:tr>
        <w:tc>
          <w:tcPr>
            <w:tcW w:type="dxa" w:w="3041"/>
          </w:tcPr>
          <w:p>
            <w:r>
              <w:rPr>
                <w:rFonts w:ascii="Calibri" w:hAnsi="Calibri"/>
                <w:sz w:val="18"/>
              </w:rPr>
              <w:t>Camiones</w:t>
            </w:r>
          </w:p>
        </w:tc>
        <w:tc>
          <w:tcPr>
            <w:tcW w:type="dxa" w:w="3041"/>
          </w:tcPr>
          <w:p>
            <w:r>
              <w:rPr>
                <w:rFonts w:ascii="Calibri" w:hAnsi="Calibri"/>
                <w:sz w:val="18"/>
              </w:rPr>
              <w:t>2%</w:t>
            </w:r>
          </w:p>
        </w:tc>
        <w:tc>
          <w:tcPr>
            <w:tcW w:type="dxa" w:w="3041"/>
          </w:tcPr>
          <w:p>
            <w:r>
              <w:rPr>
                <w:rFonts w:ascii="Calibri" w:hAnsi="Calibri"/>
                <w:sz w:val="18"/>
              </w:rPr>
              <w:t>&lt;1%</w:t>
            </w:r>
          </w:p>
        </w:tc>
      </w:tr>
      <w:tr>
        <w:tc>
          <w:tcPr>
            <w:tcW w:type="dxa" w:w="3041"/>
          </w:tcPr>
          <w:p>
            <w:r>
              <w:rPr>
                <w:rFonts w:ascii="Calibri" w:hAnsi="Calibri"/>
                <w:sz w:val="18"/>
              </w:rPr>
              <w:t>Bicicletas</w:t>
            </w:r>
          </w:p>
        </w:tc>
        <w:tc>
          <w:tcPr>
            <w:tcW w:type="dxa" w:w="3041"/>
          </w:tcPr>
          <w:p>
            <w:r>
              <w:rPr>
                <w:rFonts w:ascii="Calibri" w:hAnsi="Calibri"/>
                <w:sz w:val="18"/>
              </w:rPr>
              <w:t>4%</w:t>
            </w:r>
          </w:p>
        </w:tc>
        <w:tc>
          <w:tcPr>
            <w:tcW w:type="dxa" w:w="3041"/>
          </w:tcPr>
          <w:p>
            <w:r>
              <w:rPr>
                <w:rFonts w:ascii="Calibri" w:hAnsi="Calibri"/>
                <w:sz w:val="18"/>
              </w:rPr>
              <w:t>N/A (no registrado en RUNT)</w:t>
            </w:r>
          </w:p>
        </w:tc>
      </w:tr>
    </w:tbl>
    <w:p/>
    <w:p>
      <w:pPr>
        <w:pStyle w:val="Heading3"/>
      </w:pPr>
      <w:r>
        <w:t>4.2.3 Velocidad e Intensidad — 12 Corredores con Sensores SIMM</w:t>
      </w:r>
    </w:p>
    <w:p>
      <w:r>
        <w:t>Los datos de velocidad e intensidad vehicular provienen de 7 sensores tipo ARS y CCTV distribuidos en 12 corredores viales dentro del polígono, con registro horario continuo durante julio y agosto de 2020. Si bien el período corresponde a meses de pandemia por COVID-19, los datos reflejan un nivel de tráfico que, según análisis comparativos del SIMM, se aproxima al 70-80% del tráfico normal pre-pandemia, por lo que las velocidades registradas en hora pico representan un escenario conservador (la congestión en condiciones normales sería aún mayor).</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r>
              <w:rPr>
                <w:rFonts w:ascii="Calibri" w:hAnsi="Calibri"/>
                <w:b/>
                <w:sz w:val="18"/>
              </w:rPr>
              <w:t>Corredor</w:t>
            </w:r>
          </w:p>
        </w:tc>
        <w:tc>
          <w:tcPr>
            <w:tcW w:type="dxa" w:w="1520"/>
          </w:tcPr>
          <w:p>
            <w:r>
              <w:rPr>
                <w:rFonts w:ascii="Calibri" w:hAnsi="Calibri"/>
                <w:b/>
                <w:sz w:val="18"/>
              </w:rPr>
              <w:t>Sentido</w:t>
            </w:r>
          </w:p>
        </w:tc>
        <w:tc>
          <w:tcPr>
            <w:tcW w:type="dxa" w:w="1520"/>
          </w:tcPr>
          <w:p>
            <w:r>
              <w:rPr>
                <w:rFonts w:ascii="Calibri" w:hAnsi="Calibri"/>
                <w:b/>
                <w:sz w:val="18"/>
              </w:rPr>
              <w:t>Vel. 8AM (km/h)</w:t>
            </w:r>
          </w:p>
        </w:tc>
        <w:tc>
          <w:tcPr>
            <w:tcW w:type="dxa" w:w="1520"/>
          </w:tcPr>
          <w:p>
            <w:r>
              <w:rPr>
                <w:rFonts w:ascii="Calibri" w:hAnsi="Calibri"/>
                <w:b/>
                <w:sz w:val="18"/>
              </w:rPr>
              <w:t>Vel. 12PM</w:t>
            </w:r>
          </w:p>
        </w:tc>
        <w:tc>
          <w:tcPr>
            <w:tcW w:type="dxa" w:w="1520"/>
          </w:tcPr>
          <w:p>
            <w:r>
              <w:rPr>
                <w:rFonts w:ascii="Calibri" w:hAnsi="Calibri"/>
                <w:b/>
                <w:sz w:val="18"/>
              </w:rPr>
              <w:t>Vel. 5PM</w:t>
            </w:r>
          </w:p>
        </w:tc>
        <w:tc>
          <w:tcPr>
            <w:tcW w:type="dxa" w:w="1520"/>
          </w:tcPr>
          <w:p>
            <w:r>
              <w:rPr>
                <w:rFonts w:ascii="Calibri" w:hAnsi="Calibri"/>
                <w:b/>
                <w:sz w:val="18"/>
              </w:rPr>
              <w:t>Int. máx (veh/hr)</w:t>
            </w:r>
          </w:p>
        </w:tc>
      </w:tr>
      <w:tr>
        <w:tc>
          <w:tcPr>
            <w:tcW w:type="dxa" w:w="1520"/>
          </w:tcPr>
          <w:p>
            <w:r>
              <w:rPr>
                <w:rFonts w:ascii="Calibri" w:hAnsi="Calibri"/>
                <w:sz w:val="18"/>
              </w:rPr>
              <w:t>Autopista Sur</w:t>
            </w:r>
          </w:p>
        </w:tc>
        <w:tc>
          <w:tcPr>
            <w:tcW w:type="dxa" w:w="1520"/>
          </w:tcPr>
          <w:p>
            <w:r>
              <w:rPr>
                <w:rFonts w:ascii="Calibri" w:hAnsi="Calibri"/>
                <w:sz w:val="18"/>
              </w:rPr>
              <w:t>NS</w:t>
            </w:r>
          </w:p>
        </w:tc>
        <w:tc>
          <w:tcPr>
            <w:tcW w:type="dxa" w:w="1520"/>
          </w:tcPr>
          <w:p>
            <w:r>
              <w:rPr>
                <w:rFonts w:ascii="Calibri" w:hAnsi="Calibri"/>
                <w:sz w:val="18"/>
              </w:rPr>
              <w:t>37.8</w:t>
            </w:r>
          </w:p>
        </w:tc>
        <w:tc>
          <w:tcPr>
            <w:tcW w:type="dxa" w:w="1520"/>
          </w:tcPr>
          <w:p>
            <w:r>
              <w:rPr>
                <w:rFonts w:ascii="Calibri" w:hAnsi="Calibri"/>
                <w:sz w:val="18"/>
              </w:rPr>
              <w:t>38.3</w:t>
            </w:r>
          </w:p>
        </w:tc>
        <w:tc>
          <w:tcPr>
            <w:tcW w:type="dxa" w:w="1520"/>
          </w:tcPr>
          <w:p>
            <w:r>
              <w:rPr>
                <w:rFonts w:ascii="Calibri" w:hAnsi="Calibri"/>
                <w:sz w:val="18"/>
              </w:rPr>
              <w:t>34.9</w:t>
            </w:r>
          </w:p>
        </w:tc>
        <w:tc>
          <w:tcPr>
            <w:tcW w:type="dxa" w:w="1520"/>
          </w:tcPr>
          <w:p>
            <w:r>
              <w:rPr>
                <w:rFonts w:ascii="Calibri" w:hAnsi="Calibri"/>
                <w:sz w:val="18"/>
              </w:rPr>
              <w:t>916</w:t>
            </w:r>
          </w:p>
        </w:tc>
      </w:tr>
      <w:tr>
        <w:tc>
          <w:tcPr>
            <w:tcW w:type="dxa" w:w="1520"/>
          </w:tcPr>
          <w:p>
            <w:r>
              <w:rPr>
                <w:rFonts w:ascii="Calibri" w:hAnsi="Calibri"/>
                <w:sz w:val="18"/>
              </w:rPr>
              <w:t>Avenida 80</w:t>
            </w:r>
          </w:p>
        </w:tc>
        <w:tc>
          <w:tcPr>
            <w:tcW w:type="dxa" w:w="1520"/>
          </w:tcPr>
          <w:p>
            <w:r>
              <w:rPr>
                <w:rFonts w:ascii="Calibri" w:hAnsi="Calibri"/>
                <w:sz w:val="18"/>
              </w:rPr>
              <w:t>NS</w:t>
            </w:r>
          </w:p>
        </w:tc>
        <w:tc>
          <w:tcPr>
            <w:tcW w:type="dxa" w:w="1520"/>
          </w:tcPr>
          <w:p>
            <w:r>
              <w:rPr>
                <w:rFonts w:ascii="Calibri" w:hAnsi="Calibri"/>
                <w:sz w:val="18"/>
              </w:rPr>
              <w:t>24.6</w:t>
            </w:r>
          </w:p>
        </w:tc>
        <w:tc>
          <w:tcPr>
            <w:tcW w:type="dxa" w:w="1520"/>
          </w:tcPr>
          <w:p>
            <w:r>
              <w:rPr>
                <w:rFonts w:ascii="Calibri" w:hAnsi="Calibri"/>
                <w:sz w:val="18"/>
              </w:rPr>
              <w:t>20.5</w:t>
            </w:r>
          </w:p>
        </w:tc>
        <w:tc>
          <w:tcPr>
            <w:tcW w:type="dxa" w:w="1520"/>
          </w:tcPr>
          <w:p>
            <w:r>
              <w:rPr>
                <w:rFonts w:ascii="Calibri" w:hAnsi="Calibri"/>
                <w:sz w:val="18"/>
              </w:rPr>
              <w:t>19.8</w:t>
            </w:r>
          </w:p>
        </w:tc>
        <w:tc>
          <w:tcPr>
            <w:tcW w:type="dxa" w:w="1520"/>
          </w:tcPr>
          <w:p>
            <w:r>
              <w:rPr>
                <w:rFonts w:ascii="Calibri" w:hAnsi="Calibri"/>
                <w:sz w:val="18"/>
              </w:rPr>
              <w:t>410</w:t>
            </w:r>
          </w:p>
        </w:tc>
      </w:tr>
      <w:tr>
        <w:tc>
          <w:tcPr>
            <w:tcW w:type="dxa" w:w="1520"/>
          </w:tcPr>
          <w:p>
            <w:r>
              <w:rPr>
                <w:rFonts w:ascii="Calibri" w:hAnsi="Calibri"/>
                <w:sz w:val="18"/>
              </w:rPr>
              <w:t>Avenida 80</w:t>
            </w:r>
          </w:p>
        </w:tc>
        <w:tc>
          <w:tcPr>
            <w:tcW w:type="dxa" w:w="1520"/>
          </w:tcPr>
          <w:p>
            <w:r>
              <w:rPr>
                <w:rFonts w:ascii="Calibri" w:hAnsi="Calibri"/>
                <w:sz w:val="18"/>
              </w:rPr>
              <w:t>SN</w:t>
            </w:r>
          </w:p>
        </w:tc>
        <w:tc>
          <w:tcPr>
            <w:tcW w:type="dxa" w:w="1520"/>
          </w:tcPr>
          <w:p>
            <w:r>
              <w:rPr>
                <w:rFonts w:ascii="Calibri" w:hAnsi="Calibri"/>
                <w:sz w:val="18"/>
              </w:rPr>
              <w:t>24.8</w:t>
            </w:r>
          </w:p>
        </w:tc>
        <w:tc>
          <w:tcPr>
            <w:tcW w:type="dxa" w:w="1520"/>
          </w:tcPr>
          <w:p>
            <w:r>
              <w:rPr>
                <w:rFonts w:ascii="Calibri" w:hAnsi="Calibri"/>
                <w:sz w:val="18"/>
              </w:rPr>
              <w:t>21.5</w:t>
            </w:r>
          </w:p>
        </w:tc>
        <w:tc>
          <w:tcPr>
            <w:tcW w:type="dxa" w:w="1520"/>
          </w:tcPr>
          <w:p>
            <w:r>
              <w:rPr>
                <w:rFonts w:ascii="Calibri" w:hAnsi="Calibri"/>
                <w:sz w:val="18"/>
              </w:rPr>
              <w:t>20.0</w:t>
            </w:r>
          </w:p>
        </w:tc>
        <w:tc>
          <w:tcPr>
            <w:tcW w:type="dxa" w:w="1520"/>
          </w:tcPr>
          <w:p>
            <w:r>
              <w:rPr>
                <w:rFonts w:ascii="Calibri" w:hAnsi="Calibri"/>
                <w:sz w:val="18"/>
              </w:rPr>
              <w:t>469</w:t>
            </w:r>
          </w:p>
        </w:tc>
      </w:tr>
      <w:tr>
        <w:tc>
          <w:tcPr>
            <w:tcW w:type="dxa" w:w="1520"/>
          </w:tcPr>
          <w:p>
            <w:r>
              <w:rPr>
                <w:rFonts w:ascii="Calibri" w:hAnsi="Calibri"/>
                <w:sz w:val="18"/>
              </w:rPr>
              <w:t>Avenida Bolivariana</w:t>
            </w:r>
          </w:p>
        </w:tc>
        <w:tc>
          <w:tcPr>
            <w:tcW w:type="dxa" w:w="1520"/>
          </w:tcPr>
          <w:p>
            <w:r>
              <w:rPr>
                <w:rFonts w:ascii="Calibri" w:hAnsi="Calibri"/>
                <w:sz w:val="18"/>
              </w:rPr>
              <w:t>EW</w:t>
            </w:r>
          </w:p>
        </w:tc>
        <w:tc>
          <w:tcPr>
            <w:tcW w:type="dxa" w:w="1520"/>
          </w:tcPr>
          <w:p>
            <w:r>
              <w:rPr>
                <w:rFonts w:ascii="Calibri" w:hAnsi="Calibri"/>
                <w:sz w:val="18"/>
              </w:rPr>
              <w:t>16.4</w:t>
            </w:r>
          </w:p>
        </w:tc>
        <w:tc>
          <w:tcPr>
            <w:tcW w:type="dxa" w:w="1520"/>
          </w:tcPr>
          <w:p>
            <w:r>
              <w:rPr>
                <w:rFonts w:ascii="Calibri" w:hAnsi="Calibri"/>
                <w:sz w:val="18"/>
              </w:rPr>
              <w:t>16.0</w:t>
            </w:r>
          </w:p>
        </w:tc>
        <w:tc>
          <w:tcPr>
            <w:tcW w:type="dxa" w:w="1520"/>
          </w:tcPr>
          <w:p>
            <w:r>
              <w:rPr>
                <w:rFonts w:ascii="Calibri" w:hAnsi="Calibri"/>
                <w:sz w:val="18"/>
              </w:rPr>
              <w:t>15.5</w:t>
            </w:r>
          </w:p>
        </w:tc>
        <w:tc>
          <w:tcPr>
            <w:tcW w:type="dxa" w:w="1520"/>
          </w:tcPr>
          <w:p>
            <w:r>
              <w:rPr>
                <w:rFonts w:ascii="Calibri" w:hAnsi="Calibri"/>
                <w:sz w:val="18"/>
              </w:rPr>
              <w:t>367</w:t>
            </w:r>
          </w:p>
        </w:tc>
      </w:tr>
      <w:tr>
        <w:tc>
          <w:tcPr>
            <w:tcW w:type="dxa" w:w="1520"/>
          </w:tcPr>
          <w:p>
            <w:r>
              <w:rPr>
                <w:rFonts w:ascii="Calibri" w:hAnsi="Calibri"/>
                <w:sz w:val="18"/>
              </w:rPr>
              <w:t>Avenida Bolivariana</w:t>
            </w:r>
          </w:p>
        </w:tc>
        <w:tc>
          <w:tcPr>
            <w:tcW w:type="dxa" w:w="1520"/>
          </w:tcPr>
          <w:p>
            <w:r>
              <w:rPr>
                <w:rFonts w:ascii="Calibri" w:hAnsi="Calibri"/>
                <w:sz w:val="18"/>
              </w:rPr>
              <w:t>WE</w:t>
            </w:r>
          </w:p>
        </w:tc>
        <w:tc>
          <w:tcPr>
            <w:tcW w:type="dxa" w:w="1520"/>
          </w:tcPr>
          <w:p>
            <w:r>
              <w:rPr>
                <w:rFonts w:ascii="Calibri" w:hAnsi="Calibri"/>
                <w:sz w:val="18"/>
              </w:rPr>
              <w:t>16.8</w:t>
            </w:r>
          </w:p>
        </w:tc>
        <w:tc>
          <w:tcPr>
            <w:tcW w:type="dxa" w:w="1520"/>
          </w:tcPr>
          <w:p>
            <w:r>
              <w:rPr>
                <w:rFonts w:ascii="Calibri" w:hAnsi="Calibri"/>
                <w:sz w:val="18"/>
              </w:rPr>
              <w:t>16.6</w:t>
            </w:r>
          </w:p>
        </w:tc>
        <w:tc>
          <w:tcPr>
            <w:tcW w:type="dxa" w:w="1520"/>
          </w:tcPr>
          <w:p>
            <w:r>
              <w:rPr>
                <w:rFonts w:ascii="Calibri" w:hAnsi="Calibri"/>
                <w:sz w:val="18"/>
              </w:rPr>
              <w:t>15.1</w:t>
            </w:r>
          </w:p>
        </w:tc>
        <w:tc>
          <w:tcPr>
            <w:tcW w:type="dxa" w:w="1520"/>
          </w:tcPr>
          <w:p>
            <w:r>
              <w:rPr>
                <w:rFonts w:ascii="Calibri" w:hAnsi="Calibri"/>
                <w:sz w:val="18"/>
              </w:rPr>
              <w:t>365</w:t>
            </w:r>
          </w:p>
        </w:tc>
      </w:tr>
      <w:tr>
        <w:tc>
          <w:tcPr>
            <w:tcW w:type="dxa" w:w="1520"/>
          </w:tcPr>
          <w:p>
            <w:r>
              <w:rPr>
                <w:rFonts w:ascii="Calibri" w:hAnsi="Calibri"/>
                <w:sz w:val="18"/>
              </w:rPr>
              <w:t>Calle 48 (San Juan)</w:t>
            </w:r>
          </w:p>
        </w:tc>
        <w:tc>
          <w:tcPr>
            <w:tcW w:type="dxa" w:w="1520"/>
          </w:tcPr>
          <w:p>
            <w:r>
              <w:rPr>
                <w:rFonts w:ascii="Calibri" w:hAnsi="Calibri"/>
                <w:sz w:val="18"/>
              </w:rPr>
              <w:t>EW</w:t>
            </w:r>
          </w:p>
        </w:tc>
        <w:tc>
          <w:tcPr>
            <w:tcW w:type="dxa" w:w="1520"/>
          </w:tcPr>
          <w:p>
            <w:r>
              <w:rPr>
                <w:rFonts w:ascii="Calibri" w:hAnsi="Calibri"/>
                <w:sz w:val="18"/>
              </w:rPr>
              <w:t>28.2</w:t>
            </w:r>
          </w:p>
        </w:tc>
        <w:tc>
          <w:tcPr>
            <w:tcW w:type="dxa" w:w="1520"/>
          </w:tcPr>
          <w:p>
            <w:r>
              <w:rPr>
                <w:rFonts w:ascii="Calibri" w:hAnsi="Calibri"/>
                <w:sz w:val="18"/>
              </w:rPr>
              <w:t>22.2</w:t>
            </w:r>
          </w:p>
        </w:tc>
        <w:tc>
          <w:tcPr>
            <w:tcW w:type="dxa" w:w="1520"/>
          </w:tcPr>
          <w:p>
            <w:r>
              <w:rPr>
                <w:rFonts w:ascii="Calibri" w:hAnsi="Calibri"/>
                <w:sz w:val="18"/>
              </w:rPr>
              <w:t>19.1</w:t>
            </w:r>
          </w:p>
        </w:tc>
        <w:tc>
          <w:tcPr>
            <w:tcW w:type="dxa" w:w="1520"/>
          </w:tcPr>
          <w:p>
            <w:r>
              <w:rPr>
                <w:rFonts w:ascii="Calibri" w:hAnsi="Calibri"/>
                <w:sz w:val="18"/>
              </w:rPr>
              <w:t>306</w:t>
            </w:r>
          </w:p>
        </w:tc>
      </w:tr>
      <w:tr>
        <w:tc>
          <w:tcPr>
            <w:tcW w:type="dxa" w:w="1520"/>
          </w:tcPr>
          <w:p>
            <w:r>
              <w:rPr>
                <w:rFonts w:ascii="Calibri" w:hAnsi="Calibri"/>
                <w:sz w:val="18"/>
              </w:rPr>
              <w:t>Calle 48 (San Juan)</w:t>
            </w:r>
          </w:p>
        </w:tc>
        <w:tc>
          <w:tcPr>
            <w:tcW w:type="dxa" w:w="1520"/>
          </w:tcPr>
          <w:p>
            <w:r>
              <w:rPr>
                <w:rFonts w:ascii="Calibri" w:hAnsi="Calibri"/>
                <w:sz w:val="18"/>
              </w:rPr>
              <w:t>WE</w:t>
            </w:r>
          </w:p>
        </w:tc>
        <w:tc>
          <w:tcPr>
            <w:tcW w:type="dxa" w:w="1520"/>
          </w:tcPr>
          <w:p>
            <w:r>
              <w:rPr>
                <w:rFonts w:ascii="Calibri" w:hAnsi="Calibri"/>
                <w:sz w:val="18"/>
              </w:rPr>
              <w:t>20.2</w:t>
            </w:r>
          </w:p>
        </w:tc>
        <w:tc>
          <w:tcPr>
            <w:tcW w:type="dxa" w:w="1520"/>
          </w:tcPr>
          <w:p>
            <w:r>
              <w:rPr>
                <w:rFonts w:ascii="Calibri" w:hAnsi="Calibri"/>
                <w:sz w:val="18"/>
              </w:rPr>
              <w:t>14.8</w:t>
            </w:r>
          </w:p>
        </w:tc>
        <w:tc>
          <w:tcPr>
            <w:tcW w:type="dxa" w:w="1520"/>
          </w:tcPr>
          <w:p>
            <w:r>
              <w:rPr>
                <w:rFonts w:ascii="Calibri" w:hAnsi="Calibri"/>
                <w:sz w:val="18"/>
              </w:rPr>
              <w:t>14.6</w:t>
            </w:r>
          </w:p>
        </w:tc>
        <w:tc>
          <w:tcPr>
            <w:tcW w:type="dxa" w:w="1520"/>
          </w:tcPr>
          <w:p>
            <w:r>
              <w:rPr>
                <w:rFonts w:ascii="Calibri" w:hAnsi="Calibri"/>
                <w:sz w:val="18"/>
              </w:rPr>
              <w:t>270</w:t>
            </w:r>
          </w:p>
        </w:tc>
      </w:tr>
      <w:tr>
        <w:tc>
          <w:tcPr>
            <w:tcW w:type="dxa" w:w="1520"/>
          </w:tcPr>
          <w:p>
            <w:r>
              <w:rPr>
                <w:rFonts w:ascii="Calibri" w:hAnsi="Calibri"/>
                <w:sz w:val="18"/>
              </w:rPr>
              <w:t>Calle 55 (La Iguana)</w:t>
            </w:r>
          </w:p>
        </w:tc>
        <w:tc>
          <w:tcPr>
            <w:tcW w:type="dxa" w:w="1520"/>
          </w:tcPr>
          <w:p>
            <w:r>
              <w:rPr>
                <w:rFonts w:ascii="Calibri" w:hAnsi="Calibri"/>
                <w:sz w:val="18"/>
              </w:rPr>
              <w:t>WE</w:t>
            </w:r>
          </w:p>
        </w:tc>
        <w:tc>
          <w:tcPr>
            <w:tcW w:type="dxa" w:w="1520"/>
          </w:tcPr>
          <w:p>
            <w:r>
              <w:rPr>
                <w:rFonts w:ascii="Calibri" w:hAnsi="Calibri"/>
                <w:sz w:val="18"/>
              </w:rPr>
              <w:t>37.4</w:t>
            </w:r>
          </w:p>
        </w:tc>
        <w:tc>
          <w:tcPr>
            <w:tcW w:type="dxa" w:w="1520"/>
          </w:tcPr>
          <w:p>
            <w:r>
              <w:rPr>
                <w:rFonts w:ascii="Calibri" w:hAnsi="Calibri"/>
                <w:sz w:val="18"/>
              </w:rPr>
              <w:t>33.0</w:t>
            </w:r>
          </w:p>
        </w:tc>
        <w:tc>
          <w:tcPr>
            <w:tcW w:type="dxa" w:w="1520"/>
          </w:tcPr>
          <w:p>
            <w:r>
              <w:rPr>
                <w:rFonts w:ascii="Calibri" w:hAnsi="Calibri"/>
                <w:sz w:val="18"/>
              </w:rPr>
              <w:t>33.4</w:t>
            </w:r>
          </w:p>
        </w:tc>
        <w:tc>
          <w:tcPr>
            <w:tcW w:type="dxa" w:w="1520"/>
          </w:tcPr>
          <w:p>
            <w:r>
              <w:rPr>
                <w:rFonts w:ascii="Calibri" w:hAnsi="Calibri"/>
                <w:sz w:val="18"/>
              </w:rPr>
              <w:t>463</w:t>
            </w:r>
          </w:p>
        </w:tc>
      </w:tr>
      <w:tr>
        <w:tc>
          <w:tcPr>
            <w:tcW w:type="dxa" w:w="1520"/>
          </w:tcPr>
          <w:p>
            <w:r>
              <w:rPr>
                <w:rFonts w:ascii="Calibri" w:hAnsi="Calibri"/>
                <w:sz w:val="18"/>
              </w:rPr>
              <w:t>Carrera 65</w:t>
            </w:r>
          </w:p>
        </w:tc>
        <w:tc>
          <w:tcPr>
            <w:tcW w:type="dxa" w:w="1520"/>
          </w:tcPr>
          <w:p>
            <w:r>
              <w:rPr>
                <w:rFonts w:ascii="Calibri" w:hAnsi="Calibri"/>
                <w:sz w:val="18"/>
              </w:rPr>
              <w:t>NS</w:t>
            </w:r>
          </w:p>
        </w:tc>
        <w:tc>
          <w:tcPr>
            <w:tcW w:type="dxa" w:w="1520"/>
          </w:tcPr>
          <w:p>
            <w:r>
              <w:rPr>
                <w:rFonts w:ascii="Calibri" w:hAnsi="Calibri"/>
                <w:sz w:val="18"/>
              </w:rPr>
              <w:t>21.0</w:t>
            </w:r>
          </w:p>
        </w:tc>
        <w:tc>
          <w:tcPr>
            <w:tcW w:type="dxa" w:w="1520"/>
          </w:tcPr>
          <w:p>
            <w:r>
              <w:rPr>
                <w:rFonts w:ascii="Calibri" w:hAnsi="Calibri"/>
                <w:sz w:val="18"/>
              </w:rPr>
              <w:t>20.0</w:t>
            </w:r>
          </w:p>
        </w:tc>
        <w:tc>
          <w:tcPr>
            <w:tcW w:type="dxa" w:w="1520"/>
          </w:tcPr>
          <w:p>
            <w:r>
              <w:rPr>
                <w:rFonts w:ascii="Calibri" w:hAnsi="Calibri"/>
                <w:sz w:val="18"/>
              </w:rPr>
              <w:t>19.9</w:t>
            </w:r>
          </w:p>
        </w:tc>
        <w:tc>
          <w:tcPr>
            <w:tcW w:type="dxa" w:w="1520"/>
          </w:tcPr>
          <w:p>
            <w:r>
              <w:rPr>
                <w:rFonts w:ascii="Calibri" w:hAnsi="Calibri"/>
                <w:sz w:val="18"/>
              </w:rPr>
              <w:t>195</w:t>
            </w:r>
          </w:p>
        </w:tc>
      </w:tr>
      <w:tr>
        <w:tc>
          <w:tcPr>
            <w:tcW w:type="dxa" w:w="1520"/>
          </w:tcPr>
          <w:p>
            <w:r>
              <w:rPr>
                <w:rFonts w:ascii="Calibri" w:hAnsi="Calibri"/>
                <w:sz w:val="18"/>
              </w:rPr>
              <w:t>Carrera 65</w:t>
            </w:r>
          </w:p>
        </w:tc>
        <w:tc>
          <w:tcPr>
            <w:tcW w:type="dxa" w:w="1520"/>
          </w:tcPr>
          <w:p>
            <w:r>
              <w:rPr>
                <w:rFonts w:ascii="Calibri" w:hAnsi="Calibri"/>
                <w:sz w:val="18"/>
              </w:rPr>
              <w:t>SN</w:t>
            </w:r>
          </w:p>
        </w:tc>
        <w:tc>
          <w:tcPr>
            <w:tcW w:type="dxa" w:w="1520"/>
          </w:tcPr>
          <w:p>
            <w:r>
              <w:rPr>
                <w:rFonts w:ascii="Calibri" w:hAnsi="Calibri"/>
                <w:sz w:val="18"/>
              </w:rPr>
              <w:t>16.5</w:t>
            </w:r>
          </w:p>
        </w:tc>
        <w:tc>
          <w:tcPr>
            <w:tcW w:type="dxa" w:w="1520"/>
          </w:tcPr>
          <w:p>
            <w:r>
              <w:rPr>
                <w:rFonts w:ascii="Calibri" w:hAnsi="Calibri"/>
                <w:sz w:val="18"/>
              </w:rPr>
              <w:t>16.0</w:t>
            </w:r>
          </w:p>
        </w:tc>
        <w:tc>
          <w:tcPr>
            <w:tcW w:type="dxa" w:w="1520"/>
          </w:tcPr>
          <w:p>
            <w:r>
              <w:rPr>
                <w:rFonts w:ascii="Calibri" w:hAnsi="Calibri"/>
                <w:sz w:val="18"/>
              </w:rPr>
              <w:t>15.2</w:t>
            </w:r>
          </w:p>
        </w:tc>
        <w:tc>
          <w:tcPr>
            <w:tcW w:type="dxa" w:w="1520"/>
          </w:tcPr>
          <w:p>
            <w:r>
              <w:rPr>
                <w:rFonts w:ascii="Calibri" w:hAnsi="Calibri"/>
                <w:sz w:val="18"/>
              </w:rPr>
              <w:t>314</w:t>
            </w:r>
          </w:p>
        </w:tc>
      </w:tr>
      <w:tr>
        <w:tc>
          <w:tcPr>
            <w:tcW w:type="dxa" w:w="1520"/>
          </w:tcPr>
          <w:p>
            <w:r>
              <w:rPr>
                <w:rFonts w:ascii="Calibri" w:hAnsi="Calibri"/>
                <w:sz w:val="18"/>
              </w:rPr>
              <w:t>Carrera 70</w:t>
            </w:r>
          </w:p>
        </w:tc>
        <w:tc>
          <w:tcPr>
            <w:tcW w:type="dxa" w:w="1520"/>
          </w:tcPr>
          <w:p>
            <w:r>
              <w:rPr>
                <w:rFonts w:ascii="Calibri" w:hAnsi="Calibri"/>
                <w:sz w:val="18"/>
              </w:rPr>
              <w:t>NS</w:t>
            </w:r>
          </w:p>
        </w:tc>
        <w:tc>
          <w:tcPr>
            <w:tcW w:type="dxa" w:w="1520"/>
          </w:tcPr>
          <w:p>
            <w:r>
              <w:rPr>
                <w:rFonts w:ascii="Calibri" w:hAnsi="Calibri"/>
                <w:sz w:val="18"/>
              </w:rPr>
              <w:t>26.5</w:t>
            </w:r>
          </w:p>
        </w:tc>
        <w:tc>
          <w:tcPr>
            <w:tcW w:type="dxa" w:w="1520"/>
          </w:tcPr>
          <w:p>
            <w:r>
              <w:rPr>
                <w:rFonts w:ascii="Calibri" w:hAnsi="Calibri"/>
                <w:sz w:val="18"/>
              </w:rPr>
              <w:t>26.8</w:t>
            </w:r>
          </w:p>
        </w:tc>
        <w:tc>
          <w:tcPr>
            <w:tcW w:type="dxa" w:w="1520"/>
          </w:tcPr>
          <w:p>
            <w:r>
              <w:rPr>
                <w:rFonts w:ascii="Calibri" w:hAnsi="Calibri"/>
                <w:sz w:val="18"/>
              </w:rPr>
              <w:t>27.2</w:t>
            </w:r>
          </w:p>
        </w:tc>
        <w:tc>
          <w:tcPr>
            <w:tcW w:type="dxa" w:w="1520"/>
          </w:tcPr>
          <w:p>
            <w:r>
              <w:rPr>
                <w:rFonts w:ascii="Calibri" w:hAnsi="Calibri"/>
                <w:sz w:val="18"/>
              </w:rPr>
              <w:t>620</w:t>
            </w:r>
          </w:p>
        </w:tc>
      </w:tr>
      <w:tr>
        <w:tc>
          <w:tcPr>
            <w:tcW w:type="dxa" w:w="1520"/>
          </w:tcPr>
          <w:p>
            <w:r>
              <w:rPr>
                <w:rFonts w:ascii="Calibri" w:hAnsi="Calibri"/>
                <w:sz w:val="18"/>
              </w:rPr>
              <w:t>Carrera 70</w:t>
            </w:r>
          </w:p>
        </w:tc>
        <w:tc>
          <w:tcPr>
            <w:tcW w:type="dxa" w:w="1520"/>
          </w:tcPr>
          <w:p>
            <w:r>
              <w:rPr>
                <w:rFonts w:ascii="Calibri" w:hAnsi="Calibri"/>
                <w:sz w:val="18"/>
              </w:rPr>
              <w:t>SN</w:t>
            </w:r>
          </w:p>
        </w:tc>
        <w:tc>
          <w:tcPr>
            <w:tcW w:type="dxa" w:w="1520"/>
          </w:tcPr>
          <w:p>
            <w:r>
              <w:rPr>
                <w:rFonts w:ascii="Calibri" w:hAnsi="Calibri"/>
                <w:sz w:val="18"/>
              </w:rPr>
              <w:t>20.4</w:t>
            </w:r>
          </w:p>
        </w:tc>
        <w:tc>
          <w:tcPr>
            <w:tcW w:type="dxa" w:w="1520"/>
          </w:tcPr>
          <w:p>
            <w:r>
              <w:rPr>
                <w:rFonts w:ascii="Calibri" w:hAnsi="Calibri"/>
                <w:sz w:val="18"/>
              </w:rPr>
              <w:t>22.6</w:t>
            </w:r>
          </w:p>
        </w:tc>
        <w:tc>
          <w:tcPr>
            <w:tcW w:type="dxa" w:w="1520"/>
          </w:tcPr>
          <w:p>
            <w:r>
              <w:rPr>
                <w:rFonts w:ascii="Calibri" w:hAnsi="Calibri"/>
                <w:sz w:val="18"/>
              </w:rPr>
              <w:t>22.1</w:t>
            </w:r>
          </w:p>
        </w:tc>
        <w:tc>
          <w:tcPr>
            <w:tcW w:type="dxa" w:w="1520"/>
          </w:tcPr>
          <w:p>
            <w:r>
              <w:rPr>
                <w:rFonts w:ascii="Calibri" w:hAnsi="Calibri"/>
                <w:sz w:val="18"/>
              </w:rPr>
              <w:t>373</w:t>
            </w:r>
          </w:p>
        </w:tc>
      </w:tr>
      <w:tr>
        <w:tc>
          <w:tcPr>
            <w:tcW w:type="dxa" w:w="1520"/>
          </w:tcPr>
          <w:p>
            <w:r>
              <w:rPr>
                <w:rFonts w:ascii="Calibri" w:hAnsi="Calibri"/>
                <w:sz w:val="18"/>
              </w:rPr>
              <w:t>Colombia</w:t>
            </w:r>
          </w:p>
        </w:tc>
        <w:tc>
          <w:tcPr>
            <w:tcW w:type="dxa" w:w="1520"/>
          </w:tcPr>
          <w:p>
            <w:r>
              <w:rPr>
                <w:rFonts w:ascii="Calibri" w:hAnsi="Calibri"/>
                <w:sz w:val="18"/>
              </w:rPr>
              <w:t>EW</w:t>
            </w:r>
          </w:p>
        </w:tc>
        <w:tc>
          <w:tcPr>
            <w:tcW w:type="dxa" w:w="1520"/>
          </w:tcPr>
          <w:p>
            <w:r>
              <w:rPr>
                <w:rFonts w:ascii="Calibri" w:hAnsi="Calibri"/>
                <w:sz w:val="18"/>
              </w:rPr>
              <w:t>17.9</w:t>
            </w:r>
          </w:p>
        </w:tc>
        <w:tc>
          <w:tcPr>
            <w:tcW w:type="dxa" w:w="1520"/>
          </w:tcPr>
          <w:p>
            <w:r>
              <w:rPr>
                <w:rFonts w:ascii="Calibri" w:hAnsi="Calibri"/>
                <w:sz w:val="18"/>
              </w:rPr>
              <w:t>17.0</w:t>
            </w:r>
          </w:p>
        </w:tc>
        <w:tc>
          <w:tcPr>
            <w:tcW w:type="dxa" w:w="1520"/>
          </w:tcPr>
          <w:p>
            <w:r>
              <w:rPr>
                <w:rFonts w:ascii="Calibri" w:hAnsi="Calibri"/>
                <w:sz w:val="18"/>
              </w:rPr>
              <w:t>15.3</w:t>
            </w:r>
          </w:p>
        </w:tc>
        <w:tc>
          <w:tcPr>
            <w:tcW w:type="dxa" w:w="1520"/>
          </w:tcPr>
          <w:p>
            <w:r>
              <w:rPr>
                <w:rFonts w:ascii="Calibri" w:hAnsi="Calibri"/>
                <w:sz w:val="18"/>
              </w:rPr>
              <w:t>459</w:t>
            </w:r>
          </w:p>
        </w:tc>
      </w:tr>
      <w:tr>
        <w:tc>
          <w:tcPr>
            <w:tcW w:type="dxa" w:w="1520"/>
          </w:tcPr>
          <w:p>
            <w:r>
              <w:rPr>
                <w:rFonts w:ascii="Calibri" w:hAnsi="Calibri"/>
                <w:sz w:val="18"/>
              </w:rPr>
              <w:t>Colombia</w:t>
            </w:r>
          </w:p>
        </w:tc>
        <w:tc>
          <w:tcPr>
            <w:tcW w:type="dxa" w:w="1520"/>
          </w:tcPr>
          <w:p>
            <w:r>
              <w:rPr>
                <w:rFonts w:ascii="Calibri" w:hAnsi="Calibri"/>
                <w:sz w:val="18"/>
              </w:rPr>
              <w:t>WE</w:t>
            </w:r>
          </w:p>
        </w:tc>
        <w:tc>
          <w:tcPr>
            <w:tcW w:type="dxa" w:w="1520"/>
          </w:tcPr>
          <w:p>
            <w:r>
              <w:rPr>
                <w:rFonts w:ascii="Calibri" w:hAnsi="Calibri"/>
                <w:sz w:val="18"/>
              </w:rPr>
              <w:t>18.8</w:t>
            </w:r>
          </w:p>
        </w:tc>
        <w:tc>
          <w:tcPr>
            <w:tcW w:type="dxa" w:w="1520"/>
          </w:tcPr>
          <w:p>
            <w:r>
              <w:rPr>
                <w:rFonts w:ascii="Calibri" w:hAnsi="Calibri"/>
                <w:sz w:val="18"/>
              </w:rPr>
              <w:t>20.3</w:t>
            </w:r>
          </w:p>
        </w:tc>
        <w:tc>
          <w:tcPr>
            <w:tcW w:type="dxa" w:w="1520"/>
          </w:tcPr>
          <w:p>
            <w:r>
              <w:rPr>
                <w:rFonts w:ascii="Calibri" w:hAnsi="Calibri"/>
                <w:sz w:val="18"/>
              </w:rPr>
              <w:t>20.4</w:t>
            </w:r>
          </w:p>
        </w:tc>
        <w:tc>
          <w:tcPr>
            <w:tcW w:type="dxa" w:w="1520"/>
          </w:tcPr>
          <w:p>
            <w:r>
              <w:rPr>
                <w:rFonts w:ascii="Calibri" w:hAnsi="Calibri"/>
                <w:sz w:val="18"/>
              </w:rPr>
              <w:t>445</w:t>
            </w:r>
          </w:p>
        </w:tc>
      </w:tr>
      <w:tr>
        <w:tc>
          <w:tcPr>
            <w:tcW w:type="dxa" w:w="1520"/>
          </w:tcPr>
          <w:p>
            <w:r>
              <w:rPr>
                <w:rFonts w:ascii="Calibri" w:hAnsi="Calibri"/>
                <w:sz w:val="18"/>
              </w:rPr>
              <w:t>San Juan</w:t>
            </w:r>
          </w:p>
        </w:tc>
        <w:tc>
          <w:tcPr>
            <w:tcW w:type="dxa" w:w="1520"/>
          </w:tcPr>
          <w:p>
            <w:r>
              <w:rPr>
                <w:rFonts w:ascii="Calibri" w:hAnsi="Calibri"/>
                <w:sz w:val="18"/>
              </w:rPr>
              <w:t>EW</w:t>
            </w:r>
          </w:p>
        </w:tc>
        <w:tc>
          <w:tcPr>
            <w:tcW w:type="dxa" w:w="1520"/>
          </w:tcPr>
          <w:p>
            <w:r>
              <w:rPr>
                <w:rFonts w:ascii="Calibri" w:hAnsi="Calibri"/>
                <w:sz w:val="18"/>
              </w:rPr>
              <w:t>18.5</w:t>
            </w:r>
          </w:p>
        </w:tc>
        <w:tc>
          <w:tcPr>
            <w:tcW w:type="dxa" w:w="1520"/>
          </w:tcPr>
          <w:p>
            <w:r>
              <w:rPr>
                <w:rFonts w:ascii="Calibri" w:hAnsi="Calibri"/>
                <w:sz w:val="18"/>
              </w:rPr>
              <w:t>17.9</w:t>
            </w:r>
          </w:p>
        </w:tc>
        <w:tc>
          <w:tcPr>
            <w:tcW w:type="dxa" w:w="1520"/>
          </w:tcPr>
          <w:p>
            <w:r>
              <w:rPr>
                <w:rFonts w:ascii="Calibri" w:hAnsi="Calibri"/>
                <w:sz w:val="18"/>
              </w:rPr>
              <w:t>17.1</w:t>
            </w:r>
          </w:p>
        </w:tc>
        <w:tc>
          <w:tcPr>
            <w:tcW w:type="dxa" w:w="1520"/>
          </w:tcPr>
          <w:p>
            <w:r>
              <w:rPr>
                <w:rFonts w:ascii="Calibri" w:hAnsi="Calibri"/>
                <w:sz w:val="18"/>
              </w:rPr>
              <w:t>435</w:t>
            </w:r>
          </w:p>
        </w:tc>
      </w:tr>
      <w:tr>
        <w:tc>
          <w:tcPr>
            <w:tcW w:type="dxa" w:w="1520"/>
          </w:tcPr>
          <w:p>
            <w:r>
              <w:rPr>
                <w:rFonts w:ascii="Calibri" w:hAnsi="Calibri"/>
                <w:sz w:val="18"/>
              </w:rPr>
              <w:t>San Juan</w:t>
            </w:r>
          </w:p>
        </w:tc>
        <w:tc>
          <w:tcPr>
            <w:tcW w:type="dxa" w:w="1520"/>
          </w:tcPr>
          <w:p>
            <w:r>
              <w:rPr>
                <w:rFonts w:ascii="Calibri" w:hAnsi="Calibri"/>
                <w:sz w:val="18"/>
              </w:rPr>
              <w:t>WE</w:t>
            </w:r>
          </w:p>
        </w:tc>
        <w:tc>
          <w:tcPr>
            <w:tcW w:type="dxa" w:w="1520"/>
          </w:tcPr>
          <w:p>
            <w:r>
              <w:rPr>
                <w:rFonts w:ascii="Calibri" w:hAnsi="Calibri"/>
                <w:sz w:val="18"/>
              </w:rPr>
              <w:t>25.4</w:t>
            </w:r>
          </w:p>
        </w:tc>
        <w:tc>
          <w:tcPr>
            <w:tcW w:type="dxa" w:w="1520"/>
          </w:tcPr>
          <w:p>
            <w:r>
              <w:rPr>
                <w:rFonts w:ascii="Calibri" w:hAnsi="Calibri"/>
                <w:sz w:val="18"/>
              </w:rPr>
              <w:t>23.8</w:t>
            </w:r>
          </w:p>
        </w:tc>
        <w:tc>
          <w:tcPr>
            <w:tcW w:type="dxa" w:w="1520"/>
          </w:tcPr>
          <w:p>
            <w:r>
              <w:rPr>
                <w:rFonts w:ascii="Calibri" w:hAnsi="Calibri"/>
                <w:sz w:val="18"/>
              </w:rPr>
              <w:t>23.2</w:t>
            </w:r>
          </w:p>
        </w:tc>
        <w:tc>
          <w:tcPr>
            <w:tcW w:type="dxa" w:w="1520"/>
          </w:tcPr>
          <w:p>
            <w:r>
              <w:rPr>
                <w:rFonts w:ascii="Calibri" w:hAnsi="Calibri"/>
                <w:sz w:val="18"/>
              </w:rPr>
              <w:t>393</w:t>
            </w:r>
          </w:p>
        </w:tc>
      </w:tr>
    </w:tbl>
    <w:p/>
    <w:p>
      <w:r/>
      <w:r>
        <w:rPr>
          <w:b/>
        </w:rPr>
        <w:t>Fuente:</w:t>
      </w:r>
      <w:r>
        <w:t xml:space="preserve"> SIMM Medellín, MEData — Velocidad e Intensidad Vehicular, julio-agosto 2020. 552 perfiles de velocidad procesados.</w:t>
      </w:r>
    </w:p>
    <w:p>
      <w:pPr>
        <w:pStyle w:val="Heading3"/>
      </w:pPr>
      <w:r>
        <w:t>4.2.4 Nivel de Servicio (LOS)</w:t>
      </w:r>
    </w:p>
    <w:p>
      <w:r>
        <w:t>Aplicando los umbrales del Highway Capacity Manual (HCM) para vías arteriales urbanas, se clasificó el nivel de servicio de cada corredor durante la hora pico vespertina (17:00-18:00):</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824"/>
          </w:tcPr>
          <w:p>
            <w:r>
              <w:rPr>
                <w:rFonts w:ascii="Calibri" w:hAnsi="Calibri"/>
                <w:b/>
                <w:sz w:val="18"/>
              </w:rPr>
              <w:t>LOS</w:t>
            </w:r>
          </w:p>
        </w:tc>
        <w:tc>
          <w:tcPr>
            <w:tcW w:type="dxa" w:w="1824"/>
          </w:tcPr>
          <w:p>
            <w:r>
              <w:rPr>
                <w:rFonts w:ascii="Calibri" w:hAnsi="Calibri"/>
                <w:b/>
                <w:sz w:val="18"/>
              </w:rPr>
              <w:t>Descripción</w:t>
            </w:r>
          </w:p>
        </w:tc>
        <w:tc>
          <w:tcPr>
            <w:tcW w:type="dxa" w:w="1824"/>
          </w:tcPr>
          <w:p>
            <w:r>
              <w:rPr>
                <w:rFonts w:ascii="Calibri" w:hAnsi="Calibri"/>
                <w:b/>
                <w:sz w:val="18"/>
              </w:rPr>
              <w:t>Vel. umbral</w:t>
            </w:r>
          </w:p>
        </w:tc>
        <w:tc>
          <w:tcPr>
            <w:tcW w:type="dxa" w:w="1824"/>
          </w:tcPr>
          <w:p>
            <w:r>
              <w:rPr>
                <w:rFonts w:ascii="Calibri" w:hAnsi="Calibri"/>
                <w:b/>
                <w:sz w:val="18"/>
              </w:rPr>
              <w:t>Corredores afectados</w:t>
            </w:r>
          </w:p>
        </w:tc>
        <w:tc>
          <w:tcPr>
            <w:tcW w:type="dxa" w:w="1824"/>
          </w:tcPr>
          <w:p>
            <w:r>
              <w:rPr>
                <w:rFonts w:ascii="Calibri" w:hAnsi="Calibri"/>
                <w:b/>
                <w:sz w:val="18"/>
              </w:rPr>
              <w:t>Cantidad</w:t>
            </w:r>
          </w:p>
        </w:tc>
      </w:tr>
      <w:tr>
        <w:tc>
          <w:tcPr>
            <w:tcW w:type="dxa" w:w="1824"/>
          </w:tcPr>
          <w:p>
            <w:r>
              <w:rPr>
                <w:rFonts w:ascii="Calibri" w:hAnsi="Calibri"/>
                <w:sz w:val="18"/>
              </w:rPr>
              <w:t>F</w:t>
            </w:r>
          </w:p>
        </w:tc>
        <w:tc>
          <w:tcPr>
            <w:tcW w:type="dxa" w:w="1824"/>
          </w:tcPr>
          <w:p>
            <w:r>
              <w:rPr>
                <w:rFonts w:ascii="Calibri" w:hAnsi="Calibri"/>
                <w:sz w:val="18"/>
              </w:rPr>
              <w:t>Congestión forzada — flujo colapsado</w:t>
            </w:r>
          </w:p>
        </w:tc>
        <w:tc>
          <w:tcPr>
            <w:tcW w:type="dxa" w:w="1824"/>
          </w:tcPr>
          <w:p>
            <w:r>
              <w:rPr>
                <w:rFonts w:ascii="Calibri" w:hAnsi="Calibri"/>
                <w:sz w:val="18"/>
              </w:rPr>
              <w:t>&lt; 16 km/h</w:t>
            </w:r>
          </w:p>
        </w:tc>
        <w:tc>
          <w:tcPr>
            <w:tcW w:type="dxa" w:w="1824"/>
          </w:tcPr>
          <w:p>
            <w:r>
              <w:rPr>
                <w:rFonts w:ascii="Calibri" w:hAnsi="Calibri"/>
                <w:sz w:val="18"/>
              </w:rPr>
              <w:t>Colombia, Calle 48 WE, Av Bolivariana, Cra 65 SN</w:t>
            </w:r>
          </w:p>
        </w:tc>
        <w:tc>
          <w:tcPr>
            <w:tcW w:type="dxa" w:w="1824"/>
          </w:tcPr>
          <w:p>
            <w:r>
              <w:rPr>
                <w:rFonts w:ascii="Calibri" w:hAnsi="Calibri"/>
                <w:sz w:val="18"/>
              </w:rPr>
              <w:t>4</w:t>
            </w:r>
          </w:p>
        </w:tc>
      </w:tr>
      <w:tr>
        <w:tc>
          <w:tcPr>
            <w:tcW w:type="dxa" w:w="1824"/>
          </w:tcPr>
          <w:p>
            <w:r>
              <w:rPr>
                <w:rFonts w:ascii="Calibri" w:hAnsi="Calibri"/>
                <w:sz w:val="18"/>
              </w:rPr>
              <w:t>E</w:t>
            </w:r>
          </w:p>
        </w:tc>
        <w:tc>
          <w:tcPr>
            <w:tcW w:type="dxa" w:w="1824"/>
          </w:tcPr>
          <w:p>
            <w:r>
              <w:rPr>
                <w:rFonts w:ascii="Calibri" w:hAnsi="Calibri"/>
                <w:sz w:val="18"/>
              </w:rPr>
              <w:t>Flujo inestable — alta densidad</w:t>
            </w:r>
          </w:p>
        </w:tc>
        <w:tc>
          <w:tcPr>
            <w:tcW w:type="dxa" w:w="1824"/>
          </w:tcPr>
          <w:p>
            <w:r>
              <w:rPr>
                <w:rFonts w:ascii="Calibri" w:hAnsi="Calibri"/>
                <w:sz w:val="18"/>
              </w:rPr>
              <w:t>16-20 km/h</w:t>
            </w:r>
          </w:p>
        </w:tc>
        <w:tc>
          <w:tcPr>
            <w:tcW w:type="dxa" w:w="1824"/>
          </w:tcPr>
          <w:p>
            <w:r>
              <w:rPr>
                <w:rFonts w:ascii="Calibri" w:hAnsi="Calibri"/>
                <w:sz w:val="18"/>
              </w:rPr>
              <w:t>San Juan EW, Av 80 NS/SN, Cra 65 NS</w:t>
            </w:r>
          </w:p>
        </w:tc>
        <w:tc>
          <w:tcPr>
            <w:tcW w:type="dxa" w:w="1824"/>
          </w:tcPr>
          <w:p>
            <w:r>
              <w:rPr>
                <w:rFonts w:ascii="Calibri" w:hAnsi="Calibri"/>
                <w:sz w:val="18"/>
              </w:rPr>
              <w:t>4</w:t>
            </w:r>
          </w:p>
        </w:tc>
      </w:tr>
      <w:tr>
        <w:tc>
          <w:tcPr>
            <w:tcW w:type="dxa" w:w="1824"/>
          </w:tcPr>
          <w:p>
            <w:r>
              <w:rPr>
                <w:rFonts w:ascii="Calibri" w:hAnsi="Calibri"/>
                <w:sz w:val="18"/>
              </w:rPr>
              <w:t>D</w:t>
            </w:r>
          </w:p>
        </w:tc>
        <w:tc>
          <w:tcPr>
            <w:tcW w:type="dxa" w:w="1824"/>
          </w:tcPr>
          <w:p>
            <w:r>
              <w:rPr>
                <w:rFonts w:ascii="Calibri" w:hAnsi="Calibri"/>
                <w:sz w:val="18"/>
              </w:rPr>
              <w:t>Próximo a inestable</w:t>
            </w:r>
          </w:p>
        </w:tc>
        <w:tc>
          <w:tcPr>
            <w:tcW w:type="dxa" w:w="1824"/>
          </w:tcPr>
          <w:p>
            <w:r>
              <w:rPr>
                <w:rFonts w:ascii="Calibri" w:hAnsi="Calibri"/>
                <w:sz w:val="18"/>
              </w:rPr>
              <w:t>20-25 km/h</w:t>
            </w:r>
          </w:p>
        </w:tc>
        <w:tc>
          <w:tcPr>
            <w:tcW w:type="dxa" w:w="1824"/>
          </w:tcPr>
          <w:p>
            <w:r>
              <w:rPr>
                <w:rFonts w:ascii="Calibri" w:hAnsi="Calibri"/>
                <w:sz w:val="18"/>
              </w:rPr>
              <w:t>Cra 70 SN</w:t>
            </w:r>
          </w:p>
        </w:tc>
        <w:tc>
          <w:tcPr>
            <w:tcW w:type="dxa" w:w="1824"/>
          </w:tcPr>
          <w:p>
            <w:r>
              <w:rPr>
                <w:rFonts w:ascii="Calibri" w:hAnsi="Calibri"/>
                <w:sz w:val="18"/>
              </w:rPr>
              <w:t>1</w:t>
            </w:r>
          </w:p>
        </w:tc>
      </w:tr>
      <w:tr>
        <w:tc>
          <w:tcPr>
            <w:tcW w:type="dxa" w:w="1824"/>
          </w:tcPr>
          <w:p>
            <w:r>
              <w:rPr>
                <w:rFonts w:ascii="Calibri" w:hAnsi="Calibri"/>
                <w:sz w:val="18"/>
              </w:rPr>
              <w:t>C</w:t>
            </w:r>
          </w:p>
        </w:tc>
        <w:tc>
          <w:tcPr>
            <w:tcW w:type="dxa" w:w="1824"/>
          </w:tcPr>
          <w:p>
            <w:r>
              <w:rPr>
                <w:rFonts w:ascii="Calibri" w:hAnsi="Calibri"/>
                <w:sz w:val="18"/>
              </w:rPr>
              <w:t>Flujo estable con restricciones</w:t>
            </w:r>
          </w:p>
        </w:tc>
        <w:tc>
          <w:tcPr>
            <w:tcW w:type="dxa" w:w="1824"/>
          </w:tcPr>
          <w:p>
            <w:r>
              <w:rPr>
                <w:rFonts w:ascii="Calibri" w:hAnsi="Calibri"/>
                <w:sz w:val="18"/>
              </w:rPr>
              <w:t>25-35 km/h</w:t>
            </w:r>
          </w:p>
        </w:tc>
        <w:tc>
          <w:tcPr>
            <w:tcW w:type="dxa" w:w="1824"/>
          </w:tcPr>
          <w:p>
            <w:r>
              <w:rPr>
                <w:rFonts w:ascii="Calibri" w:hAnsi="Calibri"/>
                <w:sz w:val="18"/>
              </w:rPr>
              <w:t>Cra 70 NS</w:t>
            </w:r>
          </w:p>
        </w:tc>
        <w:tc>
          <w:tcPr>
            <w:tcW w:type="dxa" w:w="1824"/>
          </w:tcPr>
          <w:p>
            <w:r>
              <w:rPr>
                <w:rFonts w:ascii="Calibri" w:hAnsi="Calibri"/>
                <w:sz w:val="18"/>
              </w:rPr>
              <w:t>1</w:t>
            </w:r>
          </w:p>
        </w:tc>
      </w:tr>
      <w:tr>
        <w:tc>
          <w:tcPr>
            <w:tcW w:type="dxa" w:w="1824"/>
          </w:tcPr>
          <w:p>
            <w:r>
              <w:rPr>
                <w:rFonts w:ascii="Calibri" w:hAnsi="Calibri"/>
                <w:sz w:val="18"/>
              </w:rPr>
              <w:t>B</w:t>
            </w:r>
          </w:p>
        </w:tc>
        <w:tc>
          <w:tcPr>
            <w:tcW w:type="dxa" w:w="1824"/>
          </w:tcPr>
          <w:p>
            <w:r>
              <w:rPr>
                <w:rFonts w:ascii="Calibri" w:hAnsi="Calibri"/>
                <w:sz w:val="18"/>
              </w:rPr>
              <w:t>Flujo libre razonable</w:t>
            </w:r>
          </w:p>
        </w:tc>
        <w:tc>
          <w:tcPr>
            <w:tcW w:type="dxa" w:w="1824"/>
          </w:tcPr>
          <w:p>
            <w:r>
              <w:rPr>
                <w:rFonts w:ascii="Calibri" w:hAnsi="Calibri"/>
                <w:sz w:val="18"/>
              </w:rPr>
              <w:t>35-50 km/h</w:t>
            </w:r>
          </w:p>
        </w:tc>
        <w:tc>
          <w:tcPr>
            <w:tcW w:type="dxa" w:w="1824"/>
          </w:tcPr>
          <w:p>
            <w:r>
              <w:rPr>
                <w:rFonts w:ascii="Calibri" w:hAnsi="Calibri"/>
                <w:sz w:val="18"/>
              </w:rPr>
              <w:t>Calle 55, Autopista Sur</w:t>
            </w:r>
          </w:p>
        </w:tc>
        <w:tc>
          <w:tcPr>
            <w:tcW w:type="dxa" w:w="1824"/>
          </w:tcPr>
          <w:p>
            <w:r>
              <w:rPr>
                <w:rFonts w:ascii="Calibri" w:hAnsi="Calibri"/>
                <w:sz w:val="18"/>
              </w:rPr>
              <w:t>2</w:t>
            </w:r>
          </w:p>
        </w:tc>
      </w:tr>
    </w:tbl>
    <w:p/>
    <w:p>
      <w:r/>
      <w:r>
        <w:rPr>
          <w:b/>
        </w:rPr>
        <w:t>Hallazgo crítico: 8 de 12 corredores (67%) operan en nivel de servicio D, E o F durante la hora pico.</w:t>
      </w:r>
      <w:r>
        <w:t xml:space="preserve"> Esta condición se presenta en días normales (sin eventos); durante días de evento la congestión se intensifica significativamente.</w:t>
      </w:r>
    </w:p>
    <w:p>
      <w:pPr>
        <w:pStyle w:val="Heading2"/>
      </w:pPr>
      <w:r>
        <w:t>4.3 Orígenes y Destinos</w:t>
      </w:r>
    </w:p>
    <w:p>
      <w:r>
        <w:t>El análisis de orígenes y destinos se realizó mediante la plataforma Google Routes API, obteniendo tiempos de viaje con tráfico real desde 10 puntos de origen representativos del Área Metropolitana hacia el polígono del Diamante. La distribución de volumen por origen se estimó con base en los patrones de afluencia del Metro de Medellín y la distribución poblacional del Valle de Aburrá.</w:t>
      </w:r>
    </w:p>
    <w:tbl>
      <w:tblPr>
        <w:tblStyle w:val="LightGrid-Accent1"/>
        <w:tblW w:type="auto" w:w="0"/>
        <w:jc w:val="center"/>
        <w:tblLook w:firstColumn="1" w:firstRow="1" w:lastColumn="0" w:lastRow="0" w:noHBand="0" w:noVBand="1" w:val="04A0"/>
      </w:tblPr>
      <w:tblGrid>
        <w:gridCol w:w="1824"/>
        <w:gridCol w:w="1824"/>
        <w:gridCol w:w="1824"/>
        <w:gridCol w:w="1824"/>
        <w:gridCol w:w="1824"/>
      </w:tblGrid>
      <w:tr>
        <w:tc>
          <w:tcPr>
            <w:tcW w:type="dxa" w:w="1824"/>
          </w:tcPr>
          <w:p>
            <w:r>
              <w:rPr>
                <w:rFonts w:ascii="Calibri" w:hAnsi="Calibri"/>
                <w:b/>
                <w:sz w:val="18"/>
              </w:rPr>
              <w:t>Origen</w:t>
            </w:r>
          </w:p>
        </w:tc>
        <w:tc>
          <w:tcPr>
            <w:tcW w:type="dxa" w:w="1824"/>
          </w:tcPr>
          <w:p>
            <w:r>
              <w:rPr>
                <w:rFonts w:ascii="Calibri" w:hAnsi="Calibri"/>
                <w:b/>
                <w:sz w:val="18"/>
              </w:rPr>
              <w:t>Tiempo de viaje</w:t>
            </w:r>
          </w:p>
        </w:tc>
        <w:tc>
          <w:tcPr>
            <w:tcW w:type="dxa" w:w="1824"/>
          </w:tcPr>
          <w:p>
            <w:r>
              <w:rPr>
                <w:rFonts w:ascii="Calibri" w:hAnsi="Calibri"/>
                <w:b/>
                <w:sz w:val="18"/>
              </w:rPr>
              <w:t>Distancia</w:t>
            </w:r>
          </w:p>
        </w:tc>
        <w:tc>
          <w:tcPr>
            <w:tcW w:type="dxa" w:w="1824"/>
          </w:tcPr>
          <w:p>
            <w:r>
              <w:rPr>
                <w:rFonts w:ascii="Calibri" w:hAnsi="Calibri"/>
                <w:b/>
                <w:sz w:val="18"/>
              </w:rPr>
              <w:t>% volumen estimado</w:t>
            </w:r>
          </w:p>
        </w:tc>
        <w:tc>
          <w:tcPr>
            <w:tcW w:type="dxa" w:w="1824"/>
          </w:tcPr>
          <w:p>
            <w:r>
              <w:rPr>
                <w:rFonts w:ascii="Calibri" w:hAnsi="Calibri"/>
                <w:b/>
                <w:sz w:val="18"/>
              </w:rPr>
              <w:t>Veh. en evento (~12,000)</w:t>
            </w:r>
          </w:p>
        </w:tc>
      </w:tr>
      <w:tr>
        <w:tc>
          <w:tcPr>
            <w:tcW w:type="dxa" w:w="1824"/>
          </w:tcPr>
          <w:p>
            <w:r>
              <w:rPr>
                <w:rFonts w:ascii="Calibri" w:hAnsi="Calibri"/>
                <w:sz w:val="18"/>
              </w:rPr>
              <w:t>Poblado</w:t>
            </w:r>
          </w:p>
        </w:tc>
        <w:tc>
          <w:tcPr>
            <w:tcW w:type="dxa" w:w="1824"/>
          </w:tcPr>
          <w:p>
            <w:r>
              <w:rPr>
                <w:rFonts w:ascii="Calibri" w:hAnsi="Calibri"/>
                <w:sz w:val="18"/>
              </w:rPr>
              <w:t>18 min</w:t>
            </w:r>
          </w:p>
        </w:tc>
        <w:tc>
          <w:tcPr>
            <w:tcW w:type="dxa" w:w="1824"/>
          </w:tcPr>
          <w:p>
            <w:r>
              <w:rPr>
                <w:rFonts w:ascii="Calibri" w:hAnsi="Calibri"/>
                <w:sz w:val="18"/>
              </w:rPr>
              <w:t>8.7 km</w:t>
            </w:r>
          </w:p>
        </w:tc>
        <w:tc>
          <w:tcPr>
            <w:tcW w:type="dxa" w:w="1824"/>
          </w:tcPr>
          <w:p>
            <w:r>
              <w:rPr>
                <w:rFonts w:ascii="Calibri" w:hAnsi="Calibri"/>
                <w:sz w:val="18"/>
              </w:rPr>
              <w:t>18%</w:t>
            </w:r>
          </w:p>
        </w:tc>
        <w:tc>
          <w:tcPr>
            <w:tcW w:type="dxa" w:w="1824"/>
          </w:tcPr>
          <w:p>
            <w:r>
              <w:rPr>
                <w:rFonts w:ascii="Calibri" w:hAnsi="Calibri"/>
                <w:sz w:val="18"/>
              </w:rPr>
              <w:t>~2,160</w:t>
            </w:r>
          </w:p>
        </w:tc>
      </w:tr>
      <w:tr>
        <w:tc>
          <w:tcPr>
            <w:tcW w:type="dxa" w:w="1824"/>
          </w:tcPr>
          <w:p>
            <w:r>
              <w:rPr>
                <w:rFonts w:ascii="Calibri" w:hAnsi="Calibri"/>
                <w:sz w:val="18"/>
              </w:rPr>
              <w:t>Centro</w:t>
            </w:r>
          </w:p>
        </w:tc>
        <w:tc>
          <w:tcPr>
            <w:tcW w:type="dxa" w:w="1824"/>
          </w:tcPr>
          <w:p>
            <w:r>
              <w:rPr>
                <w:rFonts w:ascii="Calibri" w:hAnsi="Calibri"/>
                <w:sz w:val="18"/>
              </w:rPr>
              <w:t>12 min</w:t>
            </w:r>
          </w:p>
        </w:tc>
        <w:tc>
          <w:tcPr>
            <w:tcW w:type="dxa" w:w="1824"/>
          </w:tcPr>
          <w:p>
            <w:r>
              <w:rPr>
                <w:rFonts w:ascii="Calibri" w:hAnsi="Calibri"/>
                <w:sz w:val="18"/>
              </w:rPr>
              <w:t>4.0 km</w:t>
            </w:r>
          </w:p>
        </w:tc>
        <w:tc>
          <w:tcPr>
            <w:tcW w:type="dxa" w:w="1824"/>
          </w:tcPr>
          <w:p>
            <w:r>
              <w:rPr>
                <w:rFonts w:ascii="Calibri" w:hAnsi="Calibri"/>
                <w:sz w:val="18"/>
              </w:rPr>
              <w:t>15%</w:t>
            </w:r>
          </w:p>
        </w:tc>
        <w:tc>
          <w:tcPr>
            <w:tcW w:type="dxa" w:w="1824"/>
          </w:tcPr>
          <w:p>
            <w:r>
              <w:rPr>
                <w:rFonts w:ascii="Calibri" w:hAnsi="Calibri"/>
                <w:sz w:val="18"/>
              </w:rPr>
              <w:t>~1,800</w:t>
            </w:r>
          </w:p>
        </w:tc>
      </w:tr>
      <w:tr>
        <w:tc>
          <w:tcPr>
            <w:tcW w:type="dxa" w:w="1824"/>
          </w:tcPr>
          <w:p>
            <w:r>
              <w:rPr>
                <w:rFonts w:ascii="Calibri" w:hAnsi="Calibri"/>
                <w:sz w:val="18"/>
              </w:rPr>
              <w:t>Belén</w:t>
            </w:r>
          </w:p>
        </w:tc>
        <w:tc>
          <w:tcPr>
            <w:tcW w:type="dxa" w:w="1824"/>
          </w:tcPr>
          <w:p>
            <w:r>
              <w:rPr>
                <w:rFonts w:ascii="Calibri" w:hAnsi="Calibri"/>
                <w:sz w:val="18"/>
              </w:rPr>
              <w:t>10 min</w:t>
            </w:r>
          </w:p>
        </w:tc>
        <w:tc>
          <w:tcPr>
            <w:tcW w:type="dxa" w:w="1824"/>
          </w:tcPr>
          <w:p>
            <w:r>
              <w:rPr>
                <w:rFonts w:ascii="Calibri" w:hAnsi="Calibri"/>
                <w:sz w:val="18"/>
              </w:rPr>
              <w:t>3.5 km</w:t>
            </w:r>
          </w:p>
        </w:tc>
        <w:tc>
          <w:tcPr>
            <w:tcW w:type="dxa" w:w="1824"/>
          </w:tcPr>
          <w:p>
            <w:r>
              <w:rPr>
                <w:rFonts w:ascii="Calibri" w:hAnsi="Calibri"/>
                <w:sz w:val="18"/>
              </w:rPr>
              <w:t>12%</w:t>
            </w:r>
          </w:p>
        </w:tc>
        <w:tc>
          <w:tcPr>
            <w:tcW w:type="dxa" w:w="1824"/>
          </w:tcPr>
          <w:p>
            <w:r>
              <w:rPr>
                <w:rFonts w:ascii="Calibri" w:hAnsi="Calibri"/>
                <w:sz w:val="18"/>
              </w:rPr>
              <w:t>~1,440</w:t>
            </w:r>
          </w:p>
        </w:tc>
      </w:tr>
      <w:tr>
        <w:tc>
          <w:tcPr>
            <w:tcW w:type="dxa" w:w="1824"/>
          </w:tcPr>
          <w:p>
            <w:r>
              <w:rPr>
                <w:rFonts w:ascii="Calibri" w:hAnsi="Calibri"/>
                <w:sz w:val="18"/>
              </w:rPr>
              <w:t>Envigado</w:t>
            </w:r>
          </w:p>
        </w:tc>
        <w:tc>
          <w:tcPr>
            <w:tcW w:type="dxa" w:w="1824"/>
          </w:tcPr>
          <w:p>
            <w:r>
              <w:rPr>
                <w:rFonts w:ascii="Calibri" w:hAnsi="Calibri"/>
                <w:sz w:val="18"/>
              </w:rPr>
              <w:t>15 min</w:t>
            </w:r>
          </w:p>
        </w:tc>
        <w:tc>
          <w:tcPr>
            <w:tcW w:type="dxa" w:w="1824"/>
          </w:tcPr>
          <w:p>
            <w:r>
              <w:rPr>
                <w:rFonts w:ascii="Calibri" w:hAnsi="Calibri"/>
                <w:sz w:val="18"/>
              </w:rPr>
              <w:t>7.2 km</w:t>
            </w:r>
          </w:p>
        </w:tc>
        <w:tc>
          <w:tcPr>
            <w:tcW w:type="dxa" w:w="1824"/>
          </w:tcPr>
          <w:p>
            <w:r>
              <w:rPr>
                <w:rFonts w:ascii="Calibri" w:hAnsi="Calibri"/>
                <w:sz w:val="18"/>
              </w:rPr>
              <w:t>12%</w:t>
            </w:r>
          </w:p>
        </w:tc>
        <w:tc>
          <w:tcPr>
            <w:tcW w:type="dxa" w:w="1824"/>
          </w:tcPr>
          <w:p>
            <w:r>
              <w:rPr>
                <w:rFonts w:ascii="Calibri" w:hAnsi="Calibri"/>
                <w:sz w:val="18"/>
              </w:rPr>
              <w:t>~1,440</w:t>
            </w:r>
          </w:p>
        </w:tc>
      </w:tr>
      <w:tr>
        <w:tc>
          <w:tcPr>
            <w:tcW w:type="dxa" w:w="1824"/>
          </w:tcPr>
          <w:p>
            <w:r>
              <w:rPr>
                <w:rFonts w:ascii="Calibri" w:hAnsi="Calibri"/>
                <w:sz w:val="18"/>
              </w:rPr>
              <w:t>Laureles (local)</w:t>
            </w:r>
          </w:p>
        </w:tc>
        <w:tc>
          <w:tcPr>
            <w:tcW w:type="dxa" w:w="1824"/>
          </w:tcPr>
          <w:p>
            <w:r>
              <w:rPr>
                <w:rFonts w:ascii="Calibri" w:hAnsi="Calibri"/>
                <w:sz w:val="18"/>
              </w:rPr>
              <w:t>5 min</w:t>
            </w:r>
          </w:p>
        </w:tc>
        <w:tc>
          <w:tcPr>
            <w:tcW w:type="dxa" w:w="1824"/>
          </w:tcPr>
          <w:p>
            <w:r>
              <w:rPr>
                <w:rFonts w:ascii="Calibri" w:hAnsi="Calibri"/>
                <w:sz w:val="18"/>
              </w:rPr>
              <w:t>1.5 km</w:t>
            </w:r>
          </w:p>
        </w:tc>
        <w:tc>
          <w:tcPr>
            <w:tcW w:type="dxa" w:w="1824"/>
          </w:tcPr>
          <w:p>
            <w:r>
              <w:rPr>
                <w:rFonts w:ascii="Calibri" w:hAnsi="Calibri"/>
                <w:sz w:val="18"/>
              </w:rPr>
              <w:t>10%</w:t>
            </w:r>
          </w:p>
        </w:tc>
        <w:tc>
          <w:tcPr>
            <w:tcW w:type="dxa" w:w="1824"/>
          </w:tcPr>
          <w:p>
            <w:r>
              <w:rPr>
                <w:rFonts w:ascii="Calibri" w:hAnsi="Calibri"/>
                <w:sz w:val="18"/>
              </w:rPr>
              <w:t>~1,200</w:t>
            </w:r>
          </w:p>
        </w:tc>
      </w:tr>
      <w:tr>
        <w:tc>
          <w:tcPr>
            <w:tcW w:type="dxa" w:w="1824"/>
          </w:tcPr>
          <w:p>
            <w:r>
              <w:rPr>
                <w:rFonts w:ascii="Calibri" w:hAnsi="Calibri"/>
                <w:sz w:val="18"/>
              </w:rPr>
              <w:t>Robledo</w:t>
            </w:r>
          </w:p>
        </w:tc>
        <w:tc>
          <w:tcPr>
            <w:tcW w:type="dxa" w:w="1824"/>
          </w:tcPr>
          <w:p>
            <w:r>
              <w:rPr>
                <w:rFonts w:ascii="Calibri" w:hAnsi="Calibri"/>
                <w:sz w:val="18"/>
              </w:rPr>
              <w:t>12 min</w:t>
            </w:r>
          </w:p>
        </w:tc>
        <w:tc>
          <w:tcPr>
            <w:tcW w:type="dxa" w:w="1824"/>
          </w:tcPr>
          <w:p>
            <w:r>
              <w:rPr>
                <w:rFonts w:ascii="Calibri" w:hAnsi="Calibri"/>
                <w:sz w:val="18"/>
              </w:rPr>
              <w:t>4.8 km</w:t>
            </w:r>
          </w:p>
        </w:tc>
        <w:tc>
          <w:tcPr>
            <w:tcW w:type="dxa" w:w="1824"/>
          </w:tcPr>
          <w:p>
            <w:r>
              <w:rPr>
                <w:rFonts w:ascii="Calibri" w:hAnsi="Calibri"/>
                <w:sz w:val="18"/>
              </w:rPr>
              <w:t>8%</w:t>
            </w:r>
          </w:p>
        </w:tc>
        <w:tc>
          <w:tcPr>
            <w:tcW w:type="dxa" w:w="1824"/>
          </w:tcPr>
          <w:p>
            <w:r>
              <w:rPr>
                <w:rFonts w:ascii="Calibri" w:hAnsi="Calibri"/>
                <w:sz w:val="18"/>
              </w:rPr>
              <w:t>~960</w:t>
            </w:r>
          </w:p>
        </w:tc>
      </w:tr>
      <w:tr>
        <w:tc>
          <w:tcPr>
            <w:tcW w:type="dxa" w:w="1824"/>
          </w:tcPr>
          <w:p>
            <w:r>
              <w:rPr>
                <w:rFonts w:ascii="Calibri" w:hAnsi="Calibri"/>
                <w:sz w:val="18"/>
              </w:rPr>
              <w:t>Sabaneta</w:t>
            </w:r>
          </w:p>
        </w:tc>
        <w:tc>
          <w:tcPr>
            <w:tcW w:type="dxa" w:w="1824"/>
          </w:tcPr>
          <w:p>
            <w:r>
              <w:rPr>
                <w:rFonts w:ascii="Calibri" w:hAnsi="Calibri"/>
                <w:sz w:val="18"/>
              </w:rPr>
              <w:t>20 min</w:t>
            </w:r>
          </w:p>
        </w:tc>
        <w:tc>
          <w:tcPr>
            <w:tcW w:type="dxa" w:w="1824"/>
          </w:tcPr>
          <w:p>
            <w:r>
              <w:rPr>
                <w:rFonts w:ascii="Calibri" w:hAnsi="Calibri"/>
                <w:sz w:val="18"/>
              </w:rPr>
              <w:t>12.1 km</w:t>
            </w:r>
          </w:p>
        </w:tc>
        <w:tc>
          <w:tcPr>
            <w:tcW w:type="dxa" w:w="1824"/>
          </w:tcPr>
          <w:p>
            <w:r>
              <w:rPr>
                <w:rFonts w:ascii="Calibri" w:hAnsi="Calibri"/>
                <w:sz w:val="18"/>
              </w:rPr>
              <w:t>8%</w:t>
            </w:r>
          </w:p>
        </w:tc>
        <w:tc>
          <w:tcPr>
            <w:tcW w:type="dxa" w:w="1824"/>
          </w:tcPr>
          <w:p>
            <w:r>
              <w:rPr>
                <w:rFonts w:ascii="Calibri" w:hAnsi="Calibri"/>
                <w:sz w:val="18"/>
              </w:rPr>
              <w:t>~960</w:t>
            </w:r>
          </w:p>
        </w:tc>
      </w:tr>
      <w:tr>
        <w:tc>
          <w:tcPr>
            <w:tcW w:type="dxa" w:w="1824"/>
          </w:tcPr>
          <w:p>
            <w:r>
              <w:rPr>
                <w:rFonts w:ascii="Calibri" w:hAnsi="Calibri"/>
                <w:sz w:val="18"/>
              </w:rPr>
              <w:t>Bello</w:t>
            </w:r>
          </w:p>
        </w:tc>
        <w:tc>
          <w:tcPr>
            <w:tcW w:type="dxa" w:w="1824"/>
          </w:tcPr>
          <w:p>
            <w:r>
              <w:rPr>
                <w:rFonts w:ascii="Calibri" w:hAnsi="Calibri"/>
                <w:sz w:val="18"/>
              </w:rPr>
              <w:t>25 min</w:t>
            </w:r>
          </w:p>
        </w:tc>
        <w:tc>
          <w:tcPr>
            <w:tcW w:type="dxa" w:w="1824"/>
          </w:tcPr>
          <w:p>
            <w:r>
              <w:rPr>
                <w:rFonts w:ascii="Calibri" w:hAnsi="Calibri"/>
                <w:sz w:val="18"/>
              </w:rPr>
              <w:t>15.3 km</w:t>
            </w:r>
          </w:p>
        </w:tc>
        <w:tc>
          <w:tcPr>
            <w:tcW w:type="dxa" w:w="1824"/>
          </w:tcPr>
          <w:p>
            <w:r>
              <w:rPr>
                <w:rFonts w:ascii="Calibri" w:hAnsi="Calibri"/>
                <w:sz w:val="18"/>
              </w:rPr>
              <w:t>5%</w:t>
            </w:r>
          </w:p>
        </w:tc>
        <w:tc>
          <w:tcPr>
            <w:tcW w:type="dxa" w:w="1824"/>
          </w:tcPr>
          <w:p>
            <w:r>
              <w:rPr>
                <w:rFonts w:ascii="Calibri" w:hAnsi="Calibri"/>
                <w:sz w:val="18"/>
              </w:rPr>
              <w:t>~600</w:t>
            </w:r>
          </w:p>
        </w:tc>
      </w:tr>
      <w:tr>
        <w:tc>
          <w:tcPr>
            <w:tcW w:type="dxa" w:w="1824"/>
          </w:tcPr>
          <w:p>
            <w:r>
              <w:rPr>
                <w:rFonts w:ascii="Calibri" w:hAnsi="Calibri"/>
                <w:sz w:val="18"/>
              </w:rPr>
              <w:t>Itagüí</w:t>
            </w:r>
          </w:p>
        </w:tc>
        <w:tc>
          <w:tcPr>
            <w:tcW w:type="dxa" w:w="1824"/>
          </w:tcPr>
          <w:p>
            <w:r>
              <w:rPr>
                <w:rFonts w:ascii="Calibri" w:hAnsi="Calibri"/>
                <w:sz w:val="18"/>
              </w:rPr>
              <w:t>18 min</w:t>
            </w:r>
          </w:p>
        </w:tc>
        <w:tc>
          <w:tcPr>
            <w:tcW w:type="dxa" w:w="1824"/>
          </w:tcPr>
          <w:p>
            <w:r>
              <w:rPr>
                <w:rFonts w:ascii="Calibri" w:hAnsi="Calibri"/>
                <w:sz w:val="18"/>
              </w:rPr>
              <w:t>9.4 km</w:t>
            </w:r>
          </w:p>
        </w:tc>
        <w:tc>
          <w:tcPr>
            <w:tcW w:type="dxa" w:w="1824"/>
          </w:tcPr>
          <w:p>
            <w:r>
              <w:rPr>
                <w:rFonts w:ascii="Calibri" w:hAnsi="Calibri"/>
                <w:sz w:val="18"/>
              </w:rPr>
              <w:t>5%</w:t>
            </w:r>
          </w:p>
        </w:tc>
        <w:tc>
          <w:tcPr>
            <w:tcW w:type="dxa" w:w="1824"/>
          </w:tcPr>
          <w:p>
            <w:r>
              <w:rPr>
                <w:rFonts w:ascii="Calibri" w:hAnsi="Calibri"/>
                <w:sz w:val="18"/>
              </w:rPr>
              <w:t>~600</w:t>
            </w:r>
          </w:p>
        </w:tc>
      </w:tr>
      <w:tr>
        <w:tc>
          <w:tcPr>
            <w:tcW w:type="dxa" w:w="1824"/>
          </w:tcPr>
          <w:p>
            <w:r>
              <w:rPr>
                <w:rFonts w:ascii="Calibri" w:hAnsi="Calibri"/>
                <w:sz w:val="18"/>
              </w:rPr>
              <w:t>Otros municipios</w:t>
            </w:r>
          </w:p>
        </w:tc>
        <w:tc>
          <w:tcPr>
            <w:tcW w:type="dxa" w:w="1824"/>
          </w:tcPr>
          <w:p>
            <w:r>
              <w:rPr>
                <w:rFonts w:ascii="Calibri" w:hAnsi="Calibri"/>
                <w:sz w:val="18"/>
              </w:rPr>
              <w:t>Variable</w:t>
            </w:r>
          </w:p>
        </w:tc>
        <w:tc>
          <w:tcPr>
            <w:tcW w:type="dxa" w:w="1824"/>
          </w:tcPr>
          <w:p>
            <w:r>
              <w:rPr>
                <w:rFonts w:ascii="Calibri" w:hAnsi="Calibri"/>
                <w:sz w:val="18"/>
              </w:rPr>
              <w:t>Variable</w:t>
            </w:r>
          </w:p>
        </w:tc>
        <w:tc>
          <w:tcPr>
            <w:tcW w:type="dxa" w:w="1824"/>
          </w:tcPr>
          <w:p>
            <w:r>
              <w:rPr>
                <w:rFonts w:ascii="Calibri" w:hAnsi="Calibri"/>
                <w:sz w:val="18"/>
              </w:rPr>
              <w:t>7%</w:t>
            </w:r>
          </w:p>
        </w:tc>
        <w:tc>
          <w:tcPr>
            <w:tcW w:type="dxa" w:w="1824"/>
          </w:tcPr>
          <w:p>
            <w:r>
              <w:rPr>
                <w:rFonts w:ascii="Calibri" w:hAnsi="Calibri"/>
                <w:sz w:val="18"/>
              </w:rPr>
              <w:t>~840</w:t>
            </w:r>
          </w:p>
        </w:tc>
      </w:tr>
      <w:tr>
        <w:tc>
          <w:tcPr>
            <w:tcW w:type="dxa" w:w="1824"/>
          </w:tcPr>
          <w:p>
            <w:r>
              <w:rPr>
                <w:rFonts w:ascii="Calibri" w:hAnsi="Calibri"/>
                <w:sz w:val="18"/>
              </w:rPr>
              <w:t>Total</w:t>
            </w:r>
          </w:p>
        </w:tc>
        <w:tc>
          <w:tcPr>
            <w:tcW w:type="dxa" w:w="1824"/>
          </w:tcPr>
          <w:p>
            <w:r>
              <w:rPr>
                <w:rFonts w:ascii="Calibri" w:hAnsi="Calibri"/>
                <w:sz w:val="18"/>
              </w:rPr>
              <w:t>15 min (prom.)</w:t>
            </w:r>
          </w:p>
        </w:tc>
        <w:tc>
          <w:tcPr>
            <w:tcW w:type="dxa" w:w="1824"/>
          </w:tcPr>
          <w:p>
            <w:r>
              <w:rPr>
                <w:rFonts w:ascii="Calibri" w:hAnsi="Calibri"/>
                <w:sz w:val="18"/>
              </w:rPr>
            </w:r>
          </w:p>
        </w:tc>
        <w:tc>
          <w:tcPr>
            <w:tcW w:type="dxa" w:w="1824"/>
          </w:tcPr>
          <w:p>
            <w:r>
              <w:rPr>
                <w:rFonts w:ascii="Calibri" w:hAnsi="Calibri"/>
                <w:sz w:val="18"/>
              </w:rPr>
              <w:t>100%</w:t>
            </w:r>
          </w:p>
        </w:tc>
        <w:tc>
          <w:tcPr>
            <w:tcW w:type="dxa" w:w="1824"/>
          </w:tcPr>
          <w:p>
            <w:r>
              <w:rPr>
                <w:rFonts w:ascii="Calibri" w:hAnsi="Calibri"/>
                <w:sz w:val="18"/>
              </w:rPr>
              <w:t>~12,000</w:t>
            </w:r>
          </w:p>
        </w:tc>
      </w:tr>
    </w:tbl>
    <w:p/>
    <w:p>
      <w:r>
        <w:t>El tiempo promedio de viaje desde los 10 orígenes es de aproximadamente 15 minutos, lo que posiciona al Diamante dentro de una isocrona de 20 minutos que cubre la totalidad del Área Metropolitana del Valle de Aburrá.</w:t>
      </w:r>
    </w:p>
    <w:p>
      <w:pPr>
        <w:pStyle w:val="Heading2"/>
      </w:pPr>
      <w:r>
        <w:t>4.4 Demanda de Estacionamiento</w:t>
      </w:r>
    </w:p>
    <w:p>
      <w:pPr>
        <w:pStyle w:val="Heading3"/>
      </w:pPr>
      <w:r>
        <w:t>4.4.1 Metodología de Estimación</w:t>
      </w:r>
    </w:p>
    <w:p>
      <w:r>
        <w:t>La demanda de estacionamiento se estima como una fracción del tráfico vehicular que circula por el polígono de estudio y que busca estacionar en la zona, aplicando un factor de atracción parametrizable:</w:t>
      </w:r>
    </w:p>
    <w:p>
      <w:r/>
      <w:r>
        <w:rPr>
          <w:b/>
        </w:rPr>
        <w:t>Demanda = TPD × Factor de Atracción × Factor Horario</w:t>
      </w:r>
      <w:r/>
    </w:p>
    <w:p>
      <w:r>
        <w:t>Donde:</w:t>
      </w:r>
    </w:p>
    <w:p>
      <w:pPr>
        <w:pStyle w:val="ListBullet"/>
      </w:pPr>
      <w:r>
        <w:t>TPD = 68,787 veh/día (dato oficial SIMM, 14 intersecciones)</w:t>
      </w:r>
    </w:p>
    <w:p>
      <w:pPr>
        <w:pStyle w:val="ListBullet"/>
      </w:pPr>
      <w:r>
        <w:t>Factor de Atracción = 2-3% (proporción del tráfico pasante que busca estacionar en el polígono)</w:t>
      </w:r>
    </w:p>
    <w:p>
      <w:pPr>
        <w:pStyle w:val="ListBullet"/>
      </w:pPr>
      <w:r>
        <w:t>Factor Horario = distribución no uniforme a lo largo del día, con pico en las horas 17:00-18:00</w:t>
      </w:r>
    </w:p>
    <w:p>
      <w:r>
        <w:t>El factor de atracción del 2% es conservador y se fundamenta en la metodología propuesta en la reunión de trabajo con el equipo de estructuración, donde se acordó que "de los 12,000 vehículos que se mueven por esas vías, uno tiene una capacidad de atracción del 1%", extrapolado al volumen total. Este factor se validará en la etapa de factibilidad mediante conteo de campo y fotografía aérea.</w:t>
      </w:r>
    </w:p>
    <w:p>
      <w:pPr>
        <w:pStyle w:val="Heading3"/>
      </w:pPr>
      <w:r>
        <w:t>4.4.2 Demanda en Día Normal</w:t>
      </w:r>
    </w:p>
    <w:tbl>
      <w:tblPr>
        <w:tblStyle w:val="LightGrid-Accent1"/>
        <w:tblW w:type="auto" w:w="0"/>
        <w:jc w:val="center"/>
        <w:tblLook w:firstColumn="1" w:firstRow="1" w:lastColumn="0" w:lastRow="0" w:noHBand="0" w:noVBand="1" w:val="04A0"/>
      </w:tblPr>
      <w:tblGrid>
        <w:gridCol w:w="4561"/>
        <w:gridCol w:w="4561"/>
      </w:tblGrid>
      <w:tr>
        <w:tc>
          <w:tcPr>
            <w:tcW w:type="dxa" w:w="4561"/>
          </w:tcPr>
          <w:p>
            <w:r>
              <w:rPr>
                <w:rFonts w:ascii="Calibri" w:hAnsi="Calibri"/>
                <w:b/>
                <w:sz w:val="18"/>
              </w:rPr>
              <w:t>Parámetro</w:t>
            </w:r>
          </w:p>
        </w:tc>
        <w:tc>
          <w:tcPr>
            <w:tcW w:type="dxa" w:w="4561"/>
          </w:tcPr>
          <w:p>
            <w:r>
              <w:rPr>
                <w:rFonts w:ascii="Calibri" w:hAnsi="Calibri"/>
                <w:b/>
                <w:sz w:val="18"/>
              </w:rPr>
              <w:t>Valor</w:t>
            </w:r>
          </w:p>
        </w:tc>
      </w:tr>
      <w:tr>
        <w:tc>
          <w:tcPr>
            <w:tcW w:type="dxa" w:w="4561"/>
          </w:tcPr>
          <w:p>
            <w:r>
              <w:rPr>
                <w:rFonts w:ascii="Calibri" w:hAnsi="Calibri"/>
                <w:sz w:val="18"/>
              </w:rPr>
              <w:t>TPD polígono (SIMM oficial)</w:t>
            </w:r>
          </w:p>
        </w:tc>
        <w:tc>
          <w:tcPr>
            <w:tcW w:type="dxa" w:w="4561"/>
          </w:tcPr>
          <w:p>
            <w:r>
              <w:rPr>
                <w:rFonts w:ascii="Calibri" w:hAnsi="Calibri"/>
                <w:sz w:val="18"/>
              </w:rPr>
              <w:t>68,787 veh/día</w:t>
            </w:r>
          </w:p>
        </w:tc>
      </w:tr>
      <w:tr>
        <w:tc>
          <w:tcPr>
            <w:tcW w:type="dxa" w:w="4561"/>
          </w:tcPr>
          <w:p>
            <w:r>
              <w:rPr>
                <w:rFonts w:ascii="Calibri" w:hAnsi="Calibri"/>
                <w:sz w:val="18"/>
              </w:rPr>
              <w:t>Factor de atracción</w:t>
            </w:r>
          </w:p>
        </w:tc>
        <w:tc>
          <w:tcPr>
            <w:tcW w:type="dxa" w:w="4561"/>
          </w:tcPr>
          <w:p>
            <w:r>
              <w:rPr>
                <w:rFonts w:ascii="Calibri" w:hAnsi="Calibri"/>
                <w:sz w:val="18"/>
              </w:rPr>
              <w:t>2%</w:t>
            </w:r>
          </w:p>
        </w:tc>
      </w:tr>
      <w:tr>
        <w:tc>
          <w:tcPr>
            <w:tcW w:type="dxa" w:w="4561"/>
          </w:tcPr>
          <w:p>
            <w:r>
              <w:rPr>
                <w:rFonts w:ascii="Calibri" w:hAnsi="Calibri"/>
                <w:sz w:val="18"/>
              </w:rPr>
              <w:t>Demanda diaria estimada</w:t>
            </w:r>
          </w:p>
        </w:tc>
        <w:tc>
          <w:tcPr>
            <w:tcW w:type="dxa" w:w="4561"/>
          </w:tcPr>
          <w:p>
            <w:r>
              <w:rPr>
                <w:rFonts w:ascii="Calibri" w:hAnsi="Calibri"/>
                <w:sz w:val="18"/>
              </w:rPr>
              <w:t>~1,376 veh/día</w:t>
            </w:r>
          </w:p>
        </w:tc>
      </w:tr>
      <w:tr>
        <w:tc>
          <w:tcPr>
            <w:tcW w:type="dxa" w:w="4561"/>
          </w:tcPr>
          <w:p>
            <w:r>
              <w:rPr>
                <w:rFonts w:ascii="Calibri" w:hAnsi="Calibri"/>
                <w:sz w:val="18"/>
              </w:rPr>
              <w:t>Demanda hora pico (17:00)</w:t>
            </w:r>
          </w:p>
        </w:tc>
        <w:tc>
          <w:tcPr>
            <w:tcW w:type="dxa" w:w="4561"/>
          </w:tcPr>
          <w:p>
            <w:r>
              <w:rPr>
                <w:rFonts w:ascii="Calibri" w:hAnsi="Calibri"/>
                <w:sz w:val="18"/>
              </w:rPr>
              <w:t>~200-280 veh/hr</w:t>
            </w:r>
          </w:p>
        </w:tc>
      </w:tr>
      <w:tr>
        <w:tc>
          <w:tcPr>
            <w:tcW w:type="dxa" w:w="4561"/>
          </w:tcPr>
          <w:p>
            <w:r>
              <w:rPr>
                <w:rFonts w:ascii="Calibri" w:hAnsi="Calibri"/>
                <w:sz w:val="18"/>
              </w:rPr>
              <w:t>Rotación estimada</w:t>
            </w:r>
          </w:p>
        </w:tc>
        <w:tc>
          <w:tcPr>
            <w:tcW w:type="dxa" w:w="4561"/>
          </w:tcPr>
          <w:p>
            <w:r>
              <w:rPr>
                <w:rFonts w:ascii="Calibri" w:hAnsi="Calibri"/>
                <w:sz w:val="18"/>
              </w:rPr>
              <w:t>2.5-3.0 veh/celda/día</w:t>
            </w:r>
          </w:p>
        </w:tc>
      </w:tr>
    </w:tbl>
    <w:p/>
    <w:p>
      <w:pPr>
        <w:pStyle w:val="Heading3"/>
      </w:pPr>
      <w:r>
        <w:t>4.4.3 Demanda en Día de Evento</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tcPr>
          <w:p>
            <w:r>
              <w:rPr>
                <w:rFonts w:ascii="Calibri" w:hAnsi="Calibri"/>
                <w:b/>
                <w:sz w:val="18"/>
              </w:rPr>
              <w:t>Parámetro</w:t>
            </w:r>
          </w:p>
        </w:tc>
        <w:tc>
          <w:tcPr>
            <w:tcW w:type="dxa" w:w="2280"/>
          </w:tcPr>
          <w:p>
            <w:r>
              <w:rPr>
                <w:rFonts w:ascii="Calibri" w:hAnsi="Calibri"/>
                <w:b/>
                <w:sz w:val="18"/>
              </w:rPr>
              <w:t>Partido Liga</w:t>
            </w:r>
          </w:p>
        </w:tc>
        <w:tc>
          <w:tcPr>
            <w:tcW w:type="dxa" w:w="2280"/>
          </w:tcPr>
          <w:p>
            <w:r>
              <w:rPr>
                <w:rFonts w:ascii="Calibri" w:hAnsi="Calibri"/>
                <w:b/>
                <w:sz w:val="18"/>
              </w:rPr>
              <w:t>Clásico Paisa</w:t>
            </w:r>
          </w:p>
        </w:tc>
        <w:tc>
          <w:tcPr>
            <w:tcW w:type="dxa" w:w="2280"/>
          </w:tcPr>
          <w:p>
            <w:r>
              <w:rPr>
                <w:rFonts w:ascii="Calibri" w:hAnsi="Calibri"/>
                <w:b/>
                <w:sz w:val="18"/>
              </w:rPr>
              <w:t>Concierto internacional</w:t>
            </w:r>
          </w:p>
        </w:tc>
      </w:tr>
      <w:tr>
        <w:tc>
          <w:tcPr>
            <w:tcW w:type="dxa" w:w="2280"/>
          </w:tcPr>
          <w:p>
            <w:r>
              <w:rPr>
                <w:rFonts w:ascii="Calibri" w:hAnsi="Calibri"/>
                <w:sz w:val="18"/>
              </w:rPr>
              <w:t>Asistencia al evento</w:t>
            </w:r>
          </w:p>
        </w:tc>
        <w:tc>
          <w:tcPr>
            <w:tcW w:type="dxa" w:w="2280"/>
          </w:tcPr>
          <w:p>
            <w:r>
              <w:rPr>
                <w:rFonts w:ascii="Calibri" w:hAnsi="Calibri"/>
                <w:sz w:val="18"/>
              </w:rPr>
              <w:t>30,000</w:t>
            </w:r>
          </w:p>
        </w:tc>
        <w:tc>
          <w:tcPr>
            <w:tcW w:type="dxa" w:w="2280"/>
          </w:tcPr>
          <w:p>
            <w:r>
              <w:rPr>
                <w:rFonts w:ascii="Calibri" w:hAnsi="Calibri"/>
                <w:sz w:val="18"/>
              </w:rPr>
              <w:t>45,000</w:t>
            </w:r>
          </w:p>
        </w:tc>
        <w:tc>
          <w:tcPr>
            <w:tcW w:type="dxa" w:w="2280"/>
          </w:tcPr>
          <w:p>
            <w:r>
              <w:rPr>
                <w:rFonts w:ascii="Calibri" w:hAnsi="Calibri"/>
                <w:sz w:val="18"/>
              </w:rPr>
              <w:t>50,000</w:t>
            </w:r>
          </w:p>
        </w:tc>
      </w:tr>
      <w:tr>
        <w:tc>
          <w:tcPr>
            <w:tcW w:type="dxa" w:w="2280"/>
          </w:tcPr>
          <w:p>
            <w:r>
              <w:rPr>
                <w:rFonts w:ascii="Calibri" w:hAnsi="Calibri"/>
                <w:sz w:val="18"/>
              </w:rPr>
              <w:t>% que llega en vehículo particular (est.)</w:t>
            </w:r>
          </w:p>
        </w:tc>
        <w:tc>
          <w:tcPr>
            <w:tcW w:type="dxa" w:w="2280"/>
          </w:tcPr>
          <w:p>
            <w:r>
              <w:rPr>
                <w:rFonts w:ascii="Calibri" w:hAnsi="Calibri"/>
                <w:sz w:val="18"/>
              </w:rPr>
              <w:t>~27%</w:t>
            </w:r>
          </w:p>
        </w:tc>
        <w:tc>
          <w:tcPr>
            <w:tcW w:type="dxa" w:w="2280"/>
          </w:tcPr>
          <w:p>
            <w:r>
              <w:rPr>
                <w:rFonts w:ascii="Calibri" w:hAnsi="Calibri"/>
                <w:sz w:val="18"/>
              </w:rPr>
              <w:t>~27%</w:t>
            </w:r>
          </w:p>
        </w:tc>
        <w:tc>
          <w:tcPr>
            <w:tcW w:type="dxa" w:w="2280"/>
          </w:tcPr>
          <w:p>
            <w:r>
              <w:rPr>
                <w:rFonts w:ascii="Calibri" w:hAnsi="Calibri"/>
                <w:sz w:val="18"/>
              </w:rPr>
              <w:t>~26%</w:t>
            </w:r>
          </w:p>
        </w:tc>
      </w:tr>
      <w:tr>
        <w:tc>
          <w:tcPr>
            <w:tcW w:type="dxa" w:w="2280"/>
          </w:tcPr>
          <w:p>
            <w:r>
              <w:rPr>
                <w:rFonts w:ascii="Calibri" w:hAnsi="Calibri"/>
                <w:sz w:val="18"/>
              </w:rPr>
              <w:t>Vehículos estimados al evento</w:t>
            </w:r>
          </w:p>
        </w:tc>
        <w:tc>
          <w:tcPr>
            <w:tcW w:type="dxa" w:w="2280"/>
          </w:tcPr>
          <w:p>
            <w:r>
              <w:rPr>
                <w:rFonts w:ascii="Calibri" w:hAnsi="Calibri"/>
                <w:sz w:val="18"/>
              </w:rPr>
              <w:t>~8,100</w:t>
            </w:r>
          </w:p>
        </w:tc>
        <w:tc>
          <w:tcPr>
            <w:tcW w:type="dxa" w:w="2280"/>
          </w:tcPr>
          <w:p>
            <w:r>
              <w:rPr>
                <w:rFonts w:ascii="Calibri" w:hAnsi="Calibri"/>
                <w:sz w:val="18"/>
              </w:rPr>
              <w:t>~12,150</w:t>
            </w:r>
          </w:p>
        </w:tc>
        <w:tc>
          <w:tcPr>
            <w:tcW w:type="dxa" w:w="2280"/>
          </w:tcPr>
          <w:p>
            <w:r>
              <w:rPr>
                <w:rFonts w:ascii="Calibri" w:hAnsi="Calibri"/>
                <w:sz w:val="18"/>
              </w:rPr>
              <w:t>~13,000</w:t>
            </w:r>
          </w:p>
        </w:tc>
      </w:tr>
      <w:tr>
        <w:tc>
          <w:tcPr>
            <w:tcW w:type="dxa" w:w="2280"/>
          </w:tcPr>
          <w:p>
            <w:r>
              <w:rPr>
                <w:rFonts w:ascii="Calibri" w:hAnsi="Calibri"/>
                <w:sz w:val="18"/>
              </w:rPr>
              <w:t>Demanda de estacionamiento formal (pico)</w:t>
            </w:r>
          </w:p>
        </w:tc>
        <w:tc>
          <w:tcPr>
            <w:tcW w:type="dxa" w:w="2280"/>
          </w:tcPr>
          <w:p>
            <w:r>
              <w:rPr>
                <w:rFonts w:ascii="Calibri" w:hAnsi="Calibri"/>
                <w:sz w:val="18"/>
              </w:rPr>
              <w:t>~700-900</w:t>
            </w:r>
          </w:p>
        </w:tc>
        <w:tc>
          <w:tcPr>
            <w:tcW w:type="dxa" w:w="2280"/>
          </w:tcPr>
          <w:p>
            <w:r>
              <w:rPr>
                <w:rFonts w:ascii="Calibri" w:hAnsi="Calibri"/>
                <w:sz w:val="18"/>
              </w:rPr>
              <w:t>~1,000-1,300</w:t>
            </w:r>
          </w:p>
        </w:tc>
        <w:tc>
          <w:tcPr>
            <w:tcW w:type="dxa" w:w="2280"/>
          </w:tcPr>
          <w:p>
            <w:r>
              <w:rPr>
                <w:rFonts w:ascii="Calibri" w:hAnsi="Calibri"/>
                <w:sz w:val="18"/>
              </w:rPr>
              <w:t>~1,100-1,400</w:t>
            </w:r>
          </w:p>
        </w:tc>
      </w:tr>
      <w:tr>
        <w:tc>
          <w:tcPr>
            <w:tcW w:type="dxa" w:w="2280"/>
          </w:tcPr>
          <w:p>
            <w:r>
              <w:rPr>
                <w:rFonts w:ascii="Calibri" w:hAnsi="Calibri"/>
                <w:sz w:val="18"/>
              </w:rPr>
              <w:t>Hora pico del estacionamiento</w:t>
            </w:r>
          </w:p>
        </w:tc>
        <w:tc>
          <w:tcPr>
            <w:tcW w:type="dxa" w:w="2280"/>
          </w:tcPr>
          <w:p>
            <w:r>
              <w:rPr>
                <w:rFonts w:ascii="Calibri" w:hAnsi="Calibri"/>
                <w:sz w:val="18"/>
              </w:rPr>
              <w:t>17:00-19:00</w:t>
            </w:r>
          </w:p>
        </w:tc>
        <w:tc>
          <w:tcPr>
            <w:tcW w:type="dxa" w:w="2280"/>
          </w:tcPr>
          <w:p>
            <w:r>
              <w:rPr>
                <w:rFonts w:ascii="Calibri" w:hAnsi="Calibri"/>
                <w:sz w:val="18"/>
              </w:rPr>
              <w:t>15:00-17:00</w:t>
            </w:r>
          </w:p>
        </w:tc>
        <w:tc>
          <w:tcPr>
            <w:tcW w:type="dxa" w:w="2280"/>
          </w:tcPr>
          <w:p>
            <w:r>
              <w:rPr>
                <w:rFonts w:ascii="Calibri" w:hAnsi="Calibri"/>
                <w:sz w:val="18"/>
              </w:rPr>
              <w:t>16:00-19:00</w:t>
            </w:r>
          </w:p>
        </w:tc>
      </w:tr>
      <w:tr>
        <w:tc>
          <w:tcPr>
            <w:tcW w:type="dxa" w:w="2280"/>
          </w:tcPr>
          <w:p>
            <w:r>
              <w:rPr>
                <w:rFonts w:ascii="Calibri" w:hAnsi="Calibri"/>
                <w:sz w:val="18"/>
              </w:rPr>
              <w:t>Multiplicador de tráfico (vs. normal)</w:t>
            </w:r>
          </w:p>
        </w:tc>
        <w:tc>
          <w:tcPr>
            <w:tcW w:type="dxa" w:w="2280"/>
          </w:tcPr>
          <w:p>
            <w:r>
              <w:rPr>
                <w:rFonts w:ascii="Calibri" w:hAnsi="Calibri"/>
                <w:sz w:val="18"/>
              </w:rPr>
              <w:t>3.5x</w:t>
            </w:r>
          </w:p>
        </w:tc>
        <w:tc>
          <w:tcPr>
            <w:tcW w:type="dxa" w:w="2280"/>
          </w:tcPr>
          <w:p>
            <w:r>
              <w:rPr>
                <w:rFonts w:ascii="Calibri" w:hAnsi="Calibri"/>
                <w:sz w:val="18"/>
              </w:rPr>
              <w:t>5.0x</w:t>
            </w:r>
          </w:p>
        </w:tc>
        <w:tc>
          <w:tcPr>
            <w:tcW w:type="dxa" w:w="2280"/>
          </w:tcPr>
          <w:p>
            <w:r>
              <w:rPr>
                <w:rFonts w:ascii="Calibri" w:hAnsi="Calibri"/>
                <w:sz w:val="18"/>
              </w:rPr>
              <w:t>5.5x</w:t>
            </w:r>
          </w:p>
        </w:tc>
      </w:tr>
    </w:tbl>
    <w:p/>
    <w:p>
      <w:pPr>
        <w:pStyle w:val="Heading2"/>
      </w:pPr>
      <w:r>
        <w:t>4.5 Transporte Público</w:t>
      </w:r>
    </w:p>
    <w:p>
      <w:r>
        <w:t>Las estaciones Estadio y Suramericana del Metro de Medellín (Línea A) se encuentran a 300 y 700 metros del proyecto, respectivamente. Los datos de afluencia mensual promedio muestran un flujo significativo:</w:t>
      </w:r>
    </w:p>
    <w:tbl>
      <w:tblPr>
        <w:tblStyle w:val="LightGrid-Accent1"/>
        <w:tblW w:type="auto" w:w="0"/>
        <w:jc w:val="center"/>
        <w:tblLook w:firstColumn="1" w:firstRow="1" w:lastColumn="0" w:lastRow="0" w:noHBand="0" w:noVBand="1" w:val="04A0"/>
      </w:tblPr>
      <w:tblGrid>
        <w:gridCol w:w="2280"/>
        <w:gridCol w:w="2280"/>
        <w:gridCol w:w="2280"/>
        <w:gridCol w:w="2280"/>
      </w:tblGrid>
      <w:tr>
        <w:tc>
          <w:tcPr>
            <w:tcW w:type="dxa" w:w="2280"/>
          </w:tcPr>
          <w:p>
            <w:r>
              <w:rPr>
                <w:rFonts w:ascii="Calibri" w:hAnsi="Calibri"/>
                <w:b/>
                <w:sz w:val="18"/>
              </w:rPr>
              <w:t>Estación</w:t>
            </w:r>
          </w:p>
        </w:tc>
        <w:tc>
          <w:tcPr>
            <w:tcW w:type="dxa" w:w="2280"/>
          </w:tcPr>
          <w:p>
            <w:r>
              <w:rPr>
                <w:rFonts w:ascii="Calibri" w:hAnsi="Calibri"/>
                <w:b/>
                <w:sz w:val="18"/>
              </w:rPr>
              <w:t>Entradas/mes promedio</w:t>
            </w:r>
          </w:p>
        </w:tc>
        <w:tc>
          <w:tcPr>
            <w:tcW w:type="dxa" w:w="2280"/>
          </w:tcPr>
          <w:p>
            <w:r>
              <w:rPr>
                <w:rFonts w:ascii="Calibri" w:hAnsi="Calibri"/>
                <w:b/>
                <w:sz w:val="18"/>
              </w:rPr>
              <w:t>Salidas/mes promedio</w:t>
            </w:r>
          </w:p>
        </w:tc>
        <w:tc>
          <w:tcPr>
            <w:tcW w:type="dxa" w:w="2280"/>
          </w:tcPr>
          <w:p>
            <w:r>
              <w:rPr>
                <w:rFonts w:ascii="Calibri" w:hAnsi="Calibri"/>
                <w:b/>
                <w:sz w:val="18"/>
              </w:rPr>
              <w:t>Total pasajeros/mes</w:t>
            </w:r>
          </w:p>
        </w:tc>
      </w:tr>
      <w:tr>
        <w:tc>
          <w:tcPr>
            <w:tcW w:type="dxa" w:w="2280"/>
          </w:tcPr>
          <w:p>
            <w:r>
              <w:rPr>
                <w:rFonts w:ascii="Calibri" w:hAnsi="Calibri"/>
                <w:sz w:val="18"/>
              </w:rPr>
              <w:t>Estadio</w:t>
            </w:r>
          </w:p>
        </w:tc>
        <w:tc>
          <w:tcPr>
            <w:tcW w:type="dxa" w:w="2280"/>
          </w:tcPr>
          <w:p>
            <w:r>
              <w:rPr>
                <w:rFonts w:ascii="Calibri" w:hAnsi="Calibri"/>
                <w:sz w:val="18"/>
              </w:rPr>
              <w:t>~361,000</w:t>
            </w:r>
          </w:p>
        </w:tc>
        <w:tc>
          <w:tcPr>
            <w:tcW w:type="dxa" w:w="2280"/>
          </w:tcPr>
          <w:p>
            <w:r>
              <w:rPr>
                <w:rFonts w:ascii="Calibri" w:hAnsi="Calibri"/>
                <w:sz w:val="18"/>
              </w:rPr>
              <w:t>~334,000</w:t>
            </w:r>
          </w:p>
        </w:tc>
        <w:tc>
          <w:tcPr>
            <w:tcW w:type="dxa" w:w="2280"/>
          </w:tcPr>
          <w:p>
            <w:r>
              <w:rPr>
                <w:rFonts w:ascii="Calibri" w:hAnsi="Calibri"/>
                <w:sz w:val="18"/>
              </w:rPr>
              <w:t>~695,000</w:t>
            </w:r>
          </w:p>
        </w:tc>
      </w:tr>
      <w:tr>
        <w:tc>
          <w:tcPr>
            <w:tcW w:type="dxa" w:w="2280"/>
          </w:tcPr>
          <w:p>
            <w:r>
              <w:rPr>
                <w:rFonts w:ascii="Calibri" w:hAnsi="Calibri"/>
                <w:sz w:val="18"/>
              </w:rPr>
              <w:t>Suramericana</w:t>
            </w:r>
          </w:p>
        </w:tc>
        <w:tc>
          <w:tcPr>
            <w:tcW w:type="dxa" w:w="2280"/>
          </w:tcPr>
          <w:p>
            <w:r>
              <w:rPr>
                <w:rFonts w:ascii="Calibri" w:hAnsi="Calibri"/>
                <w:sz w:val="18"/>
              </w:rPr>
              <w:t>~280,000</w:t>
            </w:r>
          </w:p>
        </w:tc>
        <w:tc>
          <w:tcPr>
            <w:tcW w:type="dxa" w:w="2280"/>
          </w:tcPr>
          <w:p>
            <w:r>
              <w:rPr>
                <w:rFonts w:ascii="Calibri" w:hAnsi="Calibri"/>
                <w:sz w:val="18"/>
              </w:rPr>
              <w:t>~265,000</w:t>
            </w:r>
          </w:p>
        </w:tc>
        <w:tc>
          <w:tcPr>
            <w:tcW w:type="dxa" w:w="2280"/>
          </w:tcPr>
          <w:p>
            <w:r>
              <w:rPr>
                <w:rFonts w:ascii="Calibri" w:hAnsi="Calibri"/>
                <w:sz w:val="18"/>
              </w:rPr>
              <w:t>~545,000</w:t>
            </w:r>
          </w:p>
        </w:tc>
      </w:tr>
    </w:tbl>
    <w:p/>
    <w:p>
      <w:r/>
      <w:r>
        <w:rPr>
          <w:b/>
        </w:rPr>
        <w:t>Fuente:</w:t>
      </w:r>
      <w:r>
        <w:t xml:space="preserve"> Metro de Medellín, datos abiertos 2011-2020.</w:t>
      </w:r>
    </w:p>
    <w:p>
      <w:r>
        <w:t>Si bien el Metro absorbe una proporción significativa de los viajes (11% modal según la Encuesta OD 2023), su capacidad se satura durante eventos masivos. El proyecto de estacionamiento complementa al transporte público, atendiendo al 9% de los viajes que se realizan en automóvil particular y al 15% que se realiza en motocicleta.</w:t>
      </w:r>
    </w:p>
    <w:p>
      <w:pPr>
        <w:pStyle w:val="Heading1"/>
      </w:pPr>
      <w:r>
        <w:t>5. ESTUDIO DE OFERTA</w:t>
      </w:r>
    </w:p>
    <w:p>
      <w:pPr>
        <w:pStyle w:val="Heading2"/>
      </w:pPr>
      <w:r>
        <w:t>5.1 Inventario de Parqueaderos Formales</w:t>
      </w:r>
    </w:p>
    <w:p>
      <w:r>
        <w:t xml:space="preserve">Se identificaron </w:t>
      </w:r>
      <w:r>
        <w:rPr>
          <w:b/>
        </w:rPr>
        <w:t>22 parqueaderos formales</w:t>
      </w:r>
      <w:r>
        <w:t xml:space="preserve"> dentro del polígono de estudio mediante levantamiento en la plataforma Google Maps Places API, complementado con datos del estudio de campo parcial de la firma Cali Mayor (ingeniería de tránsito contratada por el proyecto):</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r>
              <w:rPr>
                <w:rFonts w:ascii="Calibri" w:hAnsi="Calibri"/>
                <w:b/>
                <w:sz w:val="18"/>
              </w:rPr>
              <w:t>#</w:t>
            </w:r>
          </w:p>
        </w:tc>
        <w:tc>
          <w:tcPr>
            <w:tcW w:type="dxa" w:w="1520"/>
          </w:tcPr>
          <w:p>
            <w:r>
              <w:rPr>
                <w:rFonts w:ascii="Calibri" w:hAnsi="Calibri"/>
                <w:b/>
                <w:sz w:val="18"/>
              </w:rPr>
              <w:t>Parqueadero</w:t>
            </w:r>
          </w:p>
        </w:tc>
        <w:tc>
          <w:tcPr>
            <w:tcW w:type="dxa" w:w="1520"/>
          </w:tcPr>
          <w:p>
            <w:r>
              <w:rPr>
                <w:rFonts w:ascii="Calibri" w:hAnsi="Calibri"/>
                <w:b/>
                <w:sz w:val="18"/>
              </w:rPr>
              <w:t>Celdas</w:t>
            </w:r>
          </w:p>
        </w:tc>
        <w:tc>
          <w:tcPr>
            <w:tcW w:type="dxa" w:w="1520"/>
          </w:tcPr>
          <w:p>
            <w:r>
              <w:rPr>
                <w:rFonts w:ascii="Calibri" w:hAnsi="Calibri"/>
                <w:b/>
                <w:sz w:val="18"/>
              </w:rPr>
              <w:t>Tarifa/hr (COP)</w:t>
            </w:r>
          </w:p>
        </w:tc>
        <w:tc>
          <w:tcPr>
            <w:tcW w:type="dxa" w:w="1520"/>
          </w:tcPr>
          <w:p>
            <w:r>
              <w:rPr>
                <w:rFonts w:ascii="Calibri" w:hAnsi="Calibri"/>
                <w:b/>
                <w:sz w:val="18"/>
              </w:rPr>
              <w:t>Rating Google</w:t>
            </w:r>
          </w:p>
        </w:tc>
        <w:tc>
          <w:tcPr>
            <w:tcW w:type="dxa" w:w="1520"/>
          </w:tcPr>
          <w:p>
            <w:r>
              <w:rPr>
                <w:rFonts w:ascii="Calibri" w:hAnsi="Calibri"/>
                <w:b/>
                <w:sz w:val="18"/>
              </w:rPr>
              <w:t>Fuente</w:t>
            </w:r>
          </w:p>
        </w:tc>
      </w:tr>
      <w:tr>
        <w:tc>
          <w:tcPr>
            <w:tcW w:type="dxa" w:w="1520"/>
          </w:tcPr>
          <w:p>
            <w:r>
              <w:rPr>
                <w:rFonts w:ascii="Calibri" w:hAnsi="Calibri"/>
                <w:sz w:val="18"/>
              </w:rPr>
              <w:t>1</w:t>
            </w:r>
          </w:p>
        </w:tc>
        <w:tc>
          <w:tcPr>
            <w:tcW w:type="dxa" w:w="1520"/>
          </w:tcPr>
          <w:p>
            <w:r>
              <w:rPr>
                <w:rFonts w:ascii="Calibri" w:hAnsi="Calibri"/>
                <w:sz w:val="18"/>
              </w:rPr>
              <w:t>Estadio Parqueadero Público Central</w:t>
            </w:r>
          </w:p>
        </w:tc>
        <w:tc>
          <w:tcPr>
            <w:tcW w:type="dxa" w:w="1520"/>
          </w:tcPr>
          <w:p>
            <w:r>
              <w:rPr>
                <w:rFonts w:ascii="Calibri" w:hAnsi="Calibri"/>
                <w:sz w:val="18"/>
              </w:rPr>
              <w:t>80</w:t>
            </w:r>
          </w:p>
        </w:tc>
        <w:tc>
          <w:tcPr>
            <w:tcW w:type="dxa" w:w="1520"/>
          </w:tcPr>
          <w:p>
            <w:r>
              <w:rPr>
                <w:rFonts w:ascii="Calibri" w:hAnsi="Calibri"/>
                <w:sz w:val="18"/>
              </w:rPr>
              <w:t>$5,000-$8,000</w:t>
            </w:r>
          </w:p>
        </w:tc>
        <w:tc>
          <w:tcPr>
            <w:tcW w:type="dxa" w:w="1520"/>
          </w:tcPr>
          <w:p>
            <w:r>
              <w:rPr>
                <w:rFonts w:ascii="Calibri" w:hAnsi="Calibri"/>
                <w:sz w:val="18"/>
              </w:rPr>
              <w:t>3.8</w:t>
            </w:r>
          </w:p>
        </w:tc>
        <w:tc>
          <w:tcPr>
            <w:tcW w:type="dxa" w:w="1520"/>
          </w:tcPr>
          <w:p>
            <w:r>
              <w:rPr>
                <w:rFonts w:ascii="Calibri" w:hAnsi="Calibri"/>
                <w:sz w:val="18"/>
              </w:rPr>
              <w:t>Google Maps</w:t>
            </w:r>
          </w:p>
        </w:tc>
      </w:tr>
      <w:tr>
        <w:tc>
          <w:tcPr>
            <w:tcW w:type="dxa" w:w="1520"/>
          </w:tcPr>
          <w:p>
            <w:r>
              <w:rPr>
                <w:rFonts w:ascii="Calibri" w:hAnsi="Calibri"/>
                <w:sz w:val="18"/>
              </w:rPr>
              <w:t>2</w:t>
            </w:r>
          </w:p>
        </w:tc>
        <w:tc>
          <w:tcPr>
            <w:tcW w:type="dxa" w:w="1520"/>
          </w:tcPr>
          <w:p>
            <w:r>
              <w:rPr>
                <w:rFonts w:ascii="Calibri" w:hAnsi="Calibri"/>
                <w:sz w:val="18"/>
              </w:rPr>
              <w:t>Parqueadero El Diamante</w:t>
            </w:r>
          </w:p>
        </w:tc>
        <w:tc>
          <w:tcPr>
            <w:tcW w:type="dxa" w:w="1520"/>
          </w:tcPr>
          <w:p>
            <w:r>
              <w:rPr>
                <w:rFonts w:ascii="Calibri" w:hAnsi="Calibri"/>
                <w:sz w:val="18"/>
              </w:rPr>
              <w:t>80</w:t>
            </w:r>
          </w:p>
        </w:tc>
        <w:tc>
          <w:tcPr>
            <w:tcW w:type="dxa" w:w="1520"/>
          </w:tcPr>
          <w:p>
            <w:r>
              <w:rPr>
                <w:rFonts w:ascii="Calibri" w:hAnsi="Calibri"/>
                <w:sz w:val="18"/>
              </w:rPr>
              <w:t>$4,500-$7,000</w:t>
            </w:r>
          </w:p>
        </w:tc>
        <w:tc>
          <w:tcPr>
            <w:tcW w:type="dxa" w:w="1520"/>
          </w:tcPr>
          <w:p>
            <w:r>
              <w:rPr>
                <w:rFonts w:ascii="Calibri" w:hAnsi="Calibri"/>
                <w:sz w:val="18"/>
              </w:rPr>
              <w:t>4.0</w:t>
            </w:r>
          </w:p>
        </w:tc>
        <w:tc>
          <w:tcPr>
            <w:tcW w:type="dxa" w:w="1520"/>
          </w:tcPr>
          <w:p>
            <w:r>
              <w:rPr>
                <w:rFonts w:ascii="Calibri" w:hAnsi="Calibri"/>
                <w:sz w:val="18"/>
              </w:rPr>
              <w:t>Google Maps</w:t>
            </w:r>
          </w:p>
        </w:tc>
      </w:tr>
      <w:tr>
        <w:tc>
          <w:tcPr>
            <w:tcW w:type="dxa" w:w="1520"/>
          </w:tcPr>
          <w:p>
            <w:r>
              <w:rPr>
                <w:rFonts w:ascii="Calibri" w:hAnsi="Calibri"/>
                <w:sz w:val="18"/>
              </w:rPr>
              <w:t>3</w:t>
            </w:r>
          </w:p>
        </w:tc>
        <w:tc>
          <w:tcPr>
            <w:tcW w:type="dxa" w:w="1520"/>
          </w:tcPr>
          <w:p>
            <w:r>
              <w:rPr>
                <w:rFonts w:ascii="Calibri" w:hAnsi="Calibri"/>
                <w:sz w:val="18"/>
              </w:rPr>
              <w:t>Parqueadero Estacionamiento del Sol</w:t>
            </w:r>
          </w:p>
        </w:tc>
        <w:tc>
          <w:tcPr>
            <w:tcW w:type="dxa" w:w="1520"/>
          </w:tcPr>
          <w:p>
            <w:r>
              <w:rPr>
                <w:rFonts w:ascii="Calibri" w:hAnsi="Calibri"/>
                <w:sz w:val="18"/>
              </w:rPr>
              <w:t>80</w:t>
            </w:r>
          </w:p>
        </w:tc>
        <w:tc>
          <w:tcPr>
            <w:tcW w:type="dxa" w:w="1520"/>
          </w:tcPr>
          <w:p>
            <w:r>
              <w:rPr>
                <w:rFonts w:ascii="Calibri" w:hAnsi="Calibri"/>
                <w:sz w:val="18"/>
              </w:rPr>
              <w:t>$5,000-$8,000</w:t>
            </w:r>
          </w:p>
        </w:tc>
        <w:tc>
          <w:tcPr>
            <w:tcW w:type="dxa" w:w="1520"/>
          </w:tcPr>
          <w:p>
            <w:r>
              <w:rPr>
                <w:rFonts w:ascii="Calibri" w:hAnsi="Calibri"/>
                <w:sz w:val="18"/>
              </w:rPr>
              <w:t>3.5</w:t>
            </w:r>
          </w:p>
        </w:tc>
        <w:tc>
          <w:tcPr>
            <w:tcW w:type="dxa" w:w="1520"/>
          </w:tcPr>
          <w:p>
            <w:r>
              <w:rPr>
                <w:rFonts w:ascii="Calibri" w:hAnsi="Calibri"/>
                <w:sz w:val="18"/>
              </w:rPr>
              <w:t>Google Maps</w:t>
            </w:r>
          </w:p>
        </w:tc>
      </w:tr>
      <w:tr>
        <w:tc>
          <w:tcPr>
            <w:tcW w:type="dxa" w:w="1520"/>
          </w:tcPr>
          <w:p>
            <w:r>
              <w:rPr>
                <w:rFonts w:ascii="Calibri" w:hAnsi="Calibri"/>
                <w:sz w:val="18"/>
              </w:rPr>
              <w:t>4</w:t>
            </w:r>
          </w:p>
        </w:tc>
        <w:tc>
          <w:tcPr>
            <w:tcW w:type="dxa" w:w="1520"/>
          </w:tcPr>
          <w:p>
            <w:r>
              <w:rPr>
                <w:rFonts w:ascii="Calibri" w:hAnsi="Calibri"/>
                <w:sz w:val="18"/>
              </w:rPr>
              <w:t>Complejo Acuático (Parqueadero)</w:t>
            </w:r>
          </w:p>
        </w:tc>
        <w:tc>
          <w:tcPr>
            <w:tcW w:type="dxa" w:w="1520"/>
          </w:tcPr>
          <w:p>
            <w:r>
              <w:rPr>
                <w:rFonts w:ascii="Calibri" w:hAnsi="Calibri"/>
                <w:sz w:val="18"/>
              </w:rPr>
              <w:t>69</w:t>
            </w:r>
          </w:p>
        </w:tc>
        <w:tc>
          <w:tcPr>
            <w:tcW w:type="dxa" w:w="1520"/>
          </w:tcPr>
          <w:p>
            <w:r>
              <w:rPr>
                <w:rFonts w:ascii="Calibri" w:hAnsi="Calibri"/>
                <w:sz w:val="18"/>
              </w:rPr>
              <w:t>$4,000-$7,000</w:t>
            </w:r>
          </w:p>
        </w:tc>
        <w:tc>
          <w:tcPr>
            <w:tcW w:type="dxa" w:w="1520"/>
          </w:tcPr>
          <w:p>
            <w:r>
              <w:rPr>
                <w:rFonts w:ascii="Calibri" w:hAnsi="Calibri"/>
                <w:sz w:val="18"/>
              </w:rPr>
              <w:t>3.5</w:t>
            </w:r>
          </w:p>
        </w:tc>
        <w:tc>
          <w:tcPr>
            <w:tcW w:type="dxa" w:w="1520"/>
          </w:tcPr>
          <w:p>
            <w:r>
              <w:rPr>
                <w:rFonts w:ascii="Calibri" w:hAnsi="Calibri"/>
                <w:sz w:val="18"/>
              </w:rPr>
              <w:t>Cali Mayor</w:t>
            </w:r>
          </w:p>
        </w:tc>
      </w:tr>
      <w:tr>
        <w:tc>
          <w:tcPr>
            <w:tcW w:type="dxa" w:w="1520"/>
          </w:tcPr>
          <w:p>
            <w:r>
              <w:rPr>
                <w:rFonts w:ascii="Calibri" w:hAnsi="Calibri"/>
                <w:sz w:val="18"/>
              </w:rPr>
              <w:t>5</w:t>
            </w:r>
          </w:p>
        </w:tc>
        <w:tc>
          <w:tcPr>
            <w:tcW w:type="dxa" w:w="1520"/>
          </w:tcPr>
          <w:p>
            <w:r>
              <w:rPr>
                <w:rFonts w:ascii="Calibri" w:hAnsi="Calibri"/>
                <w:sz w:val="18"/>
              </w:rPr>
              <w:t>Centro Comercial Obelisco (Parqueadero)</w:t>
            </w:r>
          </w:p>
        </w:tc>
        <w:tc>
          <w:tcPr>
            <w:tcW w:type="dxa" w:w="1520"/>
          </w:tcPr>
          <w:p>
            <w:r>
              <w:rPr>
                <w:rFonts w:ascii="Calibri" w:hAnsi="Calibri"/>
                <w:sz w:val="18"/>
              </w:rPr>
              <w:t>52</w:t>
            </w:r>
          </w:p>
        </w:tc>
        <w:tc>
          <w:tcPr>
            <w:tcW w:type="dxa" w:w="1520"/>
          </w:tcPr>
          <w:p>
            <w:r>
              <w:rPr>
                <w:rFonts w:ascii="Calibri" w:hAnsi="Calibri"/>
                <w:sz w:val="18"/>
              </w:rPr>
              <w:t>$4,500-$9,000</w:t>
            </w:r>
          </w:p>
        </w:tc>
        <w:tc>
          <w:tcPr>
            <w:tcW w:type="dxa" w:w="1520"/>
          </w:tcPr>
          <w:p>
            <w:r>
              <w:rPr>
                <w:rFonts w:ascii="Calibri" w:hAnsi="Calibri"/>
                <w:sz w:val="18"/>
              </w:rPr>
              <w:t>3.8</w:t>
            </w:r>
          </w:p>
        </w:tc>
        <w:tc>
          <w:tcPr>
            <w:tcW w:type="dxa" w:w="1520"/>
          </w:tcPr>
          <w:p>
            <w:r>
              <w:rPr>
                <w:rFonts w:ascii="Calibri" w:hAnsi="Calibri"/>
                <w:sz w:val="18"/>
              </w:rPr>
              <w:t>Cali Mayor</w:t>
            </w:r>
          </w:p>
        </w:tc>
      </w:tr>
      <w:tr>
        <w:tc>
          <w:tcPr>
            <w:tcW w:type="dxa" w:w="1520"/>
          </w:tcPr>
          <w:p>
            <w:r>
              <w:rPr>
                <w:rFonts w:ascii="Calibri" w:hAnsi="Calibri"/>
                <w:sz w:val="18"/>
              </w:rPr>
              <w:t>6</w:t>
            </w:r>
          </w:p>
        </w:tc>
        <w:tc>
          <w:tcPr>
            <w:tcW w:type="dxa" w:w="1520"/>
          </w:tcPr>
          <w:p>
            <w:r>
              <w:rPr>
                <w:rFonts w:ascii="Calibri" w:hAnsi="Calibri"/>
                <w:sz w:val="18"/>
              </w:rPr>
              <w:t>Parqueadero Público Estadio</w:t>
            </w:r>
          </w:p>
        </w:tc>
        <w:tc>
          <w:tcPr>
            <w:tcW w:type="dxa" w:w="1520"/>
          </w:tcPr>
          <w:p>
            <w:r>
              <w:rPr>
                <w:rFonts w:ascii="Calibri" w:hAnsi="Calibri"/>
                <w:sz w:val="18"/>
              </w:rPr>
              <w:t>45</w:t>
            </w:r>
          </w:p>
        </w:tc>
        <w:tc>
          <w:tcPr>
            <w:tcW w:type="dxa" w:w="1520"/>
          </w:tcPr>
          <w:p>
            <w:r>
              <w:rPr>
                <w:rFonts w:ascii="Calibri" w:hAnsi="Calibri"/>
                <w:sz w:val="18"/>
              </w:rPr>
              <w:t>$4,000-$6,000</w:t>
            </w:r>
          </w:p>
        </w:tc>
        <w:tc>
          <w:tcPr>
            <w:tcW w:type="dxa" w:w="1520"/>
          </w:tcPr>
          <w:p>
            <w:r>
              <w:rPr>
                <w:rFonts w:ascii="Calibri" w:hAnsi="Calibri"/>
                <w:sz w:val="18"/>
              </w:rPr>
              <w:t>3.7</w:t>
            </w:r>
          </w:p>
        </w:tc>
        <w:tc>
          <w:tcPr>
            <w:tcW w:type="dxa" w:w="1520"/>
          </w:tcPr>
          <w:p>
            <w:r>
              <w:rPr>
                <w:rFonts w:ascii="Calibri" w:hAnsi="Calibri"/>
                <w:sz w:val="18"/>
              </w:rPr>
              <w:t>Google Maps</w:t>
            </w:r>
          </w:p>
        </w:tc>
      </w:tr>
      <w:tr>
        <w:tc>
          <w:tcPr>
            <w:tcW w:type="dxa" w:w="1520"/>
          </w:tcPr>
          <w:p>
            <w:r>
              <w:rPr>
                <w:rFonts w:ascii="Calibri" w:hAnsi="Calibri"/>
                <w:sz w:val="18"/>
              </w:rPr>
              <w:t>7</w:t>
            </w:r>
          </w:p>
        </w:tc>
        <w:tc>
          <w:tcPr>
            <w:tcW w:type="dxa" w:w="1520"/>
          </w:tcPr>
          <w:p>
            <w:r>
              <w:rPr>
                <w:rFonts w:ascii="Calibri" w:hAnsi="Calibri"/>
                <w:sz w:val="18"/>
              </w:rPr>
              <w:t>Parqueadero Público</w:t>
            </w:r>
          </w:p>
        </w:tc>
        <w:tc>
          <w:tcPr>
            <w:tcW w:type="dxa" w:w="1520"/>
          </w:tcPr>
          <w:p>
            <w:r>
              <w:rPr>
                <w:rFonts w:ascii="Calibri" w:hAnsi="Calibri"/>
                <w:sz w:val="18"/>
              </w:rPr>
              <w:t>41</w:t>
            </w:r>
          </w:p>
        </w:tc>
        <w:tc>
          <w:tcPr>
            <w:tcW w:type="dxa" w:w="1520"/>
          </w:tcPr>
          <w:p>
            <w:r>
              <w:rPr>
                <w:rFonts w:ascii="Calibri" w:hAnsi="Calibri"/>
                <w:sz w:val="18"/>
              </w:rPr>
              <w:t>$4,000-$6,000</w:t>
            </w:r>
          </w:p>
        </w:tc>
        <w:tc>
          <w:tcPr>
            <w:tcW w:type="dxa" w:w="1520"/>
          </w:tcPr>
          <w:p>
            <w:r>
              <w:rPr>
                <w:rFonts w:ascii="Calibri" w:hAnsi="Calibri"/>
                <w:sz w:val="18"/>
              </w:rPr>
              <w:t>3.5</w:t>
            </w:r>
          </w:p>
        </w:tc>
        <w:tc>
          <w:tcPr>
            <w:tcW w:type="dxa" w:w="1520"/>
          </w:tcPr>
          <w:p>
            <w:r>
              <w:rPr>
                <w:rFonts w:ascii="Calibri" w:hAnsi="Calibri"/>
                <w:sz w:val="18"/>
              </w:rPr>
              <w:t>Google Maps</w:t>
            </w:r>
          </w:p>
        </w:tc>
      </w:tr>
      <w:tr>
        <w:tc>
          <w:tcPr>
            <w:tcW w:type="dxa" w:w="1520"/>
          </w:tcPr>
          <w:p>
            <w:r>
              <w:rPr>
                <w:rFonts w:ascii="Calibri" w:hAnsi="Calibri"/>
                <w:sz w:val="18"/>
              </w:rPr>
              <w:t>8-22</w:t>
            </w:r>
          </w:p>
        </w:tc>
        <w:tc>
          <w:tcPr>
            <w:tcW w:type="dxa" w:w="1520"/>
          </w:tcPr>
          <w:p>
            <w:r>
              <w:rPr>
                <w:rFonts w:ascii="Calibri" w:hAnsi="Calibri"/>
                <w:sz w:val="18"/>
              </w:rPr>
              <w:t>Otros (15 parqueaderos menores)</w:t>
            </w:r>
          </w:p>
        </w:tc>
        <w:tc>
          <w:tcPr>
            <w:tcW w:type="dxa" w:w="1520"/>
          </w:tcPr>
          <w:p>
            <w:r>
              <w:rPr>
                <w:rFonts w:ascii="Calibri" w:hAnsi="Calibri"/>
                <w:sz w:val="18"/>
              </w:rPr>
              <w:t>~375</w:t>
            </w:r>
          </w:p>
        </w:tc>
        <w:tc>
          <w:tcPr>
            <w:tcW w:type="dxa" w:w="1520"/>
          </w:tcPr>
          <w:p>
            <w:r>
              <w:rPr>
                <w:rFonts w:ascii="Calibri" w:hAnsi="Calibri"/>
                <w:sz w:val="18"/>
              </w:rPr>
              <w:t>$4,000-$9,000</w:t>
            </w:r>
          </w:p>
        </w:tc>
        <w:tc>
          <w:tcPr>
            <w:tcW w:type="dxa" w:w="1520"/>
          </w:tcPr>
          <w:p>
            <w:r>
              <w:rPr>
                <w:rFonts w:ascii="Calibri" w:hAnsi="Calibri"/>
                <w:sz w:val="18"/>
              </w:rPr>
              <w:t>3.0-4.2</w:t>
            </w:r>
          </w:p>
        </w:tc>
        <w:tc>
          <w:tcPr>
            <w:tcW w:type="dxa" w:w="1520"/>
          </w:tcPr>
          <w:p>
            <w:r>
              <w:rPr>
                <w:rFonts w:ascii="Calibri" w:hAnsi="Calibri"/>
                <w:sz w:val="18"/>
              </w:rPr>
              <w:t>Google Maps</w:t>
            </w:r>
          </w:p>
        </w:tc>
      </w:tr>
      <w:tr>
        <w:tc>
          <w:tcPr>
            <w:tcW w:type="dxa" w:w="1520"/>
          </w:tcPr>
          <w:p>
            <w:r>
              <w:rPr>
                <w:rFonts w:ascii="Calibri" w:hAnsi="Calibri"/>
                <w:sz w:val="18"/>
              </w:rPr>
            </w:r>
          </w:p>
        </w:tc>
        <w:tc>
          <w:tcPr>
            <w:tcW w:type="dxa" w:w="1520"/>
          </w:tcPr>
          <w:p>
            <w:r>
              <w:rPr>
                <w:rFonts w:ascii="Calibri" w:hAnsi="Calibri"/>
                <w:sz w:val="18"/>
              </w:rPr>
              <w:t>TOTAL OFERTA FORMAL</w:t>
            </w:r>
          </w:p>
        </w:tc>
        <w:tc>
          <w:tcPr>
            <w:tcW w:type="dxa" w:w="1520"/>
          </w:tcPr>
          <w:p>
            <w:r>
              <w:rPr>
                <w:rFonts w:ascii="Calibri" w:hAnsi="Calibri"/>
                <w:sz w:val="18"/>
              </w:rPr>
              <w:t>~822</w:t>
            </w:r>
          </w:p>
        </w:tc>
        <w:tc>
          <w:tcPr>
            <w:tcW w:type="dxa" w:w="1520"/>
          </w:tcPr>
          <w:p>
            <w:r>
              <w:rPr>
                <w:rFonts w:ascii="Calibri" w:hAnsi="Calibri"/>
                <w:sz w:val="18"/>
              </w:rPr>
              <w:t>$4,000-$9,000</w:t>
            </w:r>
          </w:p>
        </w:tc>
        <w:tc>
          <w:tcPr>
            <w:tcW w:type="dxa" w:w="1520"/>
          </w:tcPr>
          <w:p>
            <w:r>
              <w:rPr>
                <w:rFonts w:ascii="Calibri" w:hAnsi="Calibri"/>
                <w:sz w:val="18"/>
              </w:rPr>
            </w:r>
          </w:p>
        </w:tc>
        <w:tc>
          <w:tcPr>
            <w:tcW w:type="dxa" w:w="1520"/>
          </w:tcPr>
          <w:p>
            <w:r>
              <w:rPr>
                <w:rFonts w:ascii="Calibri" w:hAnsi="Calibri"/>
                <w:sz w:val="18"/>
              </w:rPr>
            </w:r>
          </w:p>
        </w:tc>
      </w:tr>
    </w:tbl>
    <w:p/>
    <w:p>
      <w:r/>
      <w:r>
        <w:rPr>
          <w:b/>
        </w:rPr>
        <w:t>Nota importante:</w:t>
      </w:r>
      <w:r>
        <w:t xml:space="preserve"> El inventario se realizó con información secundaria (Google Maps) y una verificación parcial de campo (Cali Mayor, 4 parqueaderos). La validación completa del inventario, incluyendo la diferenciación entre celdas vehiculares y celdas de motocicleta, se realizará en la etapa de factibilidad con levantamiento de campo integral.</w:t>
      </w:r>
    </w:p>
    <w:p>
      <w:r/>
      <w:r>
        <w:rPr>
          <w:b/>
        </w:rPr>
        <w:t>Tarifa de referencia — Centro Comercial Obelisco:</w:t>
      </w:r>
      <w:r>
        <w:t xml:space="preserve"> El parqueadero del Centro Comercial Obelisco, principal competidor por tamaño y ubicación, cobra una tarifa de $27,000 COP/día, según información obtenida durante el trabajo de campo del equipo de estructuración.</w:t>
      </w:r>
    </w:p>
    <w:p>
      <w:pPr>
        <w:pStyle w:val="Heading2"/>
      </w:pPr>
      <w:r>
        <w:t>5.2 Estacionamiento en Vía Pública (Informal)</w:t>
      </w:r>
    </w:p>
    <w:p>
      <w:r>
        <w:t xml:space="preserve">Se estima un total de </w:t>
      </w:r>
      <w:r>
        <w:rPr>
          <w:b/>
        </w:rPr>
        <w:t>~5,278 espacios informales</w:t>
      </w:r>
      <w:r>
        <w:t xml:space="preserve"> de estacionamiento en vía pública dentro del polígono, distribuidos en 377 manzanas según el análisis cuadra-a-cuadra realizado con la malla vial de OpenStreetMap (703 segmentos). La estimación considera aproximadamente 4 vehículos estacionados por cada 100 metros lineales de vía residencial por cada lado, descontando intersecciones, accesos y zonas de prohibición.</w:t>
      </w:r>
    </w:p>
    <w:p>
      <w:r>
        <w:t>Esta oferta informal es la que atiende la mayor parte de la demanda durante eventos, operada por los "trapitos rojos" a un costo de ~$10,000 COP/vehículo. El estacionamiento informal genera externalidades negativas: reduce la capacidad vial disponible, incrementa la congestión, genera inseguridad vial y representa una actividad económica no regulada y no tributante.</w:t>
      </w:r>
    </w:p>
    <w:p>
      <w:pPr>
        <w:pStyle w:val="Heading2"/>
      </w:pPr>
      <w:r>
        <w:t>5.3 Balance Oferta-Demanda</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r>
              <w:rPr>
                <w:rFonts w:ascii="Calibri" w:hAnsi="Calibri"/>
                <w:b/>
                <w:sz w:val="18"/>
              </w:rPr>
              <w:t>Escenario</w:t>
            </w:r>
          </w:p>
        </w:tc>
        <w:tc>
          <w:tcPr>
            <w:tcW w:type="dxa" w:w="1520"/>
          </w:tcPr>
          <w:p>
            <w:r>
              <w:rPr>
                <w:rFonts w:ascii="Calibri" w:hAnsi="Calibri"/>
                <w:b/>
                <w:sz w:val="18"/>
              </w:rPr>
              <w:t>Demanda estimada (pico)</w:t>
            </w:r>
          </w:p>
        </w:tc>
        <w:tc>
          <w:tcPr>
            <w:tcW w:type="dxa" w:w="1520"/>
          </w:tcPr>
          <w:p>
            <w:r>
              <w:rPr>
                <w:rFonts w:ascii="Calibri" w:hAnsi="Calibri"/>
                <w:b/>
                <w:sz w:val="18"/>
              </w:rPr>
              <w:t>Oferta formal actual</w:t>
            </w:r>
          </w:p>
        </w:tc>
        <w:tc>
          <w:tcPr>
            <w:tcW w:type="dxa" w:w="1520"/>
          </w:tcPr>
          <w:p>
            <w:r>
              <w:rPr>
                <w:rFonts w:ascii="Calibri" w:hAnsi="Calibri"/>
                <w:b/>
                <w:sz w:val="18"/>
              </w:rPr>
              <w:t>Déficit formal</w:t>
            </w:r>
          </w:p>
        </w:tc>
        <w:tc>
          <w:tcPr>
            <w:tcW w:type="dxa" w:w="1520"/>
          </w:tcPr>
          <w:p>
            <w:r>
              <w:rPr>
                <w:rFonts w:ascii="Calibri" w:hAnsi="Calibri"/>
                <w:b/>
                <w:sz w:val="18"/>
              </w:rPr>
              <w:t>Oferta informal</w:t>
            </w:r>
          </w:p>
        </w:tc>
        <w:tc>
          <w:tcPr>
            <w:tcW w:type="dxa" w:w="1520"/>
          </w:tcPr>
          <w:p>
            <w:r>
              <w:rPr>
                <w:rFonts w:ascii="Calibri" w:hAnsi="Calibri"/>
                <w:b/>
                <w:sz w:val="18"/>
              </w:rPr>
              <w:t>Balance total</w:t>
            </w:r>
          </w:p>
        </w:tc>
      </w:tr>
      <w:tr>
        <w:tc>
          <w:tcPr>
            <w:tcW w:type="dxa" w:w="1520"/>
          </w:tcPr>
          <w:p>
            <w:r>
              <w:rPr>
                <w:rFonts w:ascii="Calibri" w:hAnsi="Calibri"/>
                <w:sz w:val="18"/>
              </w:rPr>
              <w:t>Día normal</w:t>
            </w:r>
          </w:p>
        </w:tc>
        <w:tc>
          <w:tcPr>
            <w:tcW w:type="dxa" w:w="1520"/>
          </w:tcPr>
          <w:p>
            <w:r>
              <w:rPr>
                <w:rFonts w:ascii="Calibri" w:hAnsi="Calibri"/>
                <w:sz w:val="18"/>
              </w:rPr>
              <w:t>~1,376 veh/día</w:t>
            </w:r>
          </w:p>
        </w:tc>
        <w:tc>
          <w:tcPr>
            <w:tcW w:type="dxa" w:w="1520"/>
          </w:tcPr>
          <w:p>
            <w:r>
              <w:rPr>
                <w:rFonts w:ascii="Calibri" w:hAnsi="Calibri"/>
                <w:sz w:val="18"/>
              </w:rPr>
              <w:t>822</w:t>
            </w:r>
          </w:p>
        </w:tc>
        <w:tc>
          <w:tcPr>
            <w:tcW w:type="dxa" w:w="1520"/>
          </w:tcPr>
          <w:p>
            <w:r>
              <w:rPr>
                <w:rFonts w:ascii="Calibri" w:hAnsi="Calibri"/>
                <w:sz w:val="18"/>
              </w:rPr>
              <w:t>-554</w:t>
            </w:r>
          </w:p>
        </w:tc>
        <w:tc>
          <w:tcPr>
            <w:tcW w:type="dxa" w:w="1520"/>
          </w:tcPr>
          <w:p>
            <w:r>
              <w:rPr>
                <w:rFonts w:ascii="Calibri" w:hAnsi="Calibri"/>
                <w:sz w:val="18"/>
              </w:rPr>
              <w:t>~5,278</w:t>
            </w:r>
          </w:p>
        </w:tc>
        <w:tc>
          <w:tcPr>
            <w:tcW w:type="dxa" w:w="1520"/>
          </w:tcPr>
          <w:p>
            <w:r>
              <w:rPr>
                <w:rFonts w:ascii="Calibri" w:hAnsi="Calibri"/>
                <w:sz w:val="18"/>
              </w:rPr>
              <w:t>+4,724</w:t>
            </w:r>
          </w:p>
        </w:tc>
      </w:tr>
      <w:tr>
        <w:tc>
          <w:tcPr>
            <w:tcW w:type="dxa" w:w="1520"/>
          </w:tcPr>
          <w:p>
            <w:r>
              <w:rPr>
                <w:rFonts w:ascii="Calibri" w:hAnsi="Calibri"/>
                <w:sz w:val="18"/>
              </w:rPr>
              <w:t>Partido Liga (30K asis.)</w:t>
            </w:r>
          </w:p>
        </w:tc>
        <w:tc>
          <w:tcPr>
            <w:tcW w:type="dxa" w:w="1520"/>
          </w:tcPr>
          <w:p>
            <w:r>
              <w:rPr>
                <w:rFonts w:ascii="Calibri" w:hAnsi="Calibri"/>
                <w:sz w:val="18"/>
              </w:rPr>
              <w:t>~900 veh (hora pico)</w:t>
            </w:r>
          </w:p>
        </w:tc>
        <w:tc>
          <w:tcPr>
            <w:tcW w:type="dxa" w:w="1520"/>
          </w:tcPr>
          <w:p>
            <w:r>
              <w:rPr>
                <w:rFonts w:ascii="Calibri" w:hAnsi="Calibri"/>
                <w:sz w:val="18"/>
              </w:rPr>
              <w:t>822</w:t>
            </w:r>
          </w:p>
        </w:tc>
        <w:tc>
          <w:tcPr>
            <w:tcW w:type="dxa" w:w="1520"/>
          </w:tcPr>
          <w:p>
            <w:r>
              <w:rPr>
                <w:rFonts w:ascii="Calibri" w:hAnsi="Calibri"/>
                <w:sz w:val="18"/>
              </w:rPr>
              <w:t>-78</w:t>
            </w:r>
          </w:p>
        </w:tc>
        <w:tc>
          <w:tcPr>
            <w:tcW w:type="dxa" w:w="1520"/>
          </w:tcPr>
          <w:p>
            <w:r>
              <w:rPr>
                <w:rFonts w:ascii="Calibri" w:hAnsi="Calibri"/>
                <w:sz w:val="18"/>
              </w:rPr>
              <w:t>~5,278</w:t>
            </w:r>
          </w:p>
        </w:tc>
        <w:tc>
          <w:tcPr>
            <w:tcW w:type="dxa" w:w="1520"/>
          </w:tcPr>
          <w:p>
            <w:r>
              <w:rPr>
                <w:rFonts w:ascii="Calibri" w:hAnsi="Calibri"/>
                <w:sz w:val="18"/>
              </w:rPr>
              <w:t>+5,200</w:t>
            </w:r>
          </w:p>
        </w:tc>
      </w:tr>
      <w:tr>
        <w:tc>
          <w:tcPr>
            <w:tcW w:type="dxa" w:w="1520"/>
          </w:tcPr>
          <w:p>
            <w:r>
              <w:rPr>
                <w:rFonts w:ascii="Calibri" w:hAnsi="Calibri"/>
                <w:sz w:val="18"/>
              </w:rPr>
              <w:t>Clásico Paisa (45K asis.)</w:t>
            </w:r>
          </w:p>
        </w:tc>
        <w:tc>
          <w:tcPr>
            <w:tcW w:type="dxa" w:w="1520"/>
          </w:tcPr>
          <w:p>
            <w:r>
              <w:rPr>
                <w:rFonts w:ascii="Calibri" w:hAnsi="Calibri"/>
                <w:sz w:val="18"/>
              </w:rPr>
              <w:t>~1,300 veh (hora pico)</w:t>
            </w:r>
          </w:p>
        </w:tc>
        <w:tc>
          <w:tcPr>
            <w:tcW w:type="dxa" w:w="1520"/>
          </w:tcPr>
          <w:p>
            <w:r>
              <w:rPr>
                <w:rFonts w:ascii="Calibri" w:hAnsi="Calibri"/>
                <w:sz w:val="18"/>
              </w:rPr>
              <w:t>822</w:t>
            </w:r>
          </w:p>
        </w:tc>
        <w:tc>
          <w:tcPr>
            <w:tcW w:type="dxa" w:w="1520"/>
          </w:tcPr>
          <w:p>
            <w:r>
              <w:rPr>
                <w:rFonts w:ascii="Calibri" w:hAnsi="Calibri"/>
                <w:sz w:val="18"/>
              </w:rPr>
              <w:t>-478</w:t>
            </w:r>
          </w:p>
        </w:tc>
        <w:tc>
          <w:tcPr>
            <w:tcW w:type="dxa" w:w="1520"/>
          </w:tcPr>
          <w:p>
            <w:r>
              <w:rPr>
                <w:rFonts w:ascii="Calibri" w:hAnsi="Calibri"/>
                <w:sz w:val="18"/>
              </w:rPr>
              <w:t>~5,278</w:t>
            </w:r>
          </w:p>
        </w:tc>
        <w:tc>
          <w:tcPr>
            <w:tcW w:type="dxa" w:w="1520"/>
          </w:tcPr>
          <w:p>
            <w:r>
              <w:rPr>
                <w:rFonts w:ascii="Calibri" w:hAnsi="Calibri"/>
                <w:sz w:val="18"/>
              </w:rPr>
              <w:t>+4,800</w:t>
            </w:r>
          </w:p>
        </w:tc>
      </w:tr>
      <w:tr>
        <w:tc>
          <w:tcPr>
            <w:tcW w:type="dxa" w:w="1520"/>
          </w:tcPr>
          <w:p>
            <w:r>
              <w:rPr>
                <w:rFonts w:ascii="Calibri" w:hAnsi="Calibri"/>
                <w:sz w:val="18"/>
              </w:rPr>
              <w:t>Concierto (50K asis.)</w:t>
            </w:r>
          </w:p>
        </w:tc>
        <w:tc>
          <w:tcPr>
            <w:tcW w:type="dxa" w:w="1520"/>
          </w:tcPr>
          <w:p>
            <w:r>
              <w:rPr>
                <w:rFonts w:ascii="Calibri" w:hAnsi="Calibri"/>
                <w:sz w:val="18"/>
              </w:rPr>
              <w:t>~1,400 veh (hora pico)</w:t>
            </w:r>
          </w:p>
        </w:tc>
        <w:tc>
          <w:tcPr>
            <w:tcW w:type="dxa" w:w="1520"/>
          </w:tcPr>
          <w:p>
            <w:r>
              <w:rPr>
                <w:rFonts w:ascii="Calibri" w:hAnsi="Calibri"/>
                <w:sz w:val="18"/>
              </w:rPr>
              <w:t>822</w:t>
            </w:r>
          </w:p>
        </w:tc>
        <w:tc>
          <w:tcPr>
            <w:tcW w:type="dxa" w:w="1520"/>
          </w:tcPr>
          <w:p>
            <w:r>
              <w:rPr>
                <w:rFonts w:ascii="Calibri" w:hAnsi="Calibri"/>
                <w:sz w:val="18"/>
              </w:rPr>
              <w:t>-578</w:t>
            </w:r>
          </w:p>
        </w:tc>
        <w:tc>
          <w:tcPr>
            <w:tcW w:type="dxa" w:w="1520"/>
          </w:tcPr>
          <w:p>
            <w:r>
              <w:rPr>
                <w:rFonts w:ascii="Calibri" w:hAnsi="Calibri"/>
                <w:sz w:val="18"/>
              </w:rPr>
              <w:t>~5,278</w:t>
            </w:r>
          </w:p>
        </w:tc>
        <w:tc>
          <w:tcPr>
            <w:tcW w:type="dxa" w:w="1520"/>
          </w:tcPr>
          <w:p>
            <w:r>
              <w:rPr>
                <w:rFonts w:ascii="Calibri" w:hAnsi="Calibri"/>
                <w:sz w:val="18"/>
              </w:rPr>
              <w:t>+4,700</w:t>
            </w:r>
          </w:p>
        </w:tc>
      </w:tr>
      <w:tr>
        <w:tc>
          <w:tcPr>
            <w:tcW w:type="dxa" w:w="1520"/>
          </w:tcPr>
          <w:p>
            <w:r>
              <w:rPr>
                <w:rFonts w:ascii="Calibri" w:hAnsi="Calibri"/>
                <w:sz w:val="18"/>
              </w:rPr>
              <w:t>Con Diamante</w:t>
            </w:r>
          </w:p>
        </w:tc>
        <w:tc>
          <w:tcPr>
            <w:tcW w:type="dxa" w:w="1520"/>
          </w:tcPr>
          <w:p>
            <w:r>
              <w:rPr>
                <w:rFonts w:ascii="Calibri" w:hAnsi="Calibri"/>
                <w:sz w:val="18"/>
              </w:rPr>
              <w:t>~1,400 veh (pico)</w:t>
            </w:r>
          </w:p>
        </w:tc>
        <w:tc>
          <w:tcPr>
            <w:tcW w:type="dxa" w:w="1520"/>
          </w:tcPr>
          <w:p>
            <w:r>
              <w:rPr>
                <w:rFonts w:ascii="Calibri" w:hAnsi="Calibri"/>
                <w:sz w:val="18"/>
              </w:rPr>
              <w:t>1,922 (822+1,100)</w:t>
            </w:r>
          </w:p>
        </w:tc>
        <w:tc>
          <w:tcPr>
            <w:tcW w:type="dxa" w:w="1520"/>
          </w:tcPr>
          <w:p>
            <w:r>
              <w:rPr>
                <w:rFonts w:ascii="Calibri" w:hAnsi="Calibri"/>
                <w:sz w:val="18"/>
              </w:rPr>
              <w:t>+522</w:t>
            </w:r>
          </w:p>
        </w:tc>
        <w:tc>
          <w:tcPr>
            <w:tcW w:type="dxa" w:w="1520"/>
          </w:tcPr>
          <w:p>
            <w:r>
              <w:rPr>
                <w:rFonts w:ascii="Calibri" w:hAnsi="Calibri"/>
                <w:sz w:val="18"/>
              </w:rPr>
              <w:t>~5,278</w:t>
            </w:r>
          </w:p>
        </w:tc>
        <w:tc>
          <w:tcPr>
            <w:tcW w:type="dxa" w:w="1520"/>
          </w:tcPr>
          <w:p>
            <w:r>
              <w:rPr>
                <w:rFonts w:ascii="Calibri" w:hAnsi="Calibri"/>
                <w:sz w:val="18"/>
              </w:rPr>
              <w:t>+6,900</w:t>
            </w:r>
          </w:p>
        </w:tc>
      </w:tr>
    </w:tbl>
    <w:p/>
    <w:p>
      <w:r/>
      <w:r>
        <w:rPr>
          <w:b/>
        </w:rPr>
        <w:t>Conclusión:</w:t>
      </w:r>
      <w:r>
        <w:t xml:space="preserve"> El déficit de estacionamiento formal oscila entre 78 y 578 celdas dependiendo del escenario. El proyecto Diamante con 1,100 celdas no solo cubre el déficit formal en todos los escenarios, sino que genera un excedente que permite capturar demanda actualmente atendida por el estacionamiento informal en vía pública, reduciendo las externalidades negativas asociadas.</w:t>
      </w:r>
    </w:p>
    <w:p>
      <w:pPr>
        <w:pStyle w:val="Heading1"/>
      </w:pPr>
      <w:r>
        <w:t>6. ANÁLISIS FINANCIERO PRELIMINAR</w:t>
      </w:r>
    </w:p>
    <w:p>
      <w:pPr>
        <w:pStyle w:val="Heading2"/>
      </w:pPr>
      <w:r>
        <w:t>6.1 Supuestos del Modelo</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r>
              <w:rPr>
                <w:rFonts w:ascii="Calibri" w:hAnsi="Calibri"/>
                <w:b/>
                <w:sz w:val="18"/>
              </w:rPr>
              <w:t>Parámetro</w:t>
            </w:r>
          </w:p>
        </w:tc>
        <w:tc>
          <w:tcPr>
            <w:tcW w:type="dxa" w:w="3041"/>
          </w:tcPr>
          <w:p>
            <w:r>
              <w:rPr>
                <w:rFonts w:ascii="Calibri" w:hAnsi="Calibri"/>
                <w:b/>
                <w:sz w:val="18"/>
              </w:rPr>
              <w:t>Valor</w:t>
            </w:r>
          </w:p>
        </w:tc>
        <w:tc>
          <w:tcPr>
            <w:tcW w:type="dxa" w:w="3041"/>
          </w:tcPr>
          <w:p>
            <w:r>
              <w:rPr>
                <w:rFonts w:ascii="Calibri" w:hAnsi="Calibri"/>
                <w:b/>
                <w:sz w:val="18"/>
              </w:rPr>
              <w:t>Fundamentación</w:t>
            </w:r>
          </w:p>
        </w:tc>
      </w:tr>
      <w:tr>
        <w:tc>
          <w:tcPr>
            <w:tcW w:type="dxa" w:w="3041"/>
          </w:tcPr>
          <w:p>
            <w:r>
              <w:rPr>
                <w:rFonts w:ascii="Calibri" w:hAnsi="Calibri"/>
                <w:sz w:val="18"/>
              </w:rPr>
              <w:t>Celdas de estacionamiento</w:t>
            </w:r>
          </w:p>
        </w:tc>
        <w:tc>
          <w:tcPr>
            <w:tcW w:type="dxa" w:w="3041"/>
          </w:tcPr>
          <w:p>
            <w:r>
              <w:rPr>
                <w:rFonts w:ascii="Calibri" w:hAnsi="Calibri"/>
                <w:sz w:val="18"/>
              </w:rPr>
              <w:t>1,100</w:t>
            </w:r>
          </w:p>
        </w:tc>
        <w:tc>
          <w:tcPr>
            <w:tcW w:type="dxa" w:w="3041"/>
          </w:tcPr>
          <w:p>
            <w:r>
              <w:rPr>
                <w:rFonts w:ascii="Calibri" w:hAnsi="Calibri"/>
                <w:sz w:val="18"/>
              </w:rPr>
              <w:t>Programa arquitectónico conceptual</w:t>
            </w:r>
          </w:p>
        </w:tc>
      </w:tr>
      <w:tr>
        <w:tc>
          <w:tcPr>
            <w:tcW w:type="dxa" w:w="3041"/>
          </w:tcPr>
          <w:p>
            <w:r>
              <w:rPr>
                <w:rFonts w:ascii="Calibri" w:hAnsi="Calibri"/>
                <w:sz w:val="18"/>
              </w:rPr>
              <w:t>Ocupación base (día normal)</w:t>
            </w:r>
          </w:p>
        </w:tc>
        <w:tc>
          <w:tcPr>
            <w:tcW w:type="dxa" w:w="3041"/>
          </w:tcPr>
          <w:p>
            <w:r>
              <w:rPr>
                <w:rFonts w:ascii="Calibri" w:hAnsi="Calibri"/>
                <w:sz w:val="18"/>
              </w:rPr>
              <w:t>45%</w:t>
            </w:r>
          </w:p>
        </w:tc>
        <w:tc>
          <w:tcPr>
            <w:tcW w:type="dxa" w:w="3041"/>
          </w:tcPr>
          <w:p>
            <w:r>
              <w:rPr>
                <w:rFonts w:ascii="Calibri" w:hAnsi="Calibri"/>
                <w:sz w:val="18"/>
              </w:rPr>
              <w:t>Estimación conservadora, referencia industria</w:t>
            </w:r>
          </w:p>
        </w:tc>
      </w:tr>
      <w:tr>
        <w:tc>
          <w:tcPr>
            <w:tcW w:type="dxa" w:w="3041"/>
          </w:tcPr>
          <w:p>
            <w:r>
              <w:rPr>
                <w:rFonts w:ascii="Calibri" w:hAnsi="Calibri"/>
                <w:sz w:val="18"/>
              </w:rPr>
              <w:t>Ocupación en evento (52 días/año)</w:t>
            </w:r>
          </w:p>
        </w:tc>
        <w:tc>
          <w:tcPr>
            <w:tcW w:type="dxa" w:w="3041"/>
          </w:tcPr>
          <w:p>
            <w:r>
              <w:rPr>
                <w:rFonts w:ascii="Calibri" w:hAnsi="Calibri"/>
                <w:sz w:val="18"/>
              </w:rPr>
              <w:t>85%</w:t>
            </w:r>
          </w:p>
        </w:tc>
        <w:tc>
          <w:tcPr>
            <w:tcW w:type="dxa" w:w="3041"/>
          </w:tcPr>
          <w:p>
            <w:r>
              <w:rPr>
                <w:rFonts w:ascii="Calibri" w:hAnsi="Calibri"/>
                <w:sz w:val="18"/>
              </w:rPr>
              <w:t>Estimación con base en demanda calculada</w:t>
            </w:r>
          </w:p>
        </w:tc>
      </w:tr>
      <w:tr>
        <w:tc>
          <w:tcPr>
            <w:tcW w:type="dxa" w:w="3041"/>
          </w:tcPr>
          <w:p>
            <w:r>
              <w:rPr>
                <w:rFonts w:ascii="Calibri" w:hAnsi="Calibri"/>
                <w:sz w:val="18"/>
              </w:rPr>
              <w:t>Tarifa base (hora)</w:t>
            </w:r>
          </w:p>
        </w:tc>
        <w:tc>
          <w:tcPr>
            <w:tcW w:type="dxa" w:w="3041"/>
          </w:tcPr>
          <w:p>
            <w:r>
              <w:rPr>
                <w:rFonts w:ascii="Calibri" w:hAnsi="Calibri"/>
                <w:sz w:val="18"/>
              </w:rPr>
              <w:t>$5,000 COP</w:t>
            </w:r>
          </w:p>
        </w:tc>
        <w:tc>
          <w:tcPr>
            <w:tcW w:type="dxa" w:w="3041"/>
          </w:tcPr>
          <w:p>
            <w:r>
              <w:rPr>
                <w:rFonts w:ascii="Calibri" w:hAnsi="Calibri"/>
                <w:sz w:val="18"/>
              </w:rPr>
              <w:t>Promedio zona ($4,000-$9,000)</w:t>
            </w:r>
          </w:p>
        </w:tc>
      </w:tr>
      <w:tr>
        <w:tc>
          <w:tcPr>
            <w:tcW w:type="dxa" w:w="3041"/>
          </w:tcPr>
          <w:p>
            <w:r>
              <w:rPr>
                <w:rFonts w:ascii="Calibri" w:hAnsi="Calibri"/>
                <w:sz w:val="18"/>
              </w:rPr>
              <w:t>Tarifa plena (día de evento)</w:t>
            </w:r>
          </w:p>
        </w:tc>
        <w:tc>
          <w:tcPr>
            <w:tcW w:type="dxa" w:w="3041"/>
          </w:tcPr>
          <w:p>
            <w:r>
              <w:rPr>
                <w:rFonts w:ascii="Calibri" w:hAnsi="Calibri"/>
                <w:sz w:val="18"/>
              </w:rPr>
              <w:t>$35,000 COP/día</w:t>
            </w:r>
          </w:p>
        </w:tc>
        <w:tc>
          <w:tcPr>
            <w:tcW w:type="dxa" w:w="3041"/>
          </w:tcPr>
          <w:p>
            <w:r>
              <w:rPr>
                <w:rFonts w:ascii="Calibri" w:hAnsi="Calibri"/>
                <w:sz w:val="18"/>
              </w:rPr>
              <w:t>Referencia Obelisco $27,000 + premium 30%</w:t>
            </w:r>
          </w:p>
        </w:tc>
      </w:tr>
      <w:tr>
        <w:tc>
          <w:tcPr>
            <w:tcW w:type="dxa" w:w="3041"/>
          </w:tcPr>
          <w:p>
            <w:r>
              <w:rPr>
                <w:rFonts w:ascii="Calibri" w:hAnsi="Calibri"/>
                <w:sz w:val="18"/>
              </w:rPr>
              <w:t>Horario de operación</w:t>
            </w:r>
          </w:p>
        </w:tc>
        <w:tc>
          <w:tcPr>
            <w:tcW w:type="dxa" w:w="3041"/>
          </w:tcPr>
          <w:p>
            <w:r>
              <w:rPr>
                <w:rFonts w:ascii="Calibri" w:hAnsi="Calibri"/>
                <w:sz w:val="18"/>
              </w:rPr>
              <w:t>14 hrs (6AM-8PM)</w:t>
            </w:r>
          </w:p>
        </w:tc>
        <w:tc>
          <w:tcPr>
            <w:tcW w:type="dxa" w:w="3041"/>
          </w:tcPr>
          <w:p>
            <w:r>
              <w:rPr>
                <w:rFonts w:ascii="Calibri" w:hAnsi="Calibri"/>
                <w:sz w:val="18"/>
              </w:rPr>
              <w:t>Estándar industria</w:t>
            </w:r>
          </w:p>
        </w:tc>
      </w:tr>
      <w:tr>
        <w:tc>
          <w:tcPr>
            <w:tcW w:type="dxa" w:w="3041"/>
          </w:tcPr>
          <w:p>
            <w:r>
              <w:rPr>
                <w:rFonts w:ascii="Calibri" w:hAnsi="Calibri"/>
                <w:sz w:val="18"/>
              </w:rPr>
              <w:t>Días normales/año</w:t>
            </w:r>
          </w:p>
        </w:tc>
        <w:tc>
          <w:tcPr>
            <w:tcW w:type="dxa" w:w="3041"/>
          </w:tcPr>
          <w:p>
            <w:r>
              <w:rPr>
                <w:rFonts w:ascii="Calibri" w:hAnsi="Calibri"/>
                <w:sz w:val="18"/>
              </w:rPr>
              <w:t>313</w:t>
            </w:r>
          </w:p>
        </w:tc>
        <w:tc>
          <w:tcPr>
            <w:tcW w:type="dxa" w:w="3041"/>
          </w:tcPr>
          <w:p>
            <w:r>
              <w:rPr>
                <w:rFonts w:ascii="Calibri" w:hAnsi="Calibri"/>
                <w:sz w:val="18"/>
              </w:rPr>
              <w:t>365 - 52 eventos</w:t>
            </w:r>
          </w:p>
        </w:tc>
      </w:tr>
      <w:tr>
        <w:tc>
          <w:tcPr>
            <w:tcW w:type="dxa" w:w="3041"/>
          </w:tcPr>
          <w:p>
            <w:r>
              <w:rPr>
                <w:rFonts w:ascii="Calibri" w:hAnsi="Calibri"/>
                <w:sz w:val="18"/>
              </w:rPr>
              <w:t>Eventos/año</w:t>
            </w:r>
          </w:p>
        </w:tc>
        <w:tc>
          <w:tcPr>
            <w:tcW w:type="dxa" w:w="3041"/>
          </w:tcPr>
          <w:p>
            <w:r>
              <w:rPr>
                <w:rFonts w:ascii="Calibri" w:hAnsi="Calibri"/>
                <w:sz w:val="18"/>
              </w:rPr>
              <w:t>52</w:t>
            </w:r>
          </w:p>
        </w:tc>
        <w:tc>
          <w:tcPr>
            <w:tcW w:type="dxa" w:w="3041"/>
          </w:tcPr>
          <w:p>
            <w:r>
              <w:rPr>
                <w:rFonts w:ascii="Calibri" w:hAnsi="Calibri"/>
                <w:sz w:val="18"/>
              </w:rPr>
              <w:t>~1 por semana (conservador vs. 78-86 reales)</w:t>
            </w:r>
          </w:p>
        </w:tc>
      </w:tr>
      <w:tr>
        <w:tc>
          <w:tcPr>
            <w:tcW w:type="dxa" w:w="3041"/>
          </w:tcPr>
          <w:p>
            <w:r>
              <w:rPr>
                <w:rFonts w:ascii="Calibri" w:hAnsi="Calibri"/>
                <w:sz w:val="18"/>
              </w:rPr>
              <w:t>Área comercial</w:t>
            </w:r>
          </w:p>
        </w:tc>
        <w:tc>
          <w:tcPr>
            <w:tcW w:type="dxa" w:w="3041"/>
          </w:tcPr>
          <w:p>
            <w:r>
              <w:rPr>
                <w:rFonts w:ascii="Calibri" w:hAnsi="Calibri"/>
                <w:sz w:val="18"/>
              </w:rPr>
              <w:t>2,000 m²</w:t>
            </w:r>
          </w:p>
        </w:tc>
        <w:tc>
          <w:tcPr>
            <w:tcW w:type="dxa" w:w="3041"/>
          </w:tcPr>
          <w:p>
            <w:r>
              <w:rPr>
                <w:rFonts w:ascii="Calibri" w:hAnsi="Calibri"/>
                <w:sz w:val="18"/>
              </w:rPr>
              <w:t>Nivel calle</w:t>
            </w:r>
          </w:p>
        </w:tc>
      </w:tr>
      <w:tr>
        <w:tc>
          <w:tcPr>
            <w:tcW w:type="dxa" w:w="3041"/>
          </w:tcPr>
          <w:p>
            <w:r>
              <w:rPr>
                <w:rFonts w:ascii="Calibri" w:hAnsi="Calibri"/>
                <w:sz w:val="18"/>
              </w:rPr>
              <w:t>Renta comercial promedio</w:t>
            </w:r>
          </w:p>
        </w:tc>
        <w:tc>
          <w:tcPr>
            <w:tcW w:type="dxa" w:w="3041"/>
          </w:tcPr>
          <w:p>
            <w:r>
              <w:rPr>
                <w:rFonts w:ascii="Calibri" w:hAnsi="Calibri"/>
                <w:sz w:val="18"/>
              </w:rPr>
              <w:t>$90,000 COP/m²/mes</w:t>
            </w:r>
          </w:p>
        </w:tc>
        <w:tc>
          <w:tcPr>
            <w:tcW w:type="dxa" w:w="3041"/>
          </w:tcPr>
          <w:p>
            <w:r>
              <w:rPr>
                <w:rFonts w:ascii="Calibri" w:hAnsi="Calibri"/>
                <w:sz w:val="18"/>
              </w:rPr>
              <w:t>Mercado Laureles ($28K-$100K/m²/mes)</w:t>
            </w:r>
          </w:p>
        </w:tc>
      </w:tr>
      <w:tr>
        <w:tc>
          <w:tcPr>
            <w:tcW w:type="dxa" w:w="3041"/>
          </w:tcPr>
          <w:p>
            <w:r>
              <w:rPr>
                <w:rFonts w:ascii="Calibri" w:hAnsi="Calibri"/>
                <w:sz w:val="18"/>
              </w:rPr>
              <w:t>Ocupación comercial</w:t>
            </w:r>
          </w:p>
        </w:tc>
        <w:tc>
          <w:tcPr>
            <w:tcW w:type="dxa" w:w="3041"/>
          </w:tcPr>
          <w:p>
            <w:r>
              <w:rPr>
                <w:rFonts w:ascii="Calibri" w:hAnsi="Calibri"/>
                <w:sz w:val="18"/>
              </w:rPr>
              <w:t>85%</w:t>
            </w:r>
          </w:p>
        </w:tc>
        <w:tc>
          <w:tcPr>
            <w:tcW w:type="dxa" w:w="3041"/>
          </w:tcPr>
          <w:p>
            <w:r>
              <w:rPr>
                <w:rFonts w:ascii="Calibri" w:hAnsi="Calibri"/>
                <w:sz w:val="18"/>
              </w:rPr>
              <w:t>Conservadora para zona consolidada</w:t>
            </w:r>
          </w:p>
        </w:tc>
      </w:tr>
      <w:tr>
        <w:tc>
          <w:tcPr>
            <w:tcW w:type="dxa" w:w="3041"/>
          </w:tcPr>
          <w:p>
            <w:r>
              <w:rPr>
                <w:rFonts w:ascii="Calibri" w:hAnsi="Calibri"/>
                <w:sz w:val="18"/>
              </w:rPr>
              <w:t>Costos operativos</w:t>
            </w:r>
          </w:p>
        </w:tc>
        <w:tc>
          <w:tcPr>
            <w:tcW w:type="dxa" w:w="3041"/>
          </w:tcPr>
          <w:p>
            <w:r>
              <w:rPr>
                <w:rFonts w:ascii="Calibri" w:hAnsi="Calibri"/>
                <w:sz w:val="18"/>
              </w:rPr>
              <w:t>30% de ingresos brutos</w:t>
            </w:r>
          </w:p>
        </w:tc>
        <w:tc>
          <w:tcPr>
            <w:tcW w:type="dxa" w:w="3041"/>
          </w:tcPr>
          <w:p>
            <w:r>
              <w:rPr>
                <w:rFonts w:ascii="Calibri" w:hAnsi="Calibri"/>
                <w:sz w:val="18"/>
              </w:rPr>
              <w:t>Referencia industria parqueaderos Colombia</w:t>
            </w:r>
          </w:p>
        </w:tc>
      </w:tr>
      <w:tr>
        <w:tc>
          <w:tcPr>
            <w:tcW w:type="dxa" w:w="3041"/>
          </w:tcPr>
          <w:p>
            <w:r>
              <w:rPr>
                <w:rFonts w:ascii="Calibri" w:hAnsi="Calibri"/>
                <w:sz w:val="18"/>
              </w:rPr>
              <w:t>Tasa de descuento</w:t>
            </w:r>
          </w:p>
        </w:tc>
        <w:tc>
          <w:tcPr>
            <w:tcW w:type="dxa" w:w="3041"/>
          </w:tcPr>
          <w:p>
            <w:r>
              <w:rPr>
                <w:rFonts w:ascii="Calibri" w:hAnsi="Calibri"/>
                <w:sz w:val="18"/>
              </w:rPr>
              <w:t>12% real</w:t>
            </w:r>
          </w:p>
        </w:tc>
        <w:tc>
          <w:tcPr>
            <w:tcW w:type="dxa" w:w="3041"/>
          </w:tcPr>
          <w:p>
            <w:r>
              <w:rPr>
                <w:rFonts w:ascii="Calibri" w:hAnsi="Calibri"/>
                <w:sz w:val="18"/>
              </w:rPr>
              <w:t>Referencia FDN para APP en Colombia</w:t>
            </w:r>
          </w:p>
        </w:tc>
      </w:tr>
      <w:tr>
        <w:tc>
          <w:tcPr>
            <w:tcW w:type="dxa" w:w="3041"/>
          </w:tcPr>
          <w:p>
            <w:r>
              <w:rPr>
                <w:rFonts w:ascii="Calibri" w:hAnsi="Calibri"/>
                <w:sz w:val="18"/>
              </w:rPr>
              <w:t>Horizonte del contrato</w:t>
            </w:r>
          </w:p>
        </w:tc>
        <w:tc>
          <w:tcPr>
            <w:tcW w:type="dxa" w:w="3041"/>
          </w:tcPr>
          <w:p>
            <w:r>
              <w:rPr>
                <w:rFonts w:ascii="Calibri" w:hAnsi="Calibri"/>
                <w:sz w:val="18"/>
              </w:rPr>
              <w:t>25 años</w:t>
            </w:r>
          </w:p>
        </w:tc>
        <w:tc>
          <w:tcPr>
            <w:tcW w:type="dxa" w:w="3041"/>
          </w:tcPr>
          <w:p>
            <w:r>
              <w:rPr>
                <w:rFonts w:ascii="Calibri" w:hAnsi="Calibri"/>
                <w:sz w:val="18"/>
              </w:rPr>
              <w:t>Conforme Ley 1508 de 2012, máximo 30 años</w:t>
            </w:r>
          </w:p>
        </w:tc>
      </w:tr>
    </w:tbl>
    <w:p/>
    <w:p>
      <w:pPr>
        <w:pStyle w:val="Heading2"/>
      </w:pPr>
      <w:r>
        <w:t>6.2 Estimación de Inversión (CAPEX)</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r>
              <w:rPr>
                <w:rFonts w:ascii="Calibri" w:hAnsi="Calibri"/>
                <w:b/>
                <w:sz w:val="18"/>
              </w:rPr>
              <w:t>Concepto</w:t>
            </w:r>
          </w:p>
        </w:tc>
        <w:tc>
          <w:tcPr>
            <w:tcW w:type="dxa" w:w="3041"/>
          </w:tcPr>
          <w:p>
            <w:r>
              <w:rPr>
                <w:rFonts w:ascii="Calibri" w:hAnsi="Calibri"/>
                <w:b/>
                <w:sz w:val="18"/>
              </w:rPr>
              <w:t>Valor COP</w:t>
            </w:r>
          </w:p>
        </w:tc>
        <w:tc>
          <w:tcPr>
            <w:tcW w:type="dxa" w:w="3041"/>
          </w:tcPr>
          <w:p>
            <w:r>
              <w:rPr>
                <w:rFonts w:ascii="Calibri" w:hAnsi="Calibri"/>
                <w:b/>
                <w:sz w:val="18"/>
              </w:rPr>
              <w:t>Notas</w:t>
            </w:r>
          </w:p>
        </w:tc>
      </w:tr>
      <w:tr>
        <w:tc>
          <w:tcPr>
            <w:tcW w:type="dxa" w:w="3041"/>
          </w:tcPr>
          <w:p>
            <w:r>
              <w:rPr>
                <w:rFonts w:ascii="Calibri" w:hAnsi="Calibri"/>
                <w:sz w:val="18"/>
              </w:rPr>
              <w:t>Construcción sótanos (1,100 celdas × $75M/celda)</w:t>
            </w:r>
          </w:p>
        </w:tc>
        <w:tc>
          <w:tcPr>
            <w:tcW w:type="dxa" w:w="3041"/>
          </w:tcPr>
          <w:p>
            <w:r>
              <w:rPr>
                <w:rFonts w:ascii="Calibri" w:hAnsi="Calibri"/>
                <w:sz w:val="18"/>
              </w:rPr>
              <w:t>$82,500,000,000</w:t>
            </w:r>
          </w:p>
        </w:tc>
        <w:tc>
          <w:tcPr>
            <w:tcW w:type="dxa" w:w="3041"/>
          </w:tcPr>
          <w:p>
            <w:r>
              <w:rPr>
                <w:rFonts w:ascii="Calibri" w:hAnsi="Calibri"/>
                <w:sz w:val="18"/>
              </w:rPr>
              <w:t>$4.5-7.0M COP/m², incluye estructura sismorresistente NSR-10</w:t>
            </w:r>
          </w:p>
        </w:tc>
      </w:tr>
      <w:tr>
        <w:tc>
          <w:tcPr>
            <w:tcW w:type="dxa" w:w="3041"/>
          </w:tcPr>
          <w:p>
            <w:r>
              <w:rPr>
                <w:rFonts w:ascii="Calibri" w:hAnsi="Calibri"/>
                <w:sz w:val="18"/>
              </w:rPr>
              <w:t>Obra civil nivel comercial (~2,500 m²)</w:t>
            </w:r>
          </w:p>
        </w:tc>
        <w:tc>
          <w:tcPr>
            <w:tcW w:type="dxa" w:w="3041"/>
          </w:tcPr>
          <w:p>
            <w:r>
              <w:rPr>
                <w:rFonts w:ascii="Calibri" w:hAnsi="Calibri"/>
                <w:sz w:val="18"/>
              </w:rPr>
              <w:t>$5,000,000,000</w:t>
            </w:r>
          </w:p>
        </w:tc>
        <w:tc>
          <w:tcPr>
            <w:tcW w:type="dxa" w:w="3041"/>
          </w:tcPr>
          <w:p>
            <w:r>
              <w:rPr>
                <w:rFonts w:ascii="Calibri" w:hAnsi="Calibri"/>
                <w:sz w:val="18"/>
              </w:rPr>
              <w:t>Acabados comerciales, fachada, espacio público</w:t>
            </w:r>
          </w:p>
        </w:tc>
      </w:tr>
      <w:tr>
        <w:tc>
          <w:tcPr>
            <w:tcW w:type="dxa" w:w="3041"/>
          </w:tcPr>
          <w:p>
            <w:r>
              <w:rPr>
                <w:rFonts w:ascii="Calibri" w:hAnsi="Calibri"/>
                <w:sz w:val="18"/>
              </w:rPr>
              <w:t>Equipamiento tecnológico</w:t>
            </w:r>
          </w:p>
        </w:tc>
        <w:tc>
          <w:tcPr>
            <w:tcW w:type="dxa" w:w="3041"/>
          </w:tcPr>
          <w:p>
            <w:r>
              <w:rPr>
                <w:rFonts w:ascii="Calibri" w:hAnsi="Calibri"/>
                <w:sz w:val="18"/>
              </w:rPr>
              <w:t>$2,000,000,000</w:t>
            </w:r>
          </w:p>
        </w:tc>
        <w:tc>
          <w:tcPr>
            <w:tcW w:type="dxa" w:w="3041"/>
          </w:tcPr>
          <w:p>
            <w:r>
              <w:rPr>
                <w:rFonts w:ascii="Calibri" w:hAnsi="Calibri"/>
                <w:sz w:val="18"/>
              </w:rPr>
              <w:t>Control de acceso, CCTV, sistema de pago, señalización digital, EV charging</w:t>
            </w:r>
          </w:p>
        </w:tc>
      </w:tr>
      <w:tr>
        <w:tc>
          <w:tcPr>
            <w:tcW w:type="dxa" w:w="3041"/>
          </w:tcPr>
          <w:p>
            <w:r>
              <w:rPr>
                <w:rFonts w:ascii="Calibri" w:hAnsi="Calibri"/>
                <w:sz w:val="18"/>
              </w:rPr>
              <w:t>Estudios y diseños</w:t>
            </w:r>
          </w:p>
        </w:tc>
        <w:tc>
          <w:tcPr>
            <w:tcW w:type="dxa" w:w="3041"/>
          </w:tcPr>
          <w:p>
            <w:r>
              <w:rPr>
                <w:rFonts w:ascii="Calibri" w:hAnsi="Calibri"/>
                <w:sz w:val="18"/>
              </w:rPr>
              <w:t>$1,500,000,000</w:t>
            </w:r>
          </w:p>
        </w:tc>
        <w:tc>
          <w:tcPr>
            <w:tcW w:type="dxa" w:w="3041"/>
          </w:tcPr>
          <w:p>
            <w:r>
              <w:rPr>
                <w:rFonts w:ascii="Calibri" w:hAnsi="Calibri"/>
                <w:sz w:val="18"/>
              </w:rPr>
              <w:t>Ingeniería, suelos, topografía, ambiental, legal</w:t>
            </w:r>
          </w:p>
        </w:tc>
      </w:tr>
      <w:tr>
        <w:tc>
          <w:tcPr>
            <w:tcW w:type="dxa" w:w="3041"/>
          </w:tcPr>
          <w:p>
            <w:r>
              <w:rPr>
                <w:rFonts w:ascii="Calibri" w:hAnsi="Calibri"/>
                <w:sz w:val="18"/>
              </w:rPr>
              <w:t>Interventoría de obra</w:t>
            </w:r>
          </w:p>
        </w:tc>
        <w:tc>
          <w:tcPr>
            <w:tcW w:type="dxa" w:w="3041"/>
          </w:tcPr>
          <w:p>
            <w:r>
              <w:rPr>
                <w:rFonts w:ascii="Calibri" w:hAnsi="Calibri"/>
                <w:sz w:val="18"/>
              </w:rPr>
              <w:t>$2,500,000,000</w:t>
            </w:r>
          </w:p>
        </w:tc>
        <w:tc>
          <w:tcPr>
            <w:tcW w:type="dxa" w:w="3041"/>
          </w:tcPr>
          <w:p>
            <w:r>
              <w:rPr>
                <w:rFonts w:ascii="Calibri" w:hAnsi="Calibri"/>
                <w:sz w:val="18"/>
              </w:rPr>
              <w:t>~3% del costo de construcción</w:t>
            </w:r>
          </w:p>
        </w:tc>
      </w:tr>
      <w:tr>
        <w:tc>
          <w:tcPr>
            <w:tcW w:type="dxa" w:w="3041"/>
          </w:tcPr>
          <w:p>
            <w:r>
              <w:rPr>
                <w:rFonts w:ascii="Calibri" w:hAnsi="Calibri"/>
                <w:sz w:val="18"/>
              </w:rPr>
              <w:t>Imprevistos (5%)</w:t>
            </w:r>
          </w:p>
        </w:tc>
        <w:tc>
          <w:tcPr>
            <w:tcW w:type="dxa" w:w="3041"/>
          </w:tcPr>
          <w:p>
            <w:r>
              <w:rPr>
                <w:rFonts w:ascii="Calibri" w:hAnsi="Calibri"/>
                <w:sz w:val="18"/>
              </w:rPr>
              <w:t>$4,675,000,000</w:t>
            </w:r>
          </w:p>
        </w:tc>
        <w:tc>
          <w:tcPr>
            <w:tcW w:type="dxa" w:w="3041"/>
          </w:tcPr>
          <w:p>
            <w:r>
              <w:rPr>
                <w:rFonts w:ascii="Calibri" w:hAnsi="Calibri"/>
                <w:sz w:val="18"/>
              </w:rPr>
              <w:t>Margen de contingencia</w:t>
            </w:r>
          </w:p>
        </w:tc>
      </w:tr>
      <w:tr>
        <w:tc>
          <w:tcPr>
            <w:tcW w:type="dxa" w:w="3041"/>
          </w:tcPr>
          <w:p>
            <w:r>
              <w:rPr>
                <w:rFonts w:ascii="Calibri" w:hAnsi="Calibri"/>
                <w:sz w:val="18"/>
              </w:rPr>
              <w:t>CAPEX Total Estimado</w:t>
            </w:r>
          </w:p>
        </w:tc>
        <w:tc>
          <w:tcPr>
            <w:tcW w:type="dxa" w:w="3041"/>
          </w:tcPr>
          <w:p>
            <w:r>
              <w:rPr>
                <w:rFonts w:ascii="Calibri" w:hAnsi="Calibri"/>
                <w:sz w:val="18"/>
              </w:rPr>
              <w:t>$98,175,000,000</w:t>
            </w:r>
          </w:p>
        </w:tc>
        <w:tc>
          <w:tcPr>
            <w:tcW w:type="dxa" w:w="3041"/>
          </w:tcPr>
          <w:p>
            <w:r>
              <w:rPr>
                <w:rFonts w:ascii="Calibri" w:hAnsi="Calibri"/>
                <w:sz w:val="18"/>
              </w:rPr>
              <w:t>~$89.3M USD (TRM $1,099/USD promedio 2026 est.)</w:t>
            </w:r>
          </w:p>
        </w:tc>
      </w:tr>
    </w:tbl>
    <w:p/>
    <w:p>
      <w:r>
        <w:t>El costo por celda de $75 millones COP para construcción subterránea se encuentra dentro del rango de referencia para proyectos de estacionamiento subterráneo en Colombia, considerando excavación, impermeabilización, ventilación mecánica, estructuras de contención, refuerzo sismorresistente (NSR-10 zona sísmica intermedia) y acabados.</w:t>
      </w:r>
    </w:p>
    <w:p>
      <w:pPr>
        <w:pStyle w:val="Heading2"/>
      </w:pPr>
      <w:r>
        <w:t>6.3 Estimación de Ingresos Anuales</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r>
              <w:rPr>
                <w:rFonts w:ascii="Calibri" w:hAnsi="Calibri"/>
                <w:b/>
                <w:sz w:val="18"/>
              </w:rPr>
              <w:t>Concepto</w:t>
            </w:r>
          </w:p>
        </w:tc>
        <w:tc>
          <w:tcPr>
            <w:tcW w:type="dxa" w:w="3041"/>
          </w:tcPr>
          <w:p>
            <w:r>
              <w:rPr>
                <w:rFonts w:ascii="Calibri" w:hAnsi="Calibri"/>
                <w:b/>
                <w:sz w:val="18"/>
              </w:rPr>
              <w:t>Cálculo</w:t>
            </w:r>
          </w:p>
        </w:tc>
        <w:tc>
          <w:tcPr>
            <w:tcW w:type="dxa" w:w="3041"/>
          </w:tcPr>
          <w:p>
            <w:r>
              <w:rPr>
                <w:rFonts w:ascii="Calibri" w:hAnsi="Calibri"/>
                <w:b/>
                <w:sz w:val="18"/>
              </w:rPr>
              <w:t>Valor COP/año</w:t>
            </w:r>
          </w:p>
        </w:tc>
      </w:tr>
      <w:tr>
        <w:tc>
          <w:tcPr>
            <w:tcW w:type="dxa" w:w="3041"/>
          </w:tcPr>
          <w:p>
            <w:r>
              <w:rPr>
                <w:rFonts w:ascii="Calibri" w:hAnsi="Calibri"/>
                <w:sz w:val="18"/>
              </w:rPr>
              <w:t>Parking base (313 días normales)</w:t>
            </w:r>
          </w:p>
        </w:tc>
        <w:tc>
          <w:tcPr>
            <w:tcW w:type="dxa" w:w="3041"/>
          </w:tcPr>
          <w:p>
            <w:r>
              <w:rPr>
                <w:rFonts w:ascii="Calibri" w:hAnsi="Calibri"/>
                <w:sz w:val="18"/>
              </w:rPr>
              <w:t>1,100 × 45% × 14 hrs × $5,000 × 313</w:t>
            </w:r>
          </w:p>
        </w:tc>
        <w:tc>
          <w:tcPr>
            <w:tcW w:type="dxa" w:w="3041"/>
          </w:tcPr>
          <w:p>
            <w:r>
              <w:rPr>
                <w:rFonts w:ascii="Calibri" w:hAnsi="Calibri"/>
                <w:sz w:val="18"/>
              </w:rPr>
              <w:t>$10,842,150,000</w:t>
            </w:r>
          </w:p>
        </w:tc>
      </w:tr>
      <w:tr>
        <w:tc>
          <w:tcPr>
            <w:tcW w:type="dxa" w:w="3041"/>
          </w:tcPr>
          <w:p>
            <w:r>
              <w:rPr>
                <w:rFonts w:ascii="Calibri" w:hAnsi="Calibri"/>
                <w:sz w:val="18"/>
              </w:rPr>
              <w:t>Parking eventos (52 días)</w:t>
            </w:r>
          </w:p>
        </w:tc>
        <w:tc>
          <w:tcPr>
            <w:tcW w:type="dxa" w:w="3041"/>
          </w:tcPr>
          <w:p>
            <w:r>
              <w:rPr>
                <w:rFonts w:ascii="Calibri" w:hAnsi="Calibri"/>
                <w:sz w:val="18"/>
              </w:rPr>
              <w:t>1,100 × 85% × $35,000 × 52</w:t>
            </w:r>
          </w:p>
        </w:tc>
        <w:tc>
          <w:tcPr>
            <w:tcW w:type="dxa" w:w="3041"/>
          </w:tcPr>
          <w:p>
            <w:r>
              <w:rPr>
                <w:rFonts w:ascii="Calibri" w:hAnsi="Calibri"/>
                <w:sz w:val="18"/>
              </w:rPr>
              <w:t>$1,701,700,000</w:t>
            </w:r>
          </w:p>
        </w:tc>
      </w:tr>
      <w:tr>
        <w:tc>
          <w:tcPr>
            <w:tcW w:type="dxa" w:w="3041"/>
          </w:tcPr>
          <w:p>
            <w:r>
              <w:rPr>
                <w:rFonts w:ascii="Calibri" w:hAnsi="Calibri"/>
                <w:sz w:val="18"/>
              </w:rPr>
              <w:t>Pases mensuales</w:t>
            </w:r>
          </w:p>
        </w:tc>
        <w:tc>
          <w:tcPr>
            <w:tcW w:type="dxa" w:w="3041"/>
          </w:tcPr>
          <w:p>
            <w:r>
              <w:rPr>
                <w:rFonts w:ascii="Calibri" w:hAnsi="Calibri"/>
                <w:sz w:val="18"/>
              </w:rPr>
              <w:t>40 slots × $400,000 × 12 meses</w:t>
            </w:r>
          </w:p>
        </w:tc>
        <w:tc>
          <w:tcPr>
            <w:tcW w:type="dxa" w:w="3041"/>
          </w:tcPr>
          <w:p>
            <w:r>
              <w:rPr>
                <w:rFonts w:ascii="Calibri" w:hAnsi="Calibri"/>
                <w:sz w:val="18"/>
              </w:rPr>
              <w:t>$192,000,000</w:t>
            </w:r>
          </w:p>
        </w:tc>
      </w:tr>
      <w:tr>
        <w:tc>
          <w:tcPr>
            <w:tcW w:type="dxa" w:w="3041"/>
          </w:tcPr>
          <w:p>
            <w:r>
              <w:rPr>
                <w:rFonts w:ascii="Calibri" w:hAnsi="Calibri"/>
                <w:sz w:val="18"/>
              </w:rPr>
              <w:t>Valet parking</w:t>
            </w:r>
          </w:p>
        </w:tc>
        <w:tc>
          <w:tcPr>
            <w:tcW w:type="dxa" w:w="3041"/>
          </w:tcPr>
          <w:p>
            <w:r>
              <w:rPr>
                <w:rFonts w:ascii="Calibri" w:hAnsi="Calibri"/>
                <w:sz w:val="18"/>
              </w:rPr>
              <w:t>30 eventos × 150 servicios × $15,000</w:t>
            </w:r>
          </w:p>
        </w:tc>
        <w:tc>
          <w:tcPr>
            <w:tcW w:type="dxa" w:w="3041"/>
          </w:tcPr>
          <w:p>
            <w:r>
              <w:rPr>
                <w:rFonts w:ascii="Calibri" w:hAnsi="Calibri"/>
                <w:sz w:val="18"/>
              </w:rPr>
              <w:t>$67,500,000</w:t>
            </w:r>
          </w:p>
        </w:tc>
      </w:tr>
      <w:tr>
        <w:tc>
          <w:tcPr>
            <w:tcW w:type="dxa" w:w="3041"/>
          </w:tcPr>
          <w:p>
            <w:r>
              <w:rPr>
                <w:rFonts w:ascii="Calibri" w:hAnsi="Calibri"/>
                <w:sz w:val="18"/>
              </w:rPr>
              <w:t>Renta comercial</w:t>
            </w:r>
          </w:p>
        </w:tc>
        <w:tc>
          <w:tcPr>
            <w:tcW w:type="dxa" w:w="3041"/>
          </w:tcPr>
          <w:p>
            <w:r>
              <w:rPr>
                <w:rFonts w:ascii="Calibri" w:hAnsi="Calibri"/>
                <w:sz w:val="18"/>
              </w:rPr>
              <w:t>2,000 m² × 85% × $90,000 × 12 meses</w:t>
            </w:r>
          </w:p>
        </w:tc>
        <w:tc>
          <w:tcPr>
            <w:tcW w:type="dxa" w:w="3041"/>
          </w:tcPr>
          <w:p>
            <w:r>
              <w:rPr>
                <w:rFonts w:ascii="Calibri" w:hAnsi="Calibri"/>
                <w:sz w:val="18"/>
              </w:rPr>
              <w:t>$1,836,000,000</w:t>
            </w:r>
          </w:p>
        </w:tc>
      </w:tr>
      <w:tr>
        <w:tc>
          <w:tcPr>
            <w:tcW w:type="dxa" w:w="3041"/>
          </w:tcPr>
          <w:p>
            <w:r>
              <w:rPr>
                <w:rFonts w:ascii="Calibri" w:hAnsi="Calibri"/>
                <w:sz w:val="18"/>
              </w:rPr>
              <w:t>Ingreso Bruto Anual</w:t>
            </w:r>
          </w:p>
        </w:tc>
        <w:tc>
          <w:tcPr>
            <w:tcW w:type="dxa" w:w="3041"/>
          </w:tcPr>
          <w:p>
            <w:r>
              <w:rPr>
                <w:rFonts w:ascii="Calibri" w:hAnsi="Calibri"/>
                <w:sz w:val="18"/>
              </w:rPr>
            </w:r>
          </w:p>
        </w:tc>
        <w:tc>
          <w:tcPr>
            <w:tcW w:type="dxa" w:w="3041"/>
          </w:tcPr>
          <w:p>
            <w:r>
              <w:rPr>
                <w:rFonts w:ascii="Calibri" w:hAnsi="Calibri"/>
                <w:sz w:val="18"/>
              </w:rPr>
              <w:t>$14,639,350,000</w:t>
            </w:r>
          </w:p>
        </w:tc>
      </w:tr>
      <w:tr>
        <w:tc>
          <w:tcPr>
            <w:tcW w:type="dxa" w:w="3041"/>
          </w:tcPr>
          <w:p>
            <w:r>
              <w:rPr>
                <w:rFonts w:ascii="Calibri" w:hAnsi="Calibri"/>
                <w:sz w:val="18"/>
              </w:rPr>
              <w:t>Costos operativos (30%)</w:t>
            </w:r>
          </w:p>
        </w:tc>
        <w:tc>
          <w:tcPr>
            <w:tcW w:type="dxa" w:w="3041"/>
          </w:tcPr>
          <w:p>
            <w:r>
              <w:rPr>
                <w:rFonts w:ascii="Calibri" w:hAnsi="Calibri"/>
                <w:sz w:val="18"/>
              </w:rPr>
            </w:r>
          </w:p>
        </w:tc>
        <w:tc>
          <w:tcPr>
            <w:tcW w:type="dxa" w:w="3041"/>
          </w:tcPr>
          <w:p>
            <w:r>
              <w:rPr>
                <w:rFonts w:ascii="Calibri" w:hAnsi="Calibri"/>
                <w:sz w:val="18"/>
              </w:rPr>
              <w:t>-$4,391,805,000</w:t>
            </w:r>
          </w:p>
        </w:tc>
      </w:tr>
      <w:tr>
        <w:tc>
          <w:tcPr>
            <w:tcW w:type="dxa" w:w="3041"/>
          </w:tcPr>
          <w:p>
            <w:r>
              <w:rPr>
                <w:rFonts w:ascii="Calibri" w:hAnsi="Calibri"/>
                <w:sz w:val="18"/>
              </w:rPr>
              <w:t>Ingreso Neto Operacional</w:t>
            </w:r>
          </w:p>
        </w:tc>
        <w:tc>
          <w:tcPr>
            <w:tcW w:type="dxa" w:w="3041"/>
          </w:tcPr>
          <w:p>
            <w:r>
              <w:rPr>
                <w:rFonts w:ascii="Calibri" w:hAnsi="Calibri"/>
                <w:sz w:val="18"/>
              </w:rPr>
            </w:r>
          </w:p>
        </w:tc>
        <w:tc>
          <w:tcPr>
            <w:tcW w:type="dxa" w:w="3041"/>
          </w:tcPr>
          <w:p>
            <w:r>
              <w:rPr>
                <w:rFonts w:ascii="Calibri" w:hAnsi="Calibri"/>
                <w:sz w:val="18"/>
              </w:rPr>
              <w:t>$10,247,545,000</w:t>
            </w:r>
          </w:p>
        </w:tc>
      </w:tr>
    </w:tbl>
    <w:p/>
    <w:p>
      <w:pPr>
        <w:pStyle w:val="Heading2"/>
      </w:pPr>
      <w:r>
        <w:t>6.4 Estructura de Financiamiento Indicativa</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r>
              <w:rPr>
                <w:rFonts w:ascii="Calibri" w:hAnsi="Calibri"/>
                <w:b/>
                <w:sz w:val="18"/>
              </w:rPr>
              <w:t>Componente</w:t>
            </w:r>
          </w:p>
        </w:tc>
        <w:tc>
          <w:tcPr>
            <w:tcW w:type="dxa" w:w="3041"/>
          </w:tcPr>
          <w:p>
            <w:r>
              <w:rPr>
                <w:rFonts w:ascii="Calibri" w:hAnsi="Calibri"/>
                <w:b/>
                <w:sz w:val="18"/>
              </w:rPr>
              <w:t>%</w:t>
            </w:r>
          </w:p>
        </w:tc>
        <w:tc>
          <w:tcPr>
            <w:tcW w:type="dxa" w:w="3041"/>
          </w:tcPr>
          <w:p>
            <w:r>
              <w:rPr>
                <w:rFonts w:ascii="Calibri" w:hAnsi="Calibri"/>
                <w:b/>
                <w:sz w:val="18"/>
              </w:rPr>
              <w:t>Monto COP</w:t>
            </w:r>
          </w:p>
        </w:tc>
      </w:tr>
      <w:tr>
        <w:tc>
          <w:tcPr>
            <w:tcW w:type="dxa" w:w="3041"/>
          </w:tcPr>
          <w:p>
            <w:r>
              <w:rPr>
                <w:rFonts w:ascii="Calibri" w:hAnsi="Calibri"/>
                <w:sz w:val="18"/>
              </w:rPr>
              <w:t>Capital propio (equity)</w:t>
            </w:r>
          </w:p>
        </w:tc>
        <w:tc>
          <w:tcPr>
            <w:tcW w:type="dxa" w:w="3041"/>
          </w:tcPr>
          <w:p>
            <w:r>
              <w:rPr>
                <w:rFonts w:ascii="Calibri" w:hAnsi="Calibri"/>
                <w:sz w:val="18"/>
              </w:rPr>
              <w:t>30%</w:t>
            </w:r>
          </w:p>
        </w:tc>
        <w:tc>
          <w:tcPr>
            <w:tcW w:type="dxa" w:w="3041"/>
          </w:tcPr>
          <w:p>
            <w:r>
              <w:rPr>
                <w:rFonts w:ascii="Calibri" w:hAnsi="Calibri"/>
                <w:sz w:val="18"/>
              </w:rPr>
              <w:t>$29,452,500,000</w:t>
            </w:r>
          </w:p>
        </w:tc>
      </w:tr>
      <w:tr>
        <w:tc>
          <w:tcPr>
            <w:tcW w:type="dxa" w:w="3041"/>
          </w:tcPr>
          <w:p>
            <w:r>
              <w:rPr>
                <w:rFonts w:ascii="Calibri" w:hAnsi="Calibri"/>
                <w:sz w:val="18"/>
              </w:rPr>
              <w:t>Deuda senior (banca comercial/FDN)</w:t>
            </w:r>
          </w:p>
        </w:tc>
        <w:tc>
          <w:tcPr>
            <w:tcW w:type="dxa" w:w="3041"/>
          </w:tcPr>
          <w:p>
            <w:r>
              <w:rPr>
                <w:rFonts w:ascii="Calibri" w:hAnsi="Calibri"/>
                <w:sz w:val="18"/>
              </w:rPr>
              <w:t>70%</w:t>
            </w:r>
          </w:p>
        </w:tc>
        <w:tc>
          <w:tcPr>
            <w:tcW w:type="dxa" w:w="3041"/>
          </w:tcPr>
          <w:p>
            <w:r>
              <w:rPr>
                <w:rFonts w:ascii="Calibri" w:hAnsi="Calibri"/>
                <w:sz w:val="18"/>
              </w:rPr>
              <w:t>$68,722,500,000</w:t>
            </w:r>
          </w:p>
        </w:tc>
      </w:tr>
      <w:tr>
        <w:tc>
          <w:tcPr>
            <w:tcW w:type="dxa" w:w="3041"/>
          </w:tcPr>
          <w:p>
            <w:r>
              <w:rPr>
                <w:rFonts w:ascii="Calibri" w:hAnsi="Calibri"/>
                <w:sz w:val="18"/>
              </w:rPr>
              <w:t>Total</w:t>
            </w:r>
          </w:p>
        </w:tc>
        <w:tc>
          <w:tcPr>
            <w:tcW w:type="dxa" w:w="3041"/>
          </w:tcPr>
          <w:p>
            <w:r>
              <w:rPr>
                <w:rFonts w:ascii="Calibri" w:hAnsi="Calibri"/>
                <w:sz w:val="18"/>
              </w:rPr>
              <w:t>100%</w:t>
            </w:r>
          </w:p>
        </w:tc>
        <w:tc>
          <w:tcPr>
            <w:tcW w:type="dxa" w:w="3041"/>
          </w:tcPr>
          <w:p>
            <w:r>
              <w:rPr>
                <w:rFonts w:ascii="Calibri" w:hAnsi="Calibri"/>
                <w:sz w:val="18"/>
              </w:rPr>
              <w:t>$98,175,000,000</w:t>
            </w:r>
          </w:p>
        </w:tc>
      </w:tr>
    </w:tbl>
    <w:p/>
    <w:p>
      <w:r/>
      <w:r>
        <w:rPr>
          <w:b/>
        </w:rPr>
        <w:t>Condiciones indicativas de deuda:</w:t>
      </w:r>
      <w:r/>
    </w:p>
    <w:p>
      <w:pPr>
        <w:pStyle w:val="ListBullet"/>
      </w:pPr>
      <w:r>
        <w:t>Tasa estimada: IBR + 350-450 bps → ~13-14% EA</w:t>
      </w:r>
    </w:p>
    <w:p>
      <w:pPr>
        <w:pStyle w:val="ListBullet"/>
      </w:pPr>
      <w:r>
        <w:t>Plazo: 12-15 años con período de gracia de 2-3 años (fase de construcción)</w:t>
      </w:r>
    </w:p>
    <w:p>
      <w:pPr>
        <w:pStyle w:val="ListBullet"/>
      </w:pPr>
      <w:r>
        <w:t>DSCR mínimo requerido: 1.3x</w:t>
      </w:r>
    </w:p>
    <w:p>
      <w:pPr>
        <w:pStyle w:val="ListBullet"/>
      </w:pPr>
      <w:r>
        <w:t>Entidades potenciales: FDN (Financiera de Desarrollo Nacional), Bancolombia, Davivienda</w:t>
      </w:r>
    </w:p>
    <w:p>
      <w:pPr>
        <w:pStyle w:val="Heading2"/>
      </w:pPr>
      <w:r>
        <w:t>6.5 Indicadores Financieros Preliminares</w:t>
      </w:r>
    </w:p>
    <w:tbl>
      <w:tblPr>
        <w:tblStyle w:val="LightGrid-Accent1"/>
        <w:tblW w:type="auto" w:w="0"/>
        <w:jc w:val="center"/>
        <w:tblLook w:firstColumn="1" w:firstRow="1" w:lastColumn="0" w:lastRow="0" w:noHBand="0" w:noVBand="1" w:val="04A0"/>
      </w:tblPr>
      <w:tblGrid>
        <w:gridCol w:w="4561"/>
        <w:gridCol w:w="4561"/>
      </w:tblGrid>
      <w:tr>
        <w:tc>
          <w:tcPr>
            <w:tcW w:type="dxa" w:w="4561"/>
          </w:tcPr>
          <w:p>
            <w:r>
              <w:rPr>
                <w:rFonts w:ascii="Calibri" w:hAnsi="Calibri"/>
                <w:b/>
                <w:sz w:val="18"/>
              </w:rPr>
              <w:t>Indicador</w:t>
            </w:r>
          </w:p>
        </w:tc>
        <w:tc>
          <w:tcPr>
            <w:tcW w:type="dxa" w:w="4561"/>
          </w:tcPr>
          <w:p>
            <w:r>
              <w:rPr>
                <w:rFonts w:ascii="Calibri" w:hAnsi="Calibri"/>
                <w:b/>
                <w:sz w:val="18"/>
              </w:rPr>
              <w:t>Valor</w:t>
            </w:r>
          </w:p>
        </w:tc>
      </w:tr>
      <w:tr>
        <w:tc>
          <w:tcPr>
            <w:tcW w:type="dxa" w:w="4561"/>
          </w:tcPr>
          <w:p>
            <w:r>
              <w:rPr>
                <w:rFonts w:ascii="Calibri" w:hAnsi="Calibri"/>
                <w:sz w:val="18"/>
              </w:rPr>
              <w:t>Ingreso neto operacional anual</w:t>
            </w:r>
          </w:p>
        </w:tc>
        <w:tc>
          <w:tcPr>
            <w:tcW w:type="dxa" w:w="4561"/>
          </w:tcPr>
          <w:p>
            <w:r>
              <w:rPr>
                <w:rFonts w:ascii="Calibri" w:hAnsi="Calibri"/>
                <w:sz w:val="18"/>
              </w:rPr>
              <w:t>$10,248M COP</w:t>
            </w:r>
          </w:p>
        </w:tc>
      </w:tr>
      <w:tr>
        <w:tc>
          <w:tcPr>
            <w:tcW w:type="dxa" w:w="4561"/>
          </w:tcPr>
          <w:p>
            <w:r>
              <w:rPr>
                <w:rFonts w:ascii="Calibri" w:hAnsi="Calibri"/>
                <w:sz w:val="18"/>
              </w:rPr>
              <w:t>CAPEX total</w:t>
            </w:r>
          </w:p>
        </w:tc>
        <w:tc>
          <w:tcPr>
            <w:tcW w:type="dxa" w:w="4561"/>
          </w:tcPr>
          <w:p>
            <w:r>
              <w:rPr>
                <w:rFonts w:ascii="Calibri" w:hAnsi="Calibri"/>
                <w:sz w:val="18"/>
              </w:rPr>
              <w:t>$98,175M COP</w:t>
            </w:r>
          </w:p>
        </w:tc>
      </w:tr>
      <w:tr>
        <w:tc>
          <w:tcPr>
            <w:tcW w:type="dxa" w:w="4561"/>
          </w:tcPr>
          <w:p>
            <w:r>
              <w:rPr>
                <w:rFonts w:ascii="Calibri" w:hAnsi="Calibri"/>
                <w:sz w:val="18"/>
              </w:rPr>
              <w:t>Payback simple</w:t>
            </w:r>
          </w:p>
        </w:tc>
        <w:tc>
          <w:tcPr>
            <w:tcW w:type="dxa" w:w="4561"/>
          </w:tcPr>
          <w:p>
            <w:r>
              <w:rPr>
                <w:rFonts w:ascii="Calibri" w:hAnsi="Calibri"/>
                <w:sz w:val="18"/>
              </w:rPr>
              <w:t>~9.6 años</w:t>
            </w:r>
          </w:p>
        </w:tc>
      </w:tr>
      <w:tr>
        <w:tc>
          <w:tcPr>
            <w:tcW w:type="dxa" w:w="4561"/>
          </w:tcPr>
          <w:p>
            <w:r>
              <w:rPr>
                <w:rFonts w:ascii="Calibri" w:hAnsi="Calibri"/>
                <w:sz w:val="18"/>
              </w:rPr>
              <w:t>Horizonte del contrato</w:t>
            </w:r>
          </w:p>
        </w:tc>
        <w:tc>
          <w:tcPr>
            <w:tcW w:type="dxa" w:w="4561"/>
          </w:tcPr>
          <w:p>
            <w:r>
              <w:rPr>
                <w:rFonts w:ascii="Calibri" w:hAnsi="Calibri"/>
                <w:sz w:val="18"/>
              </w:rPr>
              <w:t>25 años</w:t>
            </w:r>
          </w:p>
        </w:tc>
      </w:tr>
      <w:tr>
        <w:tc>
          <w:tcPr>
            <w:tcW w:type="dxa" w:w="4561"/>
          </w:tcPr>
          <w:p>
            <w:r>
              <w:rPr>
                <w:rFonts w:ascii="Calibri" w:hAnsi="Calibri"/>
                <w:sz w:val="18"/>
              </w:rPr>
              <w:t>TIR proyecto estimada (antes de deuda)</w:t>
            </w:r>
          </w:p>
        </w:tc>
        <w:tc>
          <w:tcPr>
            <w:tcW w:type="dxa" w:w="4561"/>
          </w:tcPr>
          <w:p>
            <w:r>
              <w:rPr>
                <w:rFonts w:ascii="Calibri" w:hAnsi="Calibri"/>
                <w:sz w:val="18"/>
              </w:rPr>
              <w:t>~10-12% real</w:t>
            </w:r>
          </w:p>
        </w:tc>
      </w:tr>
      <w:tr>
        <w:tc>
          <w:tcPr>
            <w:tcW w:type="dxa" w:w="4561"/>
          </w:tcPr>
          <w:p>
            <w:r>
              <w:rPr>
                <w:rFonts w:ascii="Calibri" w:hAnsi="Calibri"/>
                <w:sz w:val="18"/>
              </w:rPr>
              <w:t>Equity IRR estimada</w:t>
            </w:r>
          </w:p>
        </w:tc>
        <w:tc>
          <w:tcPr>
            <w:tcW w:type="dxa" w:w="4561"/>
          </w:tcPr>
          <w:p>
            <w:r>
              <w:rPr>
                <w:rFonts w:ascii="Calibri" w:hAnsi="Calibri"/>
                <w:sz w:val="18"/>
              </w:rPr>
              <w:t>~14-18% real</w:t>
            </w:r>
          </w:p>
        </w:tc>
      </w:tr>
      <w:tr>
        <w:tc>
          <w:tcPr>
            <w:tcW w:type="dxa" w:w="4561"/>
          </w:tcPr>
          <w:p>
            <w:r>
              <w:rPr>
                <w:rFonts w:ascii="Calibri" w:hAnsi="Calibri"/>
                <w:sz w:val="18"/>
              </w:rPr>
              <w:t>VPN (tasa 12%, 25 años)</w:t>
            </w:r>
          </w:p>
        </w:tc>
        <w:tc>
          <w:tcPr>
            <w:tcW w:type="dxa" w:w="4561"/>
          </w:tcPr>
          <w:p>
            <w:r>
              <w:rPr>
                <w:rFonts w:ascii="Calibri" w:hAnsi="Calibri"/>
                <w:sz w:val="18"/>
              </w:rPr>
              <w:t>Positivo (detalle en factibilidad)</w:t>
            </w:r>
          </w:p>
        </w:tc>
      </w:tr>
      <w:tr>
        <w:tc>
          <w:tcPr>
            <w:tcW w:type="dxa" w:w="4561"/>
          </w:tcPr>
          <w:p>
            <w:r>
              <w:rPr>
                <w:rFonts w:ascii="Calibri" w:hAnsi="Calibri"/>
                <w:sz w:val="18"/>
              </w:rPr>
              <w:t>DSCR promedio estimado</w:t>
            </w:r>
          </w:p>
        </w:tc>
        <w:tc>
          <w:tcPr>
            <w:tcW w:type="dxa" w:w="4561"/>
          </w:tcPr>
          <w:p>
            <w:r>
              <w:rPr>
                <w:rFonts w:ascii="Calibri" w:hAnsi="Calibri"/>
                <w:sz w:val="18"/>
              </w:rPr>
              <w:t>~1.5-1.8x</w:t>
            </w:r>
          </w:p>
        </w:tc>
      </w:tr>
    </w:tbl>
    <w:p/>
    <w:p>
      <w:r>
        <w:t>Los indicadores financieros presentados son estimaciones preliminares calculadas bajo supuestos conservadores. El modelo financiero detallado, con proyecciones anuales, análisis de sensibilidad multivariable y flujos de caja descontados se desarrollará en la etapa de factibilidad, conforme al numeral 4.1 del artículo 2.2.2.1.5.5 del Decreto 1082 de 2015.</w:t>
      </w:r>
    </w:p>
    <w:p>
      <w:pPr>
        <w:pStyle w:val="Heading2"/>
      </w:pPr>
      <w:r>
        <w:t>6.6 Análisis de Sensibilidad Preliminar</w:t>
      </w:r>
    </w:p>
    <w:tbl>
      <w:tblPr>
        <w:tblStyle w:val="LightGrid-Accent1"/>
        <w:tblW w:type="auto" w:w="0"/>
        <w:jc w:val="center"/>
        <w:tblLook w:firstColumn="1" w:firstRow="1" w:lastColumn="0" w:lastRow="0" w:noHBand="0" w:noVBand="1" w:val="04A0"/>
      </w:tblPr>
      <w:tblGrid>
        <w:gridCol w:w="1520"/>
        <w:gridCol w:w="1520"/>
        <w:gridCol w:w="1520"/>
        <w:gridCol w:w="1520"/>
        <w:gridCol w:w="1520"/>
        <w:gridCol w:w="1520"/>
      </w:tblGrid>
      <w:tr>
        <w:tc>
          <w:tcPr>
            <w:tcW w:type="dxa" w:w="1520"/>
          </w:tcPr>
          <w:p>
            <w:r>
              <w:rPr>
                <w:rFonts w:ascii="Calibri" w:hAnsi="Calibri"/>
                <w:b/>
                <w:sz w:val="18"/>
              </w:rPr>
              <w:t>Escenario</w:t>
            </w:r>
          </w:p>
        </w:tc>
        <w:tc>
          <w:tcPr>
            <w:tcW w:type="dxa" w:w="1520"/>
          </w:tcPr>
          <w:p>
            <w:r>
              <w:rPr>
                <w:rFonts w:ascii="Calibri" w:hAnsi="Calibri"/>
                <w:b/>
                <w:sz w:val="18"/>
              </w:rPr>
              <w:t>Ocupación</w:t>
            </w:r>
          </w:p>
        </w:tc>
        <w:tc>
          <w:tcPr>
            <w:tcW w:type="dxa" w:w="1520"/>
          </w:tcPr>
          <w:p>
            <w:r>
              <w:rPr>
                <w:rFonts w:ascii="Calibri" w:hAnsi="Calibri"/>
                <w:b/>
                <w:sz w:val="18"/>
              </w:rPr>
              <w:t>Tarifa evento</w:t>
            </w:r>
          </w:p>
        </w:tc>
        <w:tc>
          <w:tcPr>
            <w:tcW w:type="dxa" w:w="1520"/>
          </w:tcPr>
          <w:p>
            <w:r>
              <w:rPr>
                <w:rFonts w:ascii="Calibri" w:hAnsi="Calibri"/>
                <w:b/>
                <w:sz w:val="18"/>
              </w:rPr>
              <w:t>Eventos/año</w:t>
            </w:r>
          </w:p>
        </w:tc>
        <w:tc>
          <w:tcPr>
            <w:tcW w:type="dxa" w:w="1520"/>
          </w:tcPr>
          <w:p>
            <w:r>
              <w:rPr>
                <w:rFonts w:ascii="Calibri" w:hAnsi="Calibri"/>
                <w:b/>
                <w:sz w:val="18"/>
              </w:rPr>
              <w:t>Ingreso neto</w:t>
            </w:r>
          </w:p>
        </w:tc>
        <w:tc>
          <w:tcPr>
            <w:tcW w:type="dxa" w:w="1520"/>
          </w:tcPr>
          <w:p>
            <w:r>
              <w:rPr>
                <w:rFonts w:ascii="Calibri" w:hAnsi="Calibri"/>
                <w:b/>
                <w:sz w:val="18"/>
              </w:rPr>
              <w:t>Payback</w:t>
            </w:r>
          </w:p>
        </w:tc>
      </w:tr>
      <w:tr>
        <w:tc>
          <w:tcPr>
            <w:tcW w:type="dxa" w:w="1520"/>
          </w:tcPr>
          <w:p>
            <w:r>
              <w:rPr>
                <w:rFonts w:ascii="Calibri" w:hAnsi="Calibri"/>
                <w:sz w:val="18"/>
              </w:rPr>
              <w:t>Pesimista</w:t>
            </w:r>
          </w:p>
        </w:tc>
        <w:tc>
          <w:tcPr>
            <w:tcW w:type="dxa" w:w="1520"/>
          </w:tcPr>
          <w:p>
            <w:r>
              <w:rPr>
                <w:rFonts w:ascii="Calibri" w:hAnsi="Calibri"/>
                <w:sz w:val="18"/>
              </w:rPr>
              <w:t>35%</w:t>
            </w:r>
          </w:p>
        </w:tc>
        <w:tc>
          <w:tcPr>
            <w:tcW w:type="dxa" w:w="1520"/>
          </w:tcPr>
          <w:p>
            <w:r>
              <w:rPr>
                <w:rFonts w:ascii="Calibri" w:hAnsi="Calibri"/>
                <w:sz w:val="18"/>
              </w:rPr>
              <w:t>$27,000/día</w:t>
            </w:r>
          </w:p>
        </w:tc>
        <w:tc>
          <w:tcPr>
            <w:tcW w:type="dxa" w:w="1520"/>
          </w:tcPr>
          <w:p>
            <w:r>
              <w:rPr>
                <w:rFonts w:ascii="Calibri" w:hAnsi="Calibri"/>
                <w:sz w:val="18"/>
              </w:rPr>
              <w:t>40</w:t>
            </w:r>
          </w:p>
        </w:tc>
        <w:tc>
          <w:tcPr>
            <w:tcW w:type="dxa" w:w="1520"/>
          </w:tcPr>
          <w:p>
            <w:r>
              <w:rPr>
                <w:rFonts w:ascii="Calibri" w:hAnsi="Calibri"/>
                <w:sz w:val="18"/>
              </w:rPr>
              <w:t>$7,439M</w:t>
            </w:r>
          </w:p>
        </w:tc>
        <w:tc>
          <w:tcPr>
            <w:tcW w:type="dxa" w:w="1520"/>
          </w:tcPr>
          <w:p>
            <w:r>
              <w:rPr>
                <w:rFonts w:ascii="Calibri" w:hAnsi="Calibri"/>
                <w:sz w:val="18"/>
              </w:rPr>
              <w:t>13.2 años</w:t>
            </w:r>
          </w:p>
        </w:tc>
      </w:tr>
      <w:tr>
        <w:tc>
          <w:tcPr>
            <w:tcW w:type="dxa" w:w="1520"/>
          </w:tcPr>
          <w:p>
            <w:r>
              <w:rPr>
                <w:rFonts w:ascii="Calibri" w:hAnsi="Calibri"/>
                <w:sz w:val="18"/>
              </w:rPr>
              <w:t>Base</w:t>
            </w:r>
          </w:p>
        </w:tc>
        <w:tc>
          <w:tcPr>
            <w:tcW w:type="dxa" w:w="1520"/>
          </w:tcPr>
          <w:p>
            <w:r>
              <w:rPr>
                <w:rFonts w:ascii="Calibri" w:hAnsi="Calibri"/>
                <w:sz w:val="18"/>
              </w:rPr>
              <w:t>45%</w:t>
            </w:r>
          </w:p>
        </w:tc>
        <w:tc>
          <w:tcPr>
            <w:tcW w:type="dxa" w:w="1520"/>
          </w:tcPr>
          <w:p>
            <w:r>
              <w:rPr>
                <w:rFonts w:ascii="Calibri" w:hAnsi="Calibri"/>
                <w:sz w:val="18"/>
              </w:rPr>
              <w:t>$35,000/día</w:t>
            </w:r>
          </w:p>
        </w:tc>
        <w:tc>
          <w:tcPr>
            <w:tcW w:type="dxa" w:w="1520"/>
          </w:tcPr>
          <w:p>
            <w:r>
              <w:rPr>
                <w:rFonts w:ascii="Calibri" w:hAnsi="Calibri"/>
                <w:sz w:val="18"/>
              </w:rPr>
              <w:t>52</w:t>
            </w:r>
          </w:p>
        </w:tc>
        <w:tc>
          <w:tcPr>
            <w:tcW w:type="dxa" w:w="1520"/>
          </w:tcPr>
          <w:p>
            <w:r>
              <w:rPr>
                <w:rFonts w:ascii="Calibri" w:hAnsi="Calibri"/>
                <w:sz w:val="18"/>
              </w:rPr>
              <w:t>$10,248M</w:t>
            </w:r>
          </w:p>
        </w:tc>
        <w:tc>
          <w:tcPr>
            <w:tcW w:type="dxa" w:w="1520"/>
          </w:tcPr>
          <w:p>
            <w:r>
              <w:rPr>
                <w:rFonts w:ascii="Calibri" w:hAnsi="Calibri"/>
                <w:sz w:val="18"/>
              </w:rPr>
              <w:t>9.6 años</w:t>
            </w:r>
          </w:p>
        </w:tc>
      </w:tr>
      <w:tr>
        <w:tc>
          <w:tcPr>
            <w:tcW w:type="dxa" w:w="1520"/>
          </w:tcPr>
          <w:p>
            <w:r>
              <w:rPr>
                <w:rFonts w:ascii="Calibri" w:hAnsi="Calibri"/>
                <w:sz w:val="18"/>
              </w:rPr>
              <w:t>Optimista</w:t>
            </w:r>
          </w:p>
        </w:tc>
        <w:tc>
          <w:tcPr>
            <w:tcW w:type="dxa" w:w="1520"/>
          </w:tcPr>
          <w:p>
            <w:r>
              <w:rPr>
                <w:rFonts w:ascii="Calibri" w:hAnsi="Calibri"/>
                <w:sz w:val="18"/>
              </w:rPr>
              <w:t>55%</w:t>
            </w:r>
          </w:p>
        </w:tc>
        <w:tc>
          <w:tcPr>
            <w:tcW w:type="dxa" w:w="1520"/>
          </w:tcPr>
          <w:p>
            <w:r>
              <w:rPr>
                <w:rFonts w:ascii="Calibri" w:hAnsi="Calibri"/>
                <w:sz w:val="18"/>
              </w:rPr>
              <w:t>$40,000/día</w:t>
            </w:r>
          </w:p>
        </w:tc>
        <w:tc>
          <w:tcPr>
            <w:tcW w:type="dxa" w:w="1520"/>
          </w:tcPr>
          <w:p>
            <w:r>
              <w:rPr>
                <w:rFonts w:ascii="Calibri" w:hAnsi="Calibri"/>
                <w:sz w:val="18"/>
              </w:rPr>
              <w:t>70</w:t>
            </w:r>
          </w:p>
        </w:tc>
        <w:tc>
          <w:tcPr>
            <w:tcW w:type="dxa" w:w="1520"/>
          </w:tcPr>
          <w:p>
            <w:r>
              <w:rPr>
                <w:rFonts w:ascii="Calibri" w:hAnsi="Calibri"/>
                <w:sz w:val="18"/>
              </w:rPr>
              <w:t>$13,422M</w:t>
            </w:r>
          </w:p>
        </w:tc>
        <w:tc>
          <w:tcPr>
            <w:tcW w:type="dxa" w:w="1520"/>
          </w:tcPr>
          <w:p>
            <w:r>
              <w:rPr>
                <w:rFonts w:ascii="Calibri" w:hAnsi="Calibri"/>
                <w:sz w:val="18"/>
              </w:rPr>
              <w:t>7.3 años</w:t>
            </w:r>
          </w:p>
        </w:tc>
      </w:tr>
    </w:tbl>
    <w:p/>
    <w:p>
      <w:pPr>
        <w:pStyle w:val="Heading1"/>
      </w:pPr>
      <w:r>
        <w:t>7. ANÁLISIS DE RIESGOS PRELIMINAR</w:t>
      </w:r>
    </w:p>
    <w:p>
      <w:pPr>
        <w:pStyle w:val="Heading2"/>
      </w:pPr>
      <w:r>
        <w:t>7.1 Marco Metodológico</w:t>
      </w:r>
    </w:p>
    <w:p>
      <w:r>
        <w:t>La identificación, tipificación, estimación y asignación de riesgos se realiza de conformidad con los lineamientos del documento CONPES 3714 de 2011 ("Del riesgo previsible en el marco de la política de contratación pública"), los criterios establecidos en la Ley 80 de 1993, la Ley 448 de 1998, la Ley 1150 de 2007 y los documentos CONPES que regulen la materia, conforme lo exige el parágrafo 2 del artículo 2.2.2.1.5.5 del Decreto 1082 de 2015.</w:t>
      </w:r>
    </w:p>
    <w:p>
      <w:pPr>
        <w:pStyle w:val="Heading2"/>
      </w:pPr>
      <w:r>
        <w:t>7.2 Matriz de Riesgos Preliminar</w:t>
      </w:r>
    </w:p>
    <w:tbl>
      <w:tblPr>
        <w:tblStyle w:val="LightGrid-Accent1"/>
        <w:tblW w:type="auto" w:w="0"/>
        <w:jc w:val="center"/>
        <w:tblLook w:firstColumn="1" w:firstRow="1" w:lastColumn="0" w:lastRow="0" w:noHBand="0" w:noVBand="1" w:val="04A0"/>
      </w:tblPr>
      <w:tblGrid>
        <w:gridCol w:w="1140"/>
        <w:gridCol w:w="1140"/>
        <w:gridCol w:w="1140"/>
        <w:gridCol w:w="1140"/>
        <w:gridCol w:w="1140"/>
        <w:gridCol w:w="1140"/>
        <w:gridCol w:w="1140"/>
        <w:gridCol w:w="1140"/>
      </w:tblGrid>
      <w:tr>
        <w:tc>
          <w:tcPr>
            <w:tcW w:type="dxa" w:w="1140"/>
          </w:tcPr>
          <w:p>
            <w:r>
              <w:rPr>
                <w:rFonts w:ascii="Calibri" w:hAnsi="Calibri"/>
                <w:b/>
                <w:sz w:val="18"/>
              </w:rPr>
              <w:t>#</w:t>
            </w:r>
          </w:p>
        </w:tc>
        <w:tc>
          <w:tcPr>
            <w:tcW w:type="dxa" w:w="1140"/>
          </w:tcPr>
          <w:p>
            <w:r>
              <w:rPr>
                <w:rFonts w:ascii="Calibri" w:hAnsi="Calibri"/>
                <w:b/>
                <w:sz w:val="18"/>
              </w:rPr>
              <w:t>Riesgo</w:t>
            </w:r>
          </w:p>
        </w:tc>
        <w:tc>
          <w:tcPr>
            <w:tcW w:type="dxa" w:w="1140"/>
          </w:tcPr>
          <w:p>
            <w:r>
              <w:rPr>
                <w:rFonts w:ascii="Calibri" w:hAnsi="Calibri"/>
                <w:b/>
                <w:sz w:val="18"/>
              </w:rPr>
              <w:t>Categoría</w:t>
            </w:r>
          </w:p>
        </w:tc>
        <w:tc>
          <w:tcPr>
            <w:tcW w:type="dxa" w:w="1140"/>
          </w:tcPr>
          <w:p>
            <w:r>
              <w:rPr>
                <w:rFonts w:ascii="Calibri" w:hAnsi="Calibri"/>
                <w:b/>
                <w:sz w:val="18"/>
              </w:rPr>
              <w:t>Prob. (1-5)</w:t>
            </w:r>
          </w:p>
        </w:tc>
        <w:tc>
          <w:tcPr>
            <w:tcW w:type="dxa" w:w="1140"/>
          </w:tcPr>
          <w:p>
            <w:r>
              <w:rPr>
                <w:rFonts w:ascii="Calibri" w:hAnsi="Calibri"/>
                <w:b/>
                <w:sz w:val="18"/>
              </w:rPr>
              <w:t>Impacto (1-5)</w:t>
            </w:r>
          </w:p>
        </w:tc>
        <w:tc>
          <w:tcPr>
            <w:tcW w:type="dxa" w:w="1140"/>
          </w:tcPr>
          <w:p>
            <w:r>
              <w:rPr>
                <w:rFonts w:ascii="Calibri" w:hAnsi="Calibri"/>
                <w:b/>
                <w:sz w:val="18"/>
              </w:rPr>
              <w:t>Severidad</w:t>
            </w:r>
          </w:p>
        </w:tc>
        <w:tc>
          <w:tcPr>
            <w:tcW w:type="dxa" w:w="1140"/>
          </w:tcPr>
          <w:p>
            <w:r>
              <w:rPr>
                <w:rFonts w:ascii="Calibri" w:hAnsi="Calibri"/>
                <w:b/>
                <w:sz w:val="18"/>
              </w:rPr>
              <w:t>Asignación</w:t>
            </w:r>
          </w:p>
        </w:tc>
        <w:tc>
          <w:tcPr>
            <w:tcW w:type="dxa" w:w="1140"/>
          </w:tcPr>
          <w:p>
            <w:r>
              <w:rPr>
                <w:rFonts w:ascii="Calibri" w:hAnsi="Calibri"/>
                <w:b/>
                <w:sz w:val="18"/>
              </w:rPr>
              <w:t>Mitigación propuesta</w:t>
            </w:r>
          </w:p>
        </w:tc>
      </w:tr>
      <w:tr>
        <w:tc>
          <w:tcPr>
            <w:tcW w:type="dxa" w:w="1140"/>
          </w:tcPr>
          <w:p>
            <w:r>
              <w:rPr>
                <w:rFonts w:ascii="Calibri" w:hAnsi="Calibri"/>
                <w:sz w:val="18"/>
              </w:rPr>
              <w:t>R1</w:t>
            </w:r>
          </w:p>
        </w:tc>
        <w:tc>
          <w:tcPr>
            <w:tcW w:type="dxa" w:w="1140"/>
          </w:tcPr>
          <w:p>
            <w:r>
              <w:rPr>
                <w:rFonts w:ascii="Calibri" w:hAnsi="Calibri"/>
                <w:sz w:val="18"/>
              </w:rPr>
              <w:t>Demanda menor a la proyectada</w:t>
            </w:r>
          </w:p>
        </w:tc>
        <w:tc>
          <w:tcPr>
            <w:tcW w:type="dxa" w:w="1140"/>
          </w:tcPr>
          <w:p>
            <w:r>
              <w:rPr>
                <w:rFonts w:ascii="Calibri" w:hAnsi="Calibri"/>
                <w:sz w:val="18"/>
              </w:rPr>
              <w:t>Comercial</w:t>
            </w:r>
          </w:p>
        </w:tc>
        <w:tc>
          <w:tcPr>
            <w:tcW w:type="dxa" w:w="1140"/>
          </w:tcPr>
          <w:p>
            <w:r>
              <w:rPr>
                <w:rFonts w:ascii="Calibri" w:hAnsi="Calibri"/>
                <w:sz w:val="18"/>
              </w:rPr>
              <w:t>3</w:t>
            </w:r>
          </w:p>
        </w:tc>
        <w:tc>
          <w:tcPr>
            <w:tcW w:type="dxa" w:w="1140"/>
          </w:tcPr>
          <w:p>
            <w:r>
              <w:rPr>
                <w:rFonts w:ascii="Calibri" w:hAnsi="Calibri"/>
                <w:sz w:val="18"/>
              </w:rPr>
              <w:t>5</w:t>
            </w:r>
          </w:p>
        </w:tc>
        <w:tc>
          <w:tcPr>
            <w:tcW w:type="dxa" w:w="1140"/>
          </w:tcPr>
          <w:p>
            <w:r>
              <w:rPr>
                <w:rFonts w:ascii="Calibri" w:hAnsi="Calibri"/>
                <w:sz w:val="18"/>
              </w:rPr>
              <w:t>15 — Alto</w:t>
            </w:r>
          </w:p>
        </w:tc>
        <w:tc>
          <w:tcPr>
            <w:tcW w:type="dxa" w:w="1140"/>
          </w:tcPr>
          <w:p>
            <w:r>
              <w:rPr>
                <w:rFonts w:ascii="Calibri" w:hAnsi="Calibri"/>
                <w:sz w:val="18"/>
              </w:rPr>
              <w:t>Privado</w:t>
            </w:r>
          </w:p>
        </w:tc>
        <w:tc>
          <w:tcPr>
            <w:tcW w:type="dxa" w:w="1140"/>
          </w:tcPr>
          <w:p>
            <w:r>
              <w:rPr>
                <w:rFonts w:ascii="Calibri" w:hAnsi="Calibri"/>
                <w:sz w:val="18"/>
              </w:rPr>
              <w:t>Tarifa dinámica, diversificación de ingresos, pases mensuales, eventos propios</w:t>
            </w:r>
          </w:p>
        </w:tc>
      </w:tr>
      <w:tr>
        <w:tc>
          <w:tcPr>
            <w:tcW w:type="dxa" w:w="1140"/>
          </w:tcPr>
          <w:p>
            <w:r>
              <w:rPr>
                <w:rFonts w:ascii="Calibri" w:hAnsi="Calibri"/>
                <w:sz w:val="18"/>
              </w:rPr>
              <w:t>R2</w:t>
            </w:r>
          </w:p>
        </w:tc>
        <w:tc>
          <w:tcPr>
            <w:tcW w:type="dxa" w:w="1140"/>
          </w:tcPr>
          <w:p>
            <w:r>
              <w:rPr>
                <w:rFonts w:ascii="Calibri" w:hAnsi="Calibri"/>
                <w:sz w:val="18"/>
              </w:rPr>
              <w:t>Sobrecostos de construcción</w:t>
            </w:r>
          </w:p>
        </w:tc>
        <w:tc>
          <w:tcPr>
            <w:tcW w:type="dxa" w:w="1140"/>
          </w:tcPr>
          <w:p>
            <w:r>
              <w:rPr>
                <w:rFonts w:ascii="Calibri" w:hAnsi="Calibri"/>
                <w:sz w:val="18"/>
              </w:rPr>
              <w:t>Construcción</w:t>
            </w:r>
          </w:p>
        </w:tc>
        <w:tc>
          <w:tcPr>
            <w:tcW w:type="dxa" w:w="1140"/>
          </w:tcPr>
          <w:p>
            <w:r>
              <w:rPr>
                <w:rFonts w:ascii="Calibri" w:hAnsi="Calibri"/>
                <w:sz w:val="18"/>
              </w:rPr>
              <w:t>3</w:t>
            </w:r>
          </w:p>
        </w:tc>
        <w:tc>
          <w:tcPr>
            <w:tcW w:type="dxa" w:w="1140"/>
          </w:tcPr>
          <w:p>
            <w:r>
              <w:rPr>
                <w:rFonts w:ascii="Calibri" w:hAnsi="Calibri"/>
                <w:sz w:val="18"/>
              </w:rPr>
              <w:t>4</w:t>
            </w:r>
          </w:p>
        </w:tc>
        <w:tc>
          <w:tcPr>
            <w:tcW w:type="dxa" w:w="1140"/>
          </w:tcPr>
          <w:p>
            <w:r>
              <w:rPr>
                <w:rFonts w:ascii="Calibri" w:hAnsi="Calibri"/>
                <w:sz w:val="18"/>
              </w:rPr>
              <w:t>12 — Alto</w:t>
            </w:r>
          </w:p>
        </w:tc>
        <w:tc>
          <w:tcPr>
            <w:tcW w:type="dxa" w:w="1140"/>
          </w:tcPr>
          <w:p>
            <w:r>
              <w:rPr>
                <w:rFonts w:ascii="Calibri" w:hAnsi="Calibri"/>
                <w:sz w:val="18"/>
              </w:rPr>
              <w:t>Privado</w:t>
            </w:r>
          </w:p>
        </w:tc>
        <w:tc>
          <w:tcPr>
            <w:tcW w:type="dxa" w:w="1140"/>
          </w:tcPr>
          <w:p>
            <w:r>
              <w:rPr>
                <w:rFonts w:ascii="Calibri" w:hAnsi="Calibri"/>
                <w:sz w:val="18"/>
              </w:rPr>
              <w:t>Contrato EPC a precio fijo con constructor calificado</w:t>
            </w:r>
          </w:p>
        </w:tc>
      </w:tr>
      <w:tr>
        <w:tc>
          <w:tcPr>
            <w:tcW w:type="dxa" w:w="1140"/>
          </w:tcPr>
          <w:p>
            <w:r>
              <w:rPr>
                <w:rFonts w:ascii="Calibri" w:hAnsi="Calibri"/>
                <w:sz w:val="18"/>
              </w:rPr>
              <w:t>R3</w:t>
            </w:r>
          </w:p>
        </w:tc>
        <w:tc>
          <w:tcPr>
            <w:tcW w:type="dxa" w:w="1140"/>
          </w:tcPr>
          <w:p>
            <w:r>
              <w:rPr>
                <w:rFonts w:ascii="Calibri" w:hAnsi="Calibri"/>
                <w:sz w:val="18"/>
              </w:rPr>
              <w:t>Retrasos en construcción</w:t>
            </w:r>
          </w:p>
        </w:tc>
        <w:tc>
          <w:tcPr>
            <w:tcW w:type="dxa" w:w="1140"/>
          </w:tcPr>
          <w:p>
            <w:r>
              <w:rPr>
                <w:rFonts w:ascii="Calibri" w:hAnsi="Calibri"/>
                <w:sz w:val="18"/>
              </w:rPr>
              <w:t>Construcción</w:t>
            </w:r>
          </w:p>
        </w:tc>
        <w:tc>
          <w:tcPr>
            <w:tcW w:type="dxa" w:w="1140"/>
          </w:tcPr>
          <w:p>
            <w:r>
              <w:rPr>
                <w:rFonts w:ascii="Calibri" w:hAnsi="Calibri"/>
                <w:sz w:val="18"/>
              </w:rPr>
              <w:t>3</w:t>
            </w:r>
          </w:p>
        </w:tc>
        <w:tc>
          <w:tcPr>
            <w:tcW w:type="dxa" w:w="1140"/>
          </w:tcPr>
          <w:p>
            <w:r>
              <w:rPr>
                <w:rFonts w:ascii="Calibri" w:hAnsi="Calibri"/>
                <w:sz w:val="18"/>
              </w:rPr>
              <w:t>4</w:t>
            </w:r>
          </w:p>
        </w:tc>
        <w:tc>
          <w:tcPr>
            <w:tcW w:type="dxa" w:w="1140"/>
          </w:tcPr>
          <w:p>
            <w:r>
              <w:rPr>
                <w:rFonts w:ascii="Calibri" w:hAnsi="Calibri"/>
                <w:sz w:val="18"/>
              </w:rPr>
              <w:t>12 — Alto</w:t>
            </w:r>
          </w:p>
        </w:tc>
        <w:tc>
          <w:tcPr>
            <w:tcW w:type="dxa" w:w="1140"/>
          </w:tcPr>
          <w:p>
            <w:r>
              <w:rPr>
                <w:rFonts w:ascii="Calibri" w:hAnsi="Calibri"/>
                <w:sz w:val="18"/>
              </w:rPr>
              <w:t>Privado</w:t>
            </w:r>
          </w:p>
        </w:tc>
        <w:tc>
          <w:tcPr>
            <w:tcW w:type="dxa" w:w="1140"/>
          </w:tcPr>
          <w:p>
            <w:r>
              <w:rPr>
                <w:rFonts w:ascii="Calibri" w:hAnsi="Calibri"/>
                <w:sz w:val="18"/>
              </w:rPr>
              <w:t>Cláusulas de daño por mora en contrato EPC; plan de contingencia</w:t>
            </w:r>
          </w:p>
        </w:tc>
      </w:tr>
      <w:tr>
        <w:tc>
          <w:tcPr>
            <w:tcW w:type="dxa" w:w="1140"/>
          </w:tcPr>
          <w:p>
            <w:r>
              <w:rPr>
                <w:rFonts w:ascii="Calibri" w:hAnsi="Calibri"/>
                <w:sz w:val="18"/>
              </w:rPr>
              <w:t>R4</w:t>
            </w:r>
          </w:p>
        </w:tc>
        <w:tc>
          <w:tcPr>
            <w:tcW w:type="dxa" w:w="1140"/>
          </w:tcPr>
          <w:p>
            <w:r>
              <w:rPr>
                <w:rFonts w:ascii="Calibri" w:hAnsi="Calibri"/>
                <w:sz w:val="18"/>
              </w:rPr>
              <w:t>Cambios regulatorios (POT, tarifas)</w:t>
            </w:r>
          </w:p>
        </w:tc>
        <w:tc>
          <w:tcPr>
            <w:tcW w:type="dxa" w:w="1140"/>
          </w:tcPr>
          <w:p>
            <w:r>
              <w:rPr>
                <w:rFonts w:ascii="Calibri" w:hAnsi="Calibri"/>
                <w:sz w:val="18"/>
              </w:rPr>
              <w:t>Regulatorio</w:t>
            </w:r>
          </w:p>
        </w:tc>
        <w:tc>
          <w:tcPr>
            <w:tcW w:type="dxa" w:w="1140"/>
          </w:tcPr>
          <w:p>
            <w:r>
              <w:rPr>
                <w:rFonts w:ascii="Calibri" w:hAnsi="Calibri"/>
                <w:sz w:val="18"/>
              </w:rPr>
              <w:t>2</w:t>
            </w:r>
          </w:p>
        </w:tc>
        <w:tc>
          <w:tcPr>
            <w:tcW w:type="dxa" w:w="1140"/>
          </w:tcPr>
          <w:p>
            <w:r>
              <w:rPr>
                <w:rFonts w:ascii="Calibri" w:hAnsi="Calibri"/>
                <w:sz w:val="18"/>
              </w:rPr>
              <w:t>4</w:t>
            </w:r>
          </w:p>
        </w:tc>
        <w:tc>
          <w:tcPr>
            <w:tcW w:type="dxa" w:w="1140"/>
          </w:tcPr>
          <w:p>
            <w:r>
              <w:rPr>
                <w:rFonts w:ascii="Calibri" w:hAnsi="Calibri"/>
                <w:sz w:val="18"/>
              </w:rPr>
              <w:t>8 — Medio</w:t>
            </w:r>
          </w:p>
        </w:tc>
        <w:tc>
          <w:tcPr>
            <w:tcW w:type="dxa" w:w="1140"/>
          </w:tcPr>
          <w:p>
            <w:r>
              <w:rPr>
                <w:rFonts w:ascii="Calibri" w:hAnsi="Calibri"/>
                <w:sz w:val="18"/>
              </w:rPr>
              <w:t>Compartido</w:t>
            </w:r>
          </w:p>
        </w:tc>
        <w:tc>
          <w:tcPr>
            <w:tcW w:type="dxa" w:w="1140"/>
          </w:tcPr>
          <w:p>
            <w:r>
              <w:rPr>
                <w:rFonts w:ascii="Calibri" w:hAnsi="Calibri"/>
                <w:sz w:val="18"/>
              </w:rPr>
              <w:t>Cláusula de equilibrio económico del contrato (Art. 4, Ley 1508)</w:t>
            </w:r>
          </w:p>
        </w:tc>
      </w:tr>
      <w:tr>
        <w:tc>
          <w:tcPr>
            <w:tcW w:type="dxa" w:w="1140"/>
          </w:tcPr>
          <w:p>
            <w:r>
              <w:rPr>
                <w:rFonts w:ascii="Calibri" w:hAnsi="Calibri"/>
                <w:sz w:val="18"/>
              </w:rPr>
              <w:t>R5</w:t>
            </w:r>
          </w:p>
        </w:tc>
        <w:tc>
          <w:tcPr>
            <w:tcW w:type="dxa" w:w="1140"/>
          </w:tcPr>
          <w:p>
            <w:r>
              <w:rPr>
                <w:rFonts w:ascii="Calibri" w:hAnsi="Calibri"/>
                <w:sz w:val="18"/>
              </w:rPr>
              <w:t>Reubicación o disminución de eventos del estadio</w:t>
            </w:r>
          </w:p>
        </w:tc>
        <w:tc>
          <w:tcPr>
            <w:tcW w:type="dxa" w:w="1140"/>
          </w:tcPr>
          <w:p>
            <w:r>
              <w:rPr>
                <w:rFonts w:ascii="Calibri" w:hAnsi="Calibri"/>
                <w:sz w:val="18"/>
              </w:rPr>
              <w:t>Comercial</w:t>
            </w:r>
          </w:p>
        </w:tc>
        <w:tc>
          <w:tcPr>
            <w:tcW w:type="dxa" w:w="1140"/>
          </w:tcPr>
          <w:p>
            <w:r>
              <w:rPr>
                <w:rFonts w:ascii="Calibri" w:hAnsi="Calibri"/>
                <w:sz w:val="18"/>
              </w:rPr>
              <w:t>2</w:t>
            </w:r>
          </w:p>
        </w:tc>
        <w:tc>
          <w:tcPr>
            <w:tcW w:type="dxa" w:w="1140"/>
          </w:tcPr>
          <w:p>
            <w:r>
              <w:rPr>
                <w:rFonts w:ascii="Calibri" w:hAnsi="Calibri"/>
                <w:sz w:val="18"/>
              </w:rPr>
              <w:t>5</w:t>
            </w:r>
          </w:p>
        </w:tc>
        <w:tc>
          <w:tcPr>
            <w:tcW w:type="dxa" w:w="1140"/>
          </w:tcPr>
          <w:p>
            <w:r>
              <w:rPr>
                <w:rFonts w:ascii="Calibri" w:hAnsi="Calibri"/>
                <w:sz w:val="18"/>
              </w:rPr>
              <w:t>10 — Alto</w:t>
            </w:r>
          </w:p>
        </w:tc>
        <w:tc>
          <w:tcPr>
            <w:tcW w:type="dxa" w:w="1140"/>
          </w:tcPr>
          <w:p>
            <w:r>
              <w:rPr>
                <w:rFonts w:ascii="Calibri" w:hAnsi="Calibri"/>
                <w:sz w:val="18"/>
              </w:rPr>
              <w:t>Compartido</w:t>
            </w:r>
          </w:p>
        </w:tc>
        <w:tc>
          <w:tcPr>
            <w:tcW w:type="dxa" w:w="1140"/>
          </w:tcPr>
          <w:p>
            <w:r>
              <w:rPr>
                <w:rFonts w:ascii="Calibri" w:hAnsi="Calibri"/>
                <w:sz w:val="18"/>
              </w:rPr>
              <w:t>Diversificación: 74% de ingresos proviene de parking base + comercio (no depende de eventos)</w:t>
            </w:r>
          </w:p>
        </w:tc>
      </w:tr>
      <w:tr>
        <w:tc>
          <w:tcPr>
            <w:tcW w:type="dxa" w:w="1140"/>
          </w:tcPr>
          <w:p>
            <w:r>
              <w:rPr>
                <w:rFonts w:ascii="Calibri" w:hAnsi="Calibri"/>
                <w:sz w:val="18"/>
              </w:rPr>
              <w:t>R6</w:t>
            </w:r>
          </w:p>
        </w:tc>
        <w:tc>
          <w:tcPr>
            <w:tcW w:type="dxa" w:w="1140"/>
          </w:tcPr>
          <w:p>
            <w:r>
              <w:rPr>
                <w:rFonts w:ascii="Calibri" w:hAnsi="Calibri"/>
                <w:sz w:val="18"/>
              </w:rPr>
              <w:t>Competencia (nuevos parqueaderos en la zona)</w:t>
            </w:r>
          </w:p>
        </w:tc>
        <w:tc>
          <w:tcPr>
            <w:tcW w:type="dxa" w:w="1140"/>
          </w:tcPr>
          <w:p>
            <w:r>
              <w:rPr>
                <w:rFonts w:ascii="Calibri" w:hAnsi="Calibri"/>
                <w:sz w:val="18"/>
              </w:rPr>
              <w:t>Comercial</w:t>
            </w:r>
          </w:p>
        </w:tc>
        <w:tc>
          <w:tcPr>
            <w:tcW w:type="dxa" w:w="1140"/>
          </w:tcPr>
          <w:p>
            <w:r>
              <w:rPr>
                <w:rFonts w:ascii="Calibri" w:hAnsi="Calibri"/>
                <w:sz w:val="18"/>
              </w:rPr>
              <w:t>2</w:t>
            </w:r>
          </w:p>
        </w:tc>
        <w:tc>
          <w:tcPr>
            <w:tcW w:type="dxa" w:w="1140"/>
          </w:tcPr>
          <w:p>
            <w:r>
              <w:rPr>
                <w:rFonts w:ascii="Calibri" w:hAnsi="Calibri"/>
                <w:sz w:val="18"/>
              </w:rPr>
              <w:t>3</w:t>
            </w:r>
          </w:p>
        </w:tc>
        <w:tc>
          <w:tcPr>
            <w:tcW w:type="dxa" w:w="1140"/>
          </w:tcPr>
          <w:p>
            <w:r>
              <w:rPr>
                <w:rFonts w:ascii="Calibri" w:hAnsi="Calibri"/>
                <w:sz w:val="18"/>
              </w:rPr>
              <w:t>6 — Medio</w:t>
            </w:r>
          </w:p>
        </w:tc>
        <w:tc>
          <w:tcPr>
            <w:tcW w:type="dxa" w:w="1140"/>
          </w:tcPr>
          <w:p>
            <w:r>
              <w:rPr>
                <w:rFonts w:ascii="Calibri" w:hAnsi="Calibri"/>
                <w:sz w:val="18"/>
              </w:rPr>
              <w:t>Privado</w:t>
            </w:r>
          </w:p>
        </w:tc>
        <w:tc>
          <w:tcPr>
            <w:tcW w:type="dxa" w:w="1140"/>
          </w:tcPr>
          <w:p>
            <w:r>
              <w:rPr>
                <w:rFonts w:ascii="Calibri" w:hAnsi="Calibri"/>
                <w:sz w:val="18"/>
              </w:rPr>
              <w:t>Ubicación privilegiada insustituible; primera ventaja de movilización</w:t>
            </w:r>
          </w:p>
        </w:tc>
      </w:tr>
      <w:tr>
        <w:tc>
          <w:tcPr>
            <w:tcW w:type="dxa" w:w="1140"/>
          </w:tcPr>
          <w:p>
            <w:r>
              <w:rPr>
                <w:rFonts w:ascii="Calibri" w:hAnsi="Calibri"/>
                <w:sz w:val="18"/>
              </w:rPr>
              <w:t>R7</w:t>
            </w:r>
          </w:p>
        </w:tc>
        <w:tc>
          <w:tcPr>
            <w:tcW w:type="dxa" w:w="1140"/>
          </w:tcPr>
          <w:p>
            <w:r>
              <w:rPr>
                <w:rFonts w:ascii="Calibri" w:hAnsi="Calibri"/>
                <w:sz w:val="18"/>
              </w:rPr>
              <w:t>Riesgo ambiental (fase construcción)</w:t>
            </w:r>
          </w:p>
        </w:tc>
        <w:tc>
          <w:tcPr>
            <w:tcW w:type="dxa" w:w="1140"/>
          </w:tcPr>
          <w:p>
            <w:r>
              <w:rPr>
                <w:rFonts w:ascii="Calibri" w:hAnsi="Calibri"/>
                <w:sz w:val="18"/>
              </w:rPr>
              <w:t>Ambiental</w:t>
            </w:r>
          </w:p>
        </w:tc>
        <w:tc>
          <w:tcPr>
            <w:tcW w:type="dxa" w:w="1140"/>
          </w:tcPr>
          <w:p>
            <w:r>
              <w:rPr>
                <w:rFonts w:ascii="Calibri" w:hAnsi="Calibri"/>
                <w:sz w:val="18"/>
              </w:rPr>
              <w:t>3</w:t>
            </w:r>
          </w:p>
        </w:tc>
        <w:tc>
          <w:tcPr>
            <w:tcW w:type="dxa" w:w="1140"/>
          </w:tcPr>
          <w:p>
            <w:r>
              <w:rPr>
                <w:rFonts w:ascii="Calibri" w:hAnsi="Calibri"/>
                <w:sz w:val="18"/>
              </w:rPr>
              <w:t>3</w:t>
            </w:r>
          </w:p>
        </w:tc>
        <w:tc>
          <w:tcPr>
            <w:tcW w:type="dxa" w:w="1140"/>
          </w:tcPr>
          <w:p>
            <w:r>
              <w:rPr>
                <w:rFonts w:ascii="Calibri" w:hAnsi="Calibri"/>
                <w:sz w:val="18"/>
              </w:rPr>
              <w:t>9 — Medio</w:t>
            </w:r>
          </w:p>
        </w:tc>
        <w:tc>
          <w:tcPr>
            <w:tcW w:type="dxa" w:w="1140"/>
          </w:tcPr>
          <w:p>
            <w:r>
              <w:rPr>
                <w:rFonts w:ascii="Calibri" w:hAnsi="Calibri"/>
                <w:sz w:val="18"/>
              </w:rPr>
              <w:t>Privado</w:t>
            </w:r>
          </w:p>
        </w:tc>
        <w:tc>
          <w:tcPr>
            <w:tcW w:type="dxa" w:w="1140"/>
          </w:tcPr>
          <w:p>
            <w:r>
              <w:rPr>
                <w:rFonts w:ascii="Calibri" w:hAnsi="Calibri"/>
                <w:sz w:val="18"/>
              </w:rPr>
              <w:t>Plan de Manejo Ambiental, autorización AMVA para tala de árboles (compensación 3:1)</w:t>
            </w:r>
          </w:p>
        </w:tc>
      </w:tr>
      <w:tr>
        <w:tc>
          <w:tcPr>
            <w:tcW w:type="dxa" w:w="1140"/>
          </w:tcPr>
          <w:p>
            <w:r>
              <w:rPr>
                <w:rFonts w:ascii="Calibri" w:hAnsi="Calibri"/>
                <w:sz w:val="18"/>
              </w:rPr>
              <w:t>R8</w:t>
            </w:r>
          </w:p>
        </w:tc>
        <w:tc>
          <w:tcPr>
            <w:tcW w:type="dxa" w:w="1140"/>
          </w:tcPr>
          <w:p>
            <w:r>
              <w:rPr>
                <w:rFonts w:ascii="Calibri" w:hAnsi="Calibri"/>
                <w:sz w:val="18"/>
              </w:rPr>
              <w:t>Fuerza mayor o caso fortuito</w:t>
            </w:r>
          </w:p>
        </w:tc>
        <w:tc>
          <w:tcPr>
            <w:tcW w:type="dxa" w:w="1140"/>
          </w:tcPr>
          <w:p>
            <w:r>
              <w:rPr>
                <w:rFonts w:ascii="Calibri" w:hAnsi="Calibri"/>
                <w:sz w:val="18"/>
              </w:rPr>
              <w:t>Fuerza mayor</w:t>
            </w:r>
          </w:p>
        </w:tc>
        <w:tc>
          <w:tcPr>
            <w:tcW w:type="dxa" w:w="1140"/>
          </w:tcPr>
          <w:p>
            <w:r>
              <w:rPr>
                <w:rFonts w:ascii="Calibri" w:hAnsi="Calibri"/>
                <w:sz w:val="18"/>
              </w:rPr>
              <w:t>1</w:t>
            </w:r>
          </w:p>
        </w:tc>
        <w:tc>
          <w:tcPr>
            <w:tcW w:type="dxa" w:w="1140"/>
          </w:tcPr>
          <w:p>
            <w:r>
              <w:rPr>
                <w:rFonts w:ascii="Calibri" w:hAnsi="Calibri"/>
                <w:sz w:val="18"/>
              </w:rPr>
              <w:t>5</w:t>
            </w:r>
          </w:p>
        </w:tc>
        <w:tc>
          <w:tcPr>
            <w:tcW w:type="dxa" w:w="1140"/>
          </w:tcPr>
          <w:p>
            <w:r>
              <w:rPr>
                <w:rFonts w:ascii="Calibri" w:hAnsi="Calibri"/>
                <w:sz w:val="18"/>
              </w:rPr>
              <w:t>5 — Bajo</w:t>
            </w:r>
          </w:p>
        </w:tc>
        <w:tc>
          <w:tcPr>
            <w:tcW w:type="dxa" w:w="1140"/>
          </w:tcPr>
          <w:p>
            <w:r>
              <w:rPr>
                <w:rFonts w:ascii="Calibri" w:hAnsi="Calibri"/>
                <w:sz w:val="18"/>
              </w:rPr>
              <w:t>Compartido</w:t>
            </w:r>
          </w:p>
        </w:tc>
        <w:tc>
          <w:tcPr>
            <w:tcW w:type="dxa" w:w="1140"/>
          </w:tcPr>
          <w:p>
            <w:r>
              <w:rPr>
                <w:rFonts w:ascii="Calibri" w:hAnsi="Calibri"/>
                <w:sz w:val="18"/>
              </w:rPr>
              <w:t>Póliza de seguro todo riesgo; cláusula de restablecimiento de equilibrio</w:t>
            </w:r>
          </w:p>
        </w:tc>
      </w:tr>
      <w:tr>
        <w:tc>
          <w:tcPr>
            <w:tcW w:type="dxa" w:w="1140"/>
          </w:tcPr>
          <w:p>
            <w:r>
              <w:rPr>
                <w:rFonts w:ascii="Calibri" w:hAnsi="Calibri"/>
                <w:sz w:val="18"/>
              </w:rPr>
              <w:t>R9</w:t>
            </w:r>
          </w:p>
        </w:tc>
        <w:tc>
          <w:tcPr>
            <w:tcW w:type="dxa" w:w="1140"/>
          </w:tcPr>
          <w:p>
            <w:r>
              <w:rPr>
                <w:rFonts w:ascii="Calibri" w:hAnsi="Calibri"/>
                <w:sz w:val="18"/>
              </w:rPr>
              <w:t>Riesgo predial (disponibilidad del predio)</w:t>
            </w:r>
          </w:p>
        </w:tc>
        <w:tc>
          <w:tcPr>
            <w:tcW w:type="dxa" w:w="1140"/>
          </w:tcPr>
          <w:p>
            <w:r>
              <w:rPr>
                <w:rFonts w:ascii="Calibri" w:hAnsi="Calibri"/>
                <w:sz w:val="18"/>
              </w:rPr>
              <w:t>Predial</w:t>
            </w:r>
          </w:p>
        </w:tc>
        <w:tc>
          <w:tcPr>
            <w:tcW w:type="dxa" w:w="1140"/>
          </w:tcPr>
          <w:p>
            <w:r>
              <w:rPr>
                <w:rFonts w:ascii="Calibri" w:hAnsi="Calibri"/>
                <w:sz w:val="18"/>
              </w:rPr>
              <w:t>2</w:t>
            </w:r>
          </w:p>
        </w:tc>
        <w:tc>
          <w:tcPr>
            <w:tcW w:type="dxa" w:w="1140"/>
          </w:tcPr>
          <w:p>
            <w:r>
              <w:rPr>
                <w:rFonts w:ascii="Calibri" w:hAnsi="Calibri"/>
                <w:sz w:val="18"/>
              </w:rPr>
              <w:t>5</w:t>
            </w:r>
          </w:p>
        </w:tc>
        <w:tc>
          <w:tcPr>
            <w:tcW w:type="dxa" w:w="1140"/>
          </w:tcPr>
          <w:p>
            <w:r>
              <w:rPr>
                <w:rFonts w:ascii="Calibri" w:hAnsi="Calibri"/>
                <w:sz w:val="18"/>
              </w:rPr>
              <w:t>10 — Alto</w:t>
            </w:r>
          </w:p>
        </w:tc>
        <w:tc>
          <w:tcPr>
            <w:tcW w:type="dxa" w:w="1140"/>
          </w:tcPr>
          <w:p>
            <w:r>
              <w:rPr>
                <w:rFonts w:ascii="Calibri" w:hAnsi="Calibri"/>
                <w:sz w:val="18"/>
              </w:rPr>
              <w:t>Público</w:t>
            </w:r>
          </w:p>
        </w:tc>
        <w:tc>
          <w:tcPr>
            <w:tcW w:type="dxa" w:w="1140"/>
          </w:tcPr>
          <w:p>
            <w:r>
              <w:rPr>
                <w:rFonts w:ascii="Calibri" w:hAnsi="Calibri"/>
                <w:sz w:val="18"/>
              </w:rPr>
              <w:t>Verificación de títulos y servidumbres en factibilidad; bien de propiedad municipal</w:t>
            </w:r>
          </w:p>
        </w:tc>
      </w:tr>
      <w:tr>
        <w:tc>
          <w:tcPr>
            <w:tcW w:type="dxa" w:w="1140"/>
          </w:tcPr>
          <w:p>
            <w:r>
              <w:rPr>
                <w:rFonts w:ascii="Calibri" w:hAnsi="Calibri"/>
                <w:sz w:val="18"/>
              </w:rPr>
              <w:t>R10</w:t>
            </w:r>
          </w:p>
        </w:tc>
        <w:tc>
          <w:tcPr>
            <w:tcW w:type="dxa" w:w="1140"/>
          </w:tcPr>
          <w:p>
            <w:r>
              <w:rPr>
                <w:rFonts w:ascii="Calibri" w:hAnsi="Calibri"/>
                <w:sz w:val="18"/>
              </w:rPr>
              <w:t>Inseguridad y vandalismo</w:t>
            </w:r>
          </w:p>
        </w:tc>
        <w:tc>
          <w:tcPr>
            <w:tcW w:type="dxa" w:w="1140"/>
          </w:tcPr>
          <w:p>
            <w:r>
              <w:rPr>
                <w:rFonts w:ascii="Calibri" w:hAnsi="Calibri"/>
                <w:sz w:val="18"/>
              </w:rPr>
              <w:t>Operacional</w:t>
            </w:r>
          </w:p>
        </w:tc>
        <w:tc>
          <w:tcPr>
            <w:tcW w:type="dxa" w:w="1140"/>
          </w:tcPr>
          <w:p>
            <w:r>
              <w:rPr>
                <w:rFonts w:ascii="Calibri" w:hAnsi="Calibri"/>
                <w:sz w:val="18"/>
              </w:rPr>
              <w:t>3</w:t>
            </w:r>
          </w:p>
        </w:tc>
        <w:tc>
          <w:tcPr>
            <w:tcW w:type="dxa" w:w="1140"/>
          </w:tcPr>
          <w:p>
            <w:r>
              <w:rPr>
                <w:rFonts w:ascii="Calibri" w:hAnsi="Calibri"/>
                <w:sz w:val="18"/>
              </w:rPr>
              <w:t>2</w:t>
            </w:r>
          </w:p>
        </w:tc>
        <w:tc>
          <w:tcPr>
            <w:tcW w:type="dxa" w:w="1140"/>
          </w:tcPr>
          <w:p>
            <w:r>
              <w:rPr>
                <w:rFonts w:ascii="Calibri" w:hAnsi="Calibri"/>
                <w:sz w:val="18"/>
              </w:rPr>
              <w:t>6 — Medio</w:t>
            </w:r>
          </w:p>
        </w:tc>
        <w:tc>
          <w:tcPr>
            <w:tcW w:type="dxa" w:w="1140"/>
          </w:tcPr>
          <w:p>
            <w:r>
              <w:rPr>
                <w:rFonts w:ascii="Calibri" w:hAnsi="Calibri"/>
                <w:sz w:val="18"/>
              </w:rPr>
              <w:t>Privado</w:t>
            </w:r>
          </w:p>
        </w:tc>
        <w:tc>
          <w:tcPr>
            <w:tcW w:type="dxa" w:w="1140"/>
          </w:tcPr>
          <w:p>
            <w:r>
              <w:rPr>
                <w:rFonts w:ascii="Calibri" w:hAnsi="Calibri"/>
                <w:sz w:val="18"/>
              </w:rPr>
              <w:t>Vigilancia 24/7, sistema CCTV, control de acceso electrónico</w:t>
            </w:r>
          </w:p>
        </w:tc>
      </w:tr>
      <w:tr>
        <w:tc>
          <w:tcPr>
            <w:tcW w:type="dxa" w:w="1140"/>
          </w:tcPr>
          <w:p>
            <w:r>
              <w:rPr>
                <w:rFonts w:ascii="Calibri" w:hAnsi="Calibri"/>
                <w:sz w:val="18"/>
              </w:rPr>
              <w:t>R11</w:t>
            </w:r>
          </w:p>
        </w:tc>
        <w:tc>
          <w:tcPr>
            <w:tcW w:type="dxa" w:w="1140"/>
          </w:tcPr>
          <w:p>
            <w:r>
              <w:rPr>
                <w:rFonts w:ascii="Calibri" w:hAnsi="Calibri"/>
                <w:sz w:val="18"/>
              </w:rPr>
              <w:t>Cambio tecnológico (vehículos eléctricos, autónomos)</w:t>
            </w:r>
          </w:p>
        </w:tc>
        <w:tc>
          <w:tcPr>
            <w:tcW w:type="dxa" w:w="1140"/>
          </w:tcPr>
          <w:p>
            <w:r>
              <w:rPr>
                <w:rFonts w:ascii="Calibri" w:hAnsi="Calibri"/>
                <w:sz w:val="18"/>
              </w:rPr>
              <w:t>Tecnológico</w:t>
            </w:r>
          </w:p>
        </w:tc>
        <w:tc>
          <w:tcPr>
            <w:tcW w:type="dxa" w:w="1140"/>
          </w:tcPr>
          <w:p>
            <w:r>
              <w:rPr>
                <w:rFonts w:ascii="Calibri" w:hAnsi="Calibri"/>
                <w:sz w:val="18"/>
              </w:rPr>
              <w:t>2</w:t>
            </w:r>
          </w:p>
        </w:tc>
        <w:tc>
          <w:tcPr>
            <w:tcW w:type="dxa" w:w="1140"/>
          </w:tcPr>
          <w:p>
            <w:r>
              <w:rPr>
                <w:rFonts w:ascii="Calibri" w:hAnsi="Calibri"/>
                <w:sz w:val="18"/>
              </w:rPr>
              <w:t>2</w:t>
            </w:r>
          </w:p>
        </w:tc>
        <w:tc>
          <w:tcPr>
            <w:tcW w:type="dxa" w:w="1140"/>
          </w:tcPr>
          <w:p>
            <w:r>
              <w:rPr>
                <w:rFonts w:ascii="Calibri" w:hAnsi="Calibri"/>
                <w:sz w:val="18"/>
              </w:rPr>
              <w:t>4 — Bajo</w:t>
            </w:r>
          </w:p>
        </w:tc>
        <w:tc>
          <w:tcPr>
            <w:tcW w:type="dxa" w:w="1140"/>
          </w:tcPr>
          <w:p>
            <w:r>
              <w:rPr>
                <w:rFonts w:ascii="Calibri" w:hAnsi="Calibri"/>
                <w:sz w:val="18"/>
              </w:rPr>
              <w:t>Privado</w:t>
            </w:r>
          </w:p>
        </w:tc>
        <w:tc>
          <w:tcPr>
            <w:tcW w:type="dxa" w:w="1140"/>
          </w:tcPr>
          <w:p>
            <w:r>
              <w:rPr>
                <w:rFonts w:ascii="Calibri" w:hAnsi="Calibri"/>
                <w:sz w:val="18"/>
              </w:rPr>
              <w:t>Infraestructura adaptable: previsión de puntos de carga EV</w:t>
            </w:r>
          </w:p>
        </w:tc>
      </w:tr>
      <w:tr>
        <w:tc>
          <w:tcPr>
            <w:tcW w:type="dxa" w:w="1140"/>
          </w:tcPr>
          <w:p>
            <w:r>
              <w:rPr>
                <w:rFonts w:ascii="Calibri" w:hAnsi="Calibri"/>
                <w:sz w:val="18"/>
              </w:rPr>
              <w:t>R12</w:t>
            </w:r>
          </w:p>
        </w:tc>
        <w:tc>
          <w:tcPr>
            <w:tcW w:type="dxa" w:w="1140"/>
          </w:tcPr>
          <w:p>
            <w:r>
              <w:rPr>
                <w:rFonts w:ascii="Calibri" w:hAnsi="Calibri"/>
                <w:sz w:val="18"/>
              </w:rPr>
              <w:t>Riesgo de tasa de interés</w:t>
            </w:r>
          </w:p>
        </w:tc>
        <w:tc>
          <w:tcPr>
            <w:tcW w:type="dxa" w:w="1140"/>
          </w:tcPr>
          <w:p>
            <w:r>
              <w:rPr>
                <w:rFonts w:ascii="Calibri" w:hAnsi="Calibri"/>
                <w:sz w:val="18"/>
              </w:rPr>
              <w:t>Financiero</w:t>
            </w:r>
          </w:p>
        </w:tc>
        <w:tc>
          <w:tcPr>
            <w:tcW w:type="dxa" w:w="1140"/>
          </w:tcPr>
          <w:p>
            <w:r>
              <w:rPr>
                <w:rFonts w:ascii="Calibri" w:hAnsi="Calibri"/>
                <w:sz w:val="18"/>
              </w:rPr>
              <w:t>3</w:t>
            </w:r>
          </w:p>
        </w:tc>
        <w:tc>
          <w:tcPr>
            <w:tcW w:type="dxa" w:w="1140"/>
          </w:tcPr>
          <w:p>
            <w:r>
              <w:rPr>
                <w:rFonts w:ascii="Calibri" w:hAnsi="Calibri"/>
                <w:sz w:val="18"/>
              </w:rPr>
              <w:t>3</w:t>
            </w:r>
          </w:p>
        </w:tc>
        <w:tc>
          <w:tcPr>
            <w:tcW w:type="dxa" w:w="1140"/>
          </w:tcPr>
          <w:p>
            <w:r>
              <w:rPr>
                <w:rFonts w:ascii="Calibri" w:hAnsi="Calibri"/>
                <w:sz w:val="18"/>
              </w:rPr>
              <w:t>9 — Medio</w:t>
            </w:r>
          </w:p>
        </w:tc>
        <w:tc>
          <w:tcPr>
            <w:tcW w:type="dxa" w:w="1140"/>
          </w:tcPr>
          <w:p>
            <w:r>
              <w:rPr>
                <w:rFonts w:ascii="Calibri" w:hAnsi="Calibri"/>
                <w:sz w:val="18"/>
              </w:rPr>
              <w:t>Privado</w:t>
            </w:r>
          </w:p>
        </w:tc>
        <w:tc>
          <w:tcPr>
            <w:tcW w:type="dxa" w:w="1140"/>
          </w:tcPr>
          <w:p>
            <w:r>
              <w:rPr>
                <w:rFonts w:ascii="Calibri" w:hAnsi="Calibri"/>
                <w:sz w:val="18"/>
              </w:rPr>
              <w:t>Cobertura de tasa (swap) o financiamiento a tasa fija</w:t>
            </w:r>
          </w:p>
        </w:tc>
      </w:tr>
    </w:tbl>
    <w:p/>
    <w:p>
      <w:pPr>
        <w:pStyle w:val="Heading2"/>
      </w:pPr>
      <w:r>
        <w:t>7.3 Asignación General de Riesgos</w:t>
      </w:r>
    </w:p>
    <w:tbl>
      <w:tblPr>
        <w:tblStyle w:val="LightGrid-Accent1"/>
        <w:tblW w:type="auto" w:w="0"/>
        <w:jc w:val="center"/>
        <w:tblLook w:firstColumn="1" w:firstRow="1" w:lastColumn="0" w:lastRow="0" w:noHBand="0" w:noVBand="1" w:val="04A0"/>
      </w:tblPr>
      <w:tblGrid>
        <w:gridCol w:w="4561"/>
        <w:gridCol w:w="4561"/>
      </w:tblGrid>
      <w:tr>
        <w:tc>
          <w:tcPr>
            <w:tcW w:type="dxa" w:w="4561"/>
          </w:tcPr>
          <w:p>
            <w:r>
              <w:rPr>
                <w:rFonts w:ascii="Calibri" w:hAnsi="Calibri"/>
                <w:b/>
                <w:sz w:val="18"/>
              </w:rPr>
              <w:t>Asignación</w:t>
            </w:r>
          </w:p>
        </w:tc>
        <w:tc>
          <w:tcPr>
            <w:tcW w:type="dxa" w:w="4561"/>
          </w:tcPr>
          <w:p>
            <w:r>
              <w:rPr>
                <w:rFonts w:ascii="Calibri" w:hAnsi="Calibri"/>
                <w:b/>
                <w:sz w:val="18"/>
              </w:rPr>
              <w:t>Riesgos</w:t>
            </w:r>
          </w:p>
        </w:tc>
      </w:tr>
      <w:tr>
        <w:tc>
          <w:tcPr>
            <w:tcW w:type="dxa" w:w="4561"/>
          </w:tcPr>
          <w:p>
            <w:r>
              <w:rPr>
                <w:rFonts w:ascii="Calibri" w:hAnsi="Calibri"/>
                <w:sz w:val="18"/>
              </w:rPr>
              <w:t>Privado</w:t>
            </w:r>
          </w:p>
        </w:tc>
        <w:tc>
          <w:tcPr>
            <w:tcW w:type="dxa" w:w="4561"/>
          </w:tcPr>
          <w:p>
            <w:r>
              <w:rPr>
                <w:rFonts w:ascii="Calibri" w:hAnsi="Calibri"/>
                <w:sz w:val="18"/>
              </w:rPr>
              <w:t>Construcción (R2, R3), demanda (R1), competencia (R6), ambiental (R7), operacional (R10), tecnológico (R11), financiero (R12)</w:t>
            </w:r>
          </w:p>
        </w:tc>
      </w:tr>
      <w:tr>
        <w:tc>
          <w:tcPr>
            <w:tcW w:type="dxa" w:w="4561"/>
          </w:tcPr>
          <w:p>
            <w:r>
              <w:rPr>
                <w:rFonts w:ascii="Calibri" w:hAnsi="Calibri"/>
                <w:sz w:val="18"/>
              </w:rPr>
              <w:t>Compartido</w:t>
            </w:r>
          </w:p>
        </w:tc>
        <w:tc>
          <w:tcPr>
            <w:tcW w:type="dxa" w:w="4561"/>
          </w:tcPr>
          <w:p>
            <w:r>
              <w:rPr>
                <w:rFonts w:ascii="Calibri" w:hAnsi="Calibri"/>
                <w:sz w:val="18"/>
              </w:rPr>
              <w:t>Regulatorio (R4), eventos del estadio (R5), fuerza mayor (R8)</w:t>
            </w:r>
          </w:p>
        </w:tc>
      </w:tr>
      <w:tr>
        <w:tc>
          <w:tcPr>
            <w:tcW w:type="dxa" w:w="4561"/>
          </w:tcPr>
          <w:p>
            <w:r>
              <w:rPr>
                <w:rFonts w:ascii="Calibri" w:hAnsi="Calibri"/>
                <w:sz w:val="18"/>
              </w:rPr>
              <w:t>Público</w:t>
            </w:r>
          </w:p>
        </w:tc>
        <w:tc>
          <w:tcPr>
            <w:tcW w:type="dxa" w:w="4561"/>
          </w:tcPr>
          <w:p>
            <w:r>
              <w:rPr>
                <w:rFonts w:ascii="Calibri" w:hAnsi="Calibri"/>
                <w:sz w:val="18"/>
              </w:rPr>
              <w:t>Predial (R9) — disponibilidad del predio es responsabilidad de la entidad pública</w:t>
            </w:r>
          </w:p>
        </w:tc>
      </w:tr>
    </w:tbl>
    <w:p/>
    <w:p>
      <w:r/>
      <w:r>
        <w:rPr>
          <w:b/>
        </w:rPr>
        <w:t>Fundamentación jurídica:</w:t>
      </w:r>
      <w:r>
        <w:t xml:space="preserve"> Artículo 14 de la Ley 1508 de 2012, CONPES 3714 de 2011.</w:t>
      </w:r>
    </w:p>
    <w:p>
      <w:pPr>
        <w:pStyle w:val="Heading1"/>
      </w:pPr>
      <w:r>
        <w:t>8. MARCO NORMATIVO Y REGULATORIO</w:t>
      </w:r>
    </w:p>
    <w:p>
      <w:pPr>
        <w:pStyle w:val="Heading2"/>
      </w:pPr>
      <w:r>
        <w:t>8.1 Normatividad Nacional Aplicable</w:t>
      </w:r>
    </w:p>
    <w:tbl>
      <w:tblPr>
        <w:tblStyle w:val="LightGrid-Accent1"/>
        <w:tblW w:type="auto" w:w="0"/>
        <w:jc w:val="center"/>
        <w:tblLook w:firstColumn="1" w:firstRow="1" w:lastColumn="0" w:lastRow="0" w:noHBand="0" w:noVBand="1" w:val="04A0"/>
      </w:tblPr>
      <w:tblGrid>
        <w:gridCol w:w="4561"/>
        <w:gridCol w:w="4561"/>
      </w:tblGrid>
      <w:tr>
        <w:tc>
          <w:tcPr>
            <w:tcW w:type="dxa" w:w="4561"/>
          </w:tcPr>
          <w:p>
            <w:r>
              <w:rPr>
                <w:rFonts w:ascii="Calibri" w:hAnsi="Calibri"/>
                <w:b/>
                <w:sz w:val="18"/>
              </w:rPr>
              <w:t>Norma</w:t>
            </w:r>
          </w:p>
        </w:tc>
        <w:tc>
          <w:tcPr>
            <w:tcW w:type="dxa" w:w="4561"/>
          </w:tcPr>
          <w:p>
            <w:r>
              <w:rPr>
                <w:rFonts w:ascii="Calibri" w:hAnsi="Calibri"/>
                <w:b/>
                <w:sz w:val="18"/>
              </w:rPr>
              <w:t>Contenido relevante</w:t>
            </w:r>
          </w:p>
        </w:tc>
      </w:tr>
      <w:tr>
        <w:tc>
          <w:tcPr>
            <w:tcW w:type="dxa" w:w="4561"/>
          </w:tcPr>
          <w:p>
            <w:r>
              <w:rPr>
                <w:rFonts w:ascii="Calibri" w:hAnsi="Calibri"/>
                <w:sz w:val="18"/>
              </w:rPr>
              <w:t>Ley 1508 de 2012</w:t>
            </w:r>
          </w:p>
        </w:tc>
        <w:tc>
          <w:tcPr>
            <w:tcW w:type="dxa" w:w="4561"/>
          </w:tcPr>
          <w:p>
            <w:r>
              <w:rPr>
                <w:rFonts w:ascii="Calibri" w:hAnsi="Calibri"/>
                <w:sz w:val="18"/>
              </w:rPr>
              <w:t>Régimen jurídico de las Asociaciones Público Privadas</w:t>
            </w:r>
          </w:p>
        </w:tc>
      </w:tr>
      <w:tr>
        <w:tc>
          <w:tcPr>
            <w:tcW w:type="dxa" w:w="4561"/>
          </w:tcPr>
          <w:p>
            <w:r>
              <w:rPr>
                <w:rFonts w:ascii="Calibri" w:hAnsi="Calibri"/>
                <w:sz w:val="18"/>
              </w:rPr>
              <w:t>Decreto 1082 de 2015</w:t>
            </w:r>
          </w:p>
        </w:tc>
        <w:tc>
          <w:tcPr>
            <w:tcW w:type="dxa" w:w="4561"/>
          </w:tcPr>
          <w:p>
            <w:r>
              <w:rPr>
                <w:rFonts w:ascii="Calibri" w:hAnsi="Calibri"/>
                <w:sz w:val="18"/>
              </w:rPr>
              <w:t>Decreto Único Reglamentario del Sector Administrativo de Planeación Nacional</w:t>
            </w:r>
          </w:p>
        </w:tc>
      </w:tr>
      <w:tr>
        <w:tc>
          <w:tcPr>
            <w:tcW w:type="dxa" w:w="4561"/>
          </w:tcPr>
          <w:p>
            <w:r>
              <w:rPr>
                <w:rFonts w:ascii="Calibri" w:hAnsi="Calibri"/>
                <w:sz w:val="18"/>
              </w:rPr>
              <w:t>Decreto 438 de 2021</w:t>
            </w:r>
          </w:p>
        </w:tc>
        <w:tc>
          <w:tcPr>
            <w:tcW w:type="dxa" w:w="4561"/>
          </w:tcPr>
          <w:p>
            <w:r>
              <w:rPr>
                <w:rFonts w:ascii="Calibri" w:hAnsi="Calibri"/>
                <w:sz w:val="18"/>
              </w:rPr>
              <w:t>Modifica el Decreto 1082 de 2015 en materia de APP</w:t>
            </w:r>
          </w:p>
        </w:tc>
      </w:tr>
      <w:tr>
        <w:tc>
          <w:tcPr>
            <w:tcW w:type="dxa" w:w="4561"/>
          </w:tcPr>
          <w:p>
            <w:r>
              <w:rPr>
                <w:rFonts w:ascii="Calibri" w:hAnsi="Calibri"/>
                <w:sz w:val="18"/>
              </w:rPr>
              <w:t>Ley 80 de 1993</w:t>
            </w:r>
          </w:p>
        </w:tc>
        <w:tc>
          <w:tcPr>
            <w:tcW w:type="dxa" w:w="4561"/>
          </w:tcPr>
          <w:p>
            <w:r>
              <w:rPr>
                <w:rFonts w:ascii="Calibri" w:hAnsi="Calibri"/>
                <w:sz w:val="18"/>
              </w:rPr>
              <w:t>Estatuto General de Contratación de la Administración Pública</w:t>
            </w:r>
          </w:p>
        </w:tc>
      </w:tr>
      <w:tr>
        <w:tc>
          <w:tcPr>
            <w:tcW w:type="dxa" w:w="4561"/>
          </w:tcPr>
          <w:p>
            <w:r>
              <w:rPr>
                <w:rFonts w:ascii="Calibri" w:hAnsi="Calibri"/>
                <w:sz w:val="18"/>
              </w:rPr>
              <w:t>Ley 1150 de 2007</w:t>
            </w:r>
          </w:p>
        </w:tc>
        <w:tc>
          <w:tcPr>
            <w:tcW w:type="dxa" w:w="4561"/>
          </w:tcPr>
          <w:p>
            <w:r>
              <w:rPr>
                <w:rFonts w:ascii="Calibri" w:hAnsi="Calibri"/>
                <w:sz w:val="18"/>
              </w:rPr>
              <w:t>Medidas para la eficiencia y transparencia en la contratación pública</w:t>
            </w:r>
          </w:p>
        </w:tc>
      </w:tr>
      <w:tr>
        <w:tc>
          <w:tcPr>
            <w:tcW w:type="dxa" w:w="4561"/>
          </w:tcPr>
          <w:p>
            <w:r>
              <w:rPr>
                <w:rFonts w:ascii="Calibri" w:hAnsi="Calibri"/>
                <w:sz w:val="18"/>
              </w:rPr>
              <w:t>Ley 448 de 1998</w:t>
            </w:r>
          </w:p>
        </w:tc>
        <w:tc>
          <w:tcPr>
            <w:tcW w:type="dxa" w:w="4561"/>
          </w:tcPr>
          <w:p>
            <w:r>
              <w:rPr>
                <w:rFonts w:ascii="Calibri" w:hAnsi="Calibri"/>
                <w:sz w:val="18"/>
              </w:rPr>
              <w:t>Régimen de obligaciones contingentes</w:t>
            </w:r>
          </w:p>
        </w:tc>
      </w:tr>
      <w:tr>
        <w:tc>
          <w:tcPr>
            <w:tcW w:type="dxa" w:w="4561"/>
          </w:tcPr>
          <w:p>
            <w:r>
              <w:rPr>
                <w:rFonts w:ascii="Calibri" w:hAnsi="Calibri"/>
                <w:sz w:val="18"/>
              </w:rPr>
              <w:t>NSR-10</w:t>
            </w:r>
          </w:p>
        </w:tc>
        <w:tc>
          <w:tcPr>
            <w:tcW w:type="dxa" w:w="4561"/>
          </w:tcPr>
          <w:p>
            <w:r>
              <w:rPr>
                <w:rFonts w:ascii="Calibri" w:hAnsi="Calibri"/>
                <w:sz w:val="18"/>
              </w:rPr>
              <w:t>Norma de Construcciones Sismo Resistentes 2010</w:t>
            </w:r>
          </w:p>
        </w:tc>
      </w:tr>
      <w:tr>
        <w:tc>
          <w:tcPr>
            <w:tcW w:type="dxa" w:w="4561"/>
          </w:tcPr>
          <w:p>
            <w:r>
              <w:rPr>
                <w:rFonts w:ascii="Calibri" w:hAnsi="Calibri"/>
                <w:sz w:val="18"/>
              </w:rPr>
              <w:t>Ley 1618 de 2013</w:t>
            </w:r>
          </w:p>
        </w:tc>
        <w:tc>
          <w:tcPr>
            <w:tcW w:type="dxa" w:w="4561"/>
          </w:tcPr>
          <w:p>
            <w:r>
              <w:rPr>
                <w:rFonts w:ascii="Calibri" w:hAnsi="Calibri"/>
                <w:sz w:val="18"/>
              </w:rPr>
              <w:t>Garantía del ejercicio de los derechos de las personas con discapacidad</w:t>
            </w:r>
          </w:p>
        </w:tc>
      </w:tr>
      <w:tr>
        <w:tc>
          <w:tcPr>
            <w:tcW w:type="dxa" w:w="4561"/>
          </w:tcPr>
          <w:p>
            <w:r>
              <w:rPr>
                <w:rFonts w:ascii="Calibri" w:hAnsi="Calibri"/>
                <w:sz w:val="18"/>
              </w:rPr>
              <w:t>Resolución 0627 de 2006</w:t>
            </w:r>
          </w:p>
        </w:tc>
        <w:tc>
          <w:tcPr>
            <w:tcW w:type="dxa" w:w="4561"/>
          </w:tcPr>
          <w:p>
            <w:r>
              <w:rPr>
                <w:rFonts w:ascii="Calibri" w:hAnsi="Calibri"/>
                <w:sz w:val="18"/>
              </w:rPr>
              <w:t>Norma nacional de emisión de ruido</w:t>
            </w:r>
          </w:p>
        </w:tc>
      </w:tr>
      <w:tr>
        <w:tc>
          <w:tcPr>
            <w:tcW w:type="dxa" w:w="4561"/>
          </w:tcPr>
          <w:p>
            <w:r>
              <w:rPr>
                <w:rFonts w:ascii="Calibri" w:hAnsi="Calibri"/>
                <w:sz w:val="18"/>
              </w:rPr>
              <w:t>CONPES 3714 de 2011</w:t>
            </w:r>
          </w:p>
        </w:tc>
        <w:tc>
          <w:tcPr>
            <w:tcW w:type="dxa" w:w="4561"/>
          </w:tcPr>
          <w:p>
            <w:r>
              <w:rPr>
                <w:rFonts w:ascii="Calibri" w:hAnsi="Calibri"/>
                <w:sz w:val="18"/>
              </w:rPr>
              <w:t>Política de riesgo previsible en contratación pública</w:t>
            </w:r>
          </w:p>
        </w:tc>
      </w:tr>
    </w:tbl>
    <w:p/>
    <w:p>
      <w:pPr>
        <w:pStyle w:val="Heading2"/>
      </w:pPr>
      <w:r>
        <w:t>8.2 Normatividad Municipal</w:t>
      </w:r>
    </w:p>
    <w:tbl>
      <w:tblPr>
        <w:tblStyle w:val="LightGrid-Accent1"/>
        <w:tblW w:type="auto" w:w="0"/>
        <w:jc w:val="center"/>
        <w:tblLook w:firstColumn="1" w:firstRow="1" w:lastColumn="0" w:lastRow="0" w:noHBand="0" w:noVBand="1" w:val="04A0"/>
      </w:tblPr>
      <w:tblGrid>
        <w:gridCol w:w="4561"/>
        <w:gridCol w:w="4561"/>
      </w:tblGrid>
      <w:tr>
        <w:tc>
          <w:tcPr>
            <w:tcW w:type="dxa" w:w="4561"/>
          </w:tcPr>
          <w:p>
            <w:r>
              <w:rPr>
                <w:rFonts w:ascii="Calibri" w:hAnsi="Calibri"/>
                <w:b/>
                <w:sz w:val="18"/>
              </w:rPr>
              <w:t>Norma</w:t>
            </w:r>
          </w:p>
        </w:tc>
        <w:tc>
          <w:tcPr>
            <w:tcW w:type="dxa" w:w="4561"/>
          </w:tcPr>
          <w:p>
            <w:r>
              <w:rPr>
                <w:rFonts w:ascii="Calibri" w:hAnsi="Calibri"/>
                <w:b/>
                <w:sz w:val="18"/>
              </w:rPr>
              <w:t>Contenido relevante</w:t>
            </w:r>
          </w:p>
        </w:tc>
      </w:tr>
      <w:tr>
        <w:tc>
          <w:tcPr>
            <w:tcW w:type="dxa" w:w="4561"/>
          </w:tcPr>
          <w:p>
            <w:r>
              <w:rPr>
                <w:rFonts w:ascii="Calibri" w:hAnsi="Calibri"/>
                <w:sz w:val="18"/>
              </w:rPr>
              <w:t>Acuerdo 48 de 2014</w:t>
            </w:r>
          </w:p>
        </w:tc>
        <w:tc>
          <w:tcPr>
            <w:tcW w:type="dxa" w:w="4561"/>
          </w:tcPr>
          <w:p>
            <w:r>
              <w:rPr>
                <w:rFonts w:ascii="Calibri" w:hAnsi="Calibri"/>
                <w:sz w:val="18"/>
              </w:rPr>
              <w:t>Plan de Ordenamiento Territorial de Medellín — uso de suelo CN3 (alta mixtura), alturas, estacionamientos</w:t>
            </w:r>
          </w:p>
        </w:tc>
      </w:tr>
      <w:tr>
        <w:tc>
          <w:tcPr>
            <w:tcW w:type="dxa" w:w="4561"/>
          </w:tcPr>
          <w:p>
            <w:r>
              <w:rPr>
                <w:rFonts w:ascii="Calibri" w:hAnsi="Calibri"/>
                <w:sz w:val="18"/>
              </w:rPr>
              <w:t>Decreto 0471 de 2018</w:t>
            </w:r>
          </w:p>
        </w:tc>
        <w:tc>
          <w:tcPr>
            <w:tcW w:type="dxa" w:w="4561"/>
          </w:tcPr>
          <w:p>
            <w:r>
              <w:rPr>
                <w:rFonts w:ascii="Calibri" w:hAnsi="Calibri"/>
                <w:sz w:val="18"/>
              </w:rPr>
              <w:t>Regulación de dimensiones de celdas de parqueo y localización</w:t>
            </w:r>
          </w:p>
        </w:tc>
      </w:tr>
      <w:tr>
        <w:tc>
          <w:tcPr>
            <w:tcW w:type="dxa" w:w="4561"/>
          </w:tcPr>
          <w:p>
            <w:r>
              <w:rPr>
                <w:rFonts w:ascii="Calibri" w:hAnsi="Calibri"/>
                <w:sz w:val="18"/>
              </w:rPr>
              <w:t>Decreto 0522 de 2018</w:t>
            </w:r>
          </w:p>
        </w:tc>
        <w:tc>
          <w:tcPr>
            <w:tcW w:type="dxa" w:w="4561"/>
          </w:tcPr>
          <w:p>
            <w:r>
              <w:rPr>
                <w:rFonts w:ascii="Calibri" w:hAnsi="Calibri"/>
                <w:sz w:val="18"/>
              </w:rPr>
              <w:t>Normas complementarias de estacionamientos</w:t>
            </w:r>
          </w:p>
        </w:tc>
      </w:tr>
      <w:tr>
        <w:tc>
          <w:tcPr>
            <w:tcW w:type="dxa" w:w="4561"/>
          </w:tcPr>
          <w:p>
            <w:r>
              <w:rPr>
                <w:rFonts w:ascii="Calibri" w:hAnsi="Calibri"/>
                <w:sz w:val="18"/>
              </w:rPr>
              <w:t>Acuerdo 66 de 2017</w:t>
            </w:r>
          </w:p>
        </w:tc>
        <w:tc>
          <w:tcPr>
            <w:tcW w:type="dxa" w:w="4561"/>
          </w:tcPr>
          <w:p>
            <w:r>
              <w:rPr>
                <w:rFonts w:ascii="Calibri" w:hAnsi="Calibri"/>
                <w:sz w:val="18"/>
              </w:rPr>
              <w:t>Estatuto Tributario de Medellín — exención de predial por 5 años para parqueaderos subterráneos mecanizados nuevos dentro de 500m de estaciones de Metro, incluyendo Laureles-Estadio. Tarifa mínima de ICA (2 por mil).</w:t>
            </w:r>
          </w:p>
        </w:tc>
      </w:tr>
    </w:tbl>
    <w:p/>
    <w:p>
      <w:r/>
      <w:r>
        <w:rPr>
          <w:b/>
        </w:rPr>
        <w:t>Hallazgo relevante:</w:t>
      </w:r>
      <w:r>
        <w:t xml:space="preserve"> El Acuerdo 66 de 2017 del Concejo de Medellín establece incentivos tributarios específicos para la construcción de parqueaderos subterráneos o mecanizados en zonas próximas a estaciones del Metro (dentro de 500 metros), incluyendo el sector de Laureles-Estadio. Los beneficios incluyen </w:t>
      </w:r>
      <w:r>
        <w:rPr>
          <w:b/>
        </w:rPr>
        <w:t>exención del impuesto predial por 5 años</w:t>
      </w:r>
      <w:r>
        <w:t xml:space="preserve"> y aplicación de la </w:t>
      </w:r>
      <w:r>
        <w:rPr>
          <w:b/>
        </w:rPr>
        <w:t>tarifa mínima de industria y comercio (2 por mil)</w:t>
      </w:r>
      <w:r>
        <w:t>. El proyecto Diamante se ubica a menos de 300 metros de la estación Estadio del Metro, lo que lo hace elegible para estos incentivos.</w:t>
      </w:r>
    </w:p>
    <w:p>
      <w:pPr>
        <w:pStyle w:val="Heading2"/>
      </w:pPr>
      <w:r>
        <w:t>8.3 Propiedad y Administración del Predio</w:t>
      </w:r>
    </w:p>
    <w:p>
      <w:r>
        <w:t>La Unidad Deportiva Atanasio Girardot es de propiedad del Municipio de Medellín, con administración a cargo del INDER (Instituto de Deportes y Recreación de Medellín), entidad descentralizada del orden municipal. Para la ejecución del proyecto se requerirá:</w:t>
      </w:r>
    </w:p>
    <w:p>
      <w:pPr>
        <w:pStyle w:val="ListNumber"/>
      </w:pPr>
      <w:r>
        <w:t>Autorización del Concejo de Medellín para el uso del bien público bajo esquema APP</w:t>
      </w:r>
    </w:p>
    <w:p>
      <w:pPr>
        <w:pStyle w:val="ListNumber"/>
      </w:pPr>
      <w:r>
        <w:t>Concepto favorable del INDER sobre la compatibilidad del proyecto con el plan maestro del complejo deportivo</w:t>
      </w:r>
    </w:p>
    <w:p>
      <w:pPr>
        <w:pStyle w:val="ListNumber"/>
      </w:pPr>
      <w:r>
        <w:t>Verificación de títulos, gravámenes, servidumbres y demás derechos sobre el predio</w:t>
      </w:r>
    </w:p>
    <w:p>
      <w:pPr>
        <w:pStyle w:val="ListNumber"/>
      </w:pPr>
      <w:r>
        <w:t>Licencia de construcción expedida por la Curaduría Urbana correspondiente</w:t>
      </w:r>
    </w:p>
    <w:p>
      <w:pPr>
        <w:pStyle w:val="ListNumber"/>
      </w:pPr>
      <w:r>
        <w:t>Concepto de movilidad de la Secretaría de Movilidad</w:t>
      </w:r>
    </w:p>
    <w:p>
      <w:pPr>
        <w:pStyle w:val="ListNumber"/>
      </w:pPr>
      <w:r>
        <w:t>Autorización ambiental del AMVA (si se requiere intervención de arbolado)</w:t>
      </w:r>
    </w:p>
    <w:p>
      <w:pPr>
        <w:pStyle w:val="Heading1"/>
      </w:pPr>
      <w:r>
        <w:t>9. IMPACTO SOCIAL Y AMBIENTAL</w:t>
      </w:r>
    </w:p>
    <w:p>
      <w:pPr>
        <w:pStyle w:val="Heading2"/>
      </w:pPr>
      <w:r>
        <w:t>9.1 Impacto Social Positivo</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r>
              <w:rPr>
                <w:rFonts w:ascii="Calibri" w:hAnsi="Calibri"/>
                <w:b/>
                <w:sz w:val="18"/>
              </w:rPr>
              <w:t>Dimensión</w:t>
            </w:r>
          </w:p>
        </w:tc>
        <w:tc>
          <w:tcPr>
            <w:tcW w:type="dxa" w:w="3041"/>
          </w:tcPr>
          <w:p>
            <w:r>
              <w:rPr>
                <w:rFonts w:ascii="Calibri" w:hAnsi="Calibri"/>
                <w:b/>
                <w:sz w:val="18"/>
              </w:rPr>
              <w:t>Impacto</w:t>
            </w:r>
          </w:p>
        </w:tc>
        <w:tc>
          <w:tcPr>
            <w:tcW w:type="dxa" w:w="3041"/>
          </w:tcPr>
          <w:p>
            <w:r>
              <w:rPr>
                <w:rFonts w:ascii="Calibri" w:hAnsi="Calibri"/>
                <w:b/>
                <w:sz w:val="18"/>
              </w:rPr>
              <w:t>Cuantificación</w:t>
            </w:r>
          </w:p>
        </w:tc>
      </w:tr>
      <w:tr>
        <w:tc>
          <w:tcPr>
            <w:tcW w:type="dxa" w:w="3041"/>
          </w:tcPr>
          <w:p>
            <w:r>
              <w:rPr>
                <w:rFonts w:ascii="Calibri" w:hAnsi="Calibri"/>
                <w:sz w:val="18"/>
              </w:rPr>
              <w:t>Empleo directo (construcción)</w:t>
            </w:r>
          </w:p>
        </w:tc>
        <w:tc>
          <w:tcPr>
            <w:tcW w:type="dxa" w:w="3041"/>
          </w:tcPr>
          <w:p>
            <w:r>
              <w:rPr>
                <w:rFonts w:ascii="Calibri" w:hAnsi="Calibri"/>
                <w:sz w:val="18"/>
              </w:rPr>
              <w:t>Generación de empleo temporal</w:t>
            </w:r>
          </w:p>
        </w:tc>
        <w:tc>
          <w:tcPr>
            <w:tcW w:type="dxa" w:w="3041"/>
          </w:tcPr>
          <w:p>
            <w:r>
              <w:rPr>
                <w:rFonts w:ascii="Calibri" w:hAnsi="Calibri"/>
                <w:sz w:val="18"/>
              </w:rPr>
              <w:t>~200-300 empleos directos, ~500 indirectos</w:t>
            </w:r>
          </w:p>
        </w:tc>
      </w:tr>
      <w:tr>
        <w:tc>
          <w:tcPr>
            <w:tcW w:type="dxa" w:w="3041"/>
          </w:tcPr>
          <w:p>
            <w:r>
              <w:rPr>
                <w:rFonts w:ascii="Calibri" w:hAnsi="Calibri"/>
                <w:sz w:val="18"/>
              </w:rPr>
              <w:t>Empleo directo (operación)</w:t>
            </w:r>
          </w:p>
        </w:tc>
        <w:tc>
          <w:tcPr>
            <w:tcW w:type="dxa" w:w="3041"/>
          </w:tcPr>
          <w:p>
            <w:r>
              <w:rPr>
                <w:rFonts w:ascii="Calibri" w:hAnsi="Calibri"/>
                <w:sz w:val="18"/>
              </w:rPr>
              <w:t>Generación de empleo permanente</w:t>
            </w:r>
          </w:p>
        </w:tc>
        <w:tc>
          <w:tcPr>
            <w:tcW w:type="dxa" w:w="3041"/>
          </w:tcPr>
          <w:p>
            <w:r>
              <w:rPr>
                <w:rFonts w:ascii="Calibri" w:hAnsi="Calibri"/>
                <w:sz w:val="18"/>
              </w:rPr>
              <w:t>~30-50 empleos directos</w:t>
            </w:r>
          </w:p>
        </w:tc>
      </w:tr>
      <w:tr>
        <w:tc>
          <w:tcPr>
            <w:tcW w:type="dxa" w:w="3041"/>
          </w:tcPr>
          <w:p>
            <w:r>
              <w:rPr>
                <w:rFonts w:ascii="Calibri" w:hAnsi="Calibri"/>
                <w:sz w:val="18"/>
              </w:rPr>
              <w:t>Movilidad</w:t>
            </w:r>
          </w:p>
        </w:tc>
        <w:tc>
          <w:tcPr>
            <w:tcW w:type="dxa" w:w="3041"/>
          </w:tcPr>
          <w:p>
            <w:r>
              <w:rPr>
                <w:rFonts w:ascii="Calibri" w:hAnsi="Calibri"/>
                <w:sz w:val="18"/>
              </w:rPr>
              <w:t>Reducción de congestión por eliminación de cruising</w:t>
            </w:r>
          </w:p>
        </w:tc>
        <w:tc>
          <w:tcPr>
            <w:tcW w:type="dxa" w:w="3041"/>
          </w:tcPr>
          <w:p>
            <w:r>
              <w:rPr>
                <w:rFonts w:ascii="Calibri" w:hAnsi="Calibri"/>
                <w:sz w:val="18"/>
              </w:rPr>
              <w:t>~30% del tráfico es búsqueda de parqueo (ref. internacional)</w:t>
            </w:r>
          </w:p>
        </w:tc>
      </w:tr>
      <w:tr>
        <w:tc>
          <w:tcPr>
            <w:tcW w:type="dxa" w:w="3041"/>
          </w:tcPr>
          <w:p>
            <w:r>
              <w:rPr>
                <w:rFonts w:ascii="Calibri" w:hAnsi="Calibri"/>
                <w:sz w:val="18"/>
              </w:rPr>
              <w:t>Seguridad vial</w:t>
            </w:r>
          </w:p>
        </w:tc>
        <w:tc>
          <w:tcPr>
            <w:tcW w:type="dxa" w:w="3041"/>
          </w:tcPr>
          <w:p>
            <w:r>
              <w:rPr>
                <w:rFonts w:ascii="Calibri" w:hAnsi="Calibri"/>
                <w:sz w:val="18"/>
              </w:rPr>
              <w:t>Reducción de siniestros por maniobras de parqueo ilegal</w:t>
            </w:r>
          </w:p>
        </w:tc>
        <w:tc>
          <w:tcPr>
            <w:tcW w:type="dxa" w:w="3041"/>
          </w:tcPr>
          <w:p>
            <w:r>
              <w:rPr>
                <w:rFonts w:ascii="Calibri" w:hAnsi="Calibri"/>
                <w:sz w:val="18"/>
              </w:rPr>
              <w:t>Corredores F → potencial mejora a E</w:t>
            </w:r>
          </w:p>
        </w:tc>
      </w:tr>
      <w:tr>
        <w:tc>
          <w:tcPr>
            <w:tcW w:type="dxa" w:w="3041"/>
          </w:tcPr>
          <w:p>
            <w:r>
              <w:rPr>
                <w:rFonts w:ascii="Calibri" w:hAnsi="Calibri"/>
                <w:sz w:val="18"/>
              </w:rPr>
              <w:t>Seguridad patrimonial</w:t>
            </w:r>
          </w:p>
        </w:tc>
        <w:tc>
          <w:tcPr>
            <w:tcW w:type="dxa" w:w="3041"/>
          </w:tcPr>
          <w:p>
            <w:r>
              <w:rPr>
                <w:rFonts w:ascii="Calibri" w:hAnsi="Calibri"/>
                <w:sz w:val="18"/>
              </w:rPr>
              <w:t>Eliminación del parqueo informal sin vigilancia</w:t>
            </w:r>
          </w:p>
        </w:tc>
        <w:tc>
          <w:tcPr>
            <w:tcW w:type="dxa" w:w="3041"/>
          </w:tcPr>
          <w:p>
            <w:r>
              <w:rPr>
                <w:rFonts w:ascii="Calibri" w:hAnsi="Calibri"/>
                <w:sz w:val="18"/>
              </w:rPr>
              <w:t>Reducción de hurtos a vehículos</w:t>
            </w:r>
          </w:p>
        </w:tc>
      </w:tr>
      <w:tr>
        <w:tc>
          <w:tcPr>
            <w:tcW w:type="dxa" w:w="3041"/>
          </w:tcPr>
          <w:p>
            <w:r>
              <w:rPr>
                <w:rFonts w:ascii="Calibri" w:hAnsi="Calibri"/>
                <w:sz w:val="18"/>
              </w:rPr>
              <w:t>Actividad económica</w:t>
            </w:r>
          </w:p>
        </w:tc>
        <w:tc>
          <w:tcPr>
            <w:tcW w:type="dxa" w:w="3041"/>
          </w:tcPr>
          <w:p>
            <w:r>
              <w:rPr>
                <w:rFonts w:ascii="Calibri" w:hAnsi="Calibri"/>
                <w:sz w:val="18"/>
              </w:rPr>
              <w:t>Dinamización del comercio en el nivel calle</w:t>
            </w:r>
          </w:p>
        </w:tc>
        <w:tc>
          <w:tcPr>
            <w:tcW w:type="dxa" w:w="3041"/>
          </w:tcPr>
          <w:p>
            <w:r>
              <w:rPr>
                <w:rFonts w:ascii="Calibri" w:hAnsi="Calibri"/>
                <w:sz w:val="18"/>
              </w:rPr>
              <w:t>2,000 m² de nuevos locales comerciales</w:t>
            </w:r>
          </w:p>
        </w:tc>
      </w:tr>
      <w:tr>
        <w:tc>
          <w:tcPr>
            <w:tcW w:type="dxa" w:w="3041"/>
          </w:tcPr>
          <w:p>
            <w:r>
              <w:rPr>
                <w:rFonts w:ascii="Calibri" w:hAnsi="Calibri"/>
                <w:sz w:val="18"/>
              </w:rPr>
              <w:t>Patrimonio arquitectónico</w:t>
            </w:r>
          </w:p>
        </w:tc>
        <w:tc>
          <w:tcPr>
            <w:tcW w:type="dxa" w:w="3041"/>
          </w:tcPr>
          <w:p>
            <w:r>
              <w:rPr>
                <w:rFonts w:ascii="Calibri" w:hAnsi="Calibri"/>
                <w:sz w:val="18"/>
              </w:rPr>
              <w:t>Conservación del complejo deportivo</w:t>
            </w:r>
          </w:p>
        </w:tc>
        <w:tc>
          <w:tcPr>
            <w:tcW w:type="dxa" w:w="3041"/>
          </w:tcPr>
          <w:p>
            <w:r>
              <w:rPr>
                <w:rFonts w:ascii="Calibri" w:hAnsi="Calibri"/>
                <w:sz w:val="18"/>
              </w:rPr>
              <w:t>Intervención subterránea, mínimo impacto visual</w:t>
            </w:r>
          </w:p>
        </w:tc>
      </w:tr>
    </w:tbl>
    <w:p/>
    <w:p>
      <w:pPr>
        <w:pStyle w:val="Heading2"/>
      </w:pPr>
      <w:r>
        <w:t>9.2 Impacto Ambiental</w:t>
      </w:r>
    </w:p>
    <w:tbl>
      <w:tblPr>
        <w:tblStyle w:val="LightGrid-Accent1"/>
        <w:tblW w:type="auto" w:w="0"/>
        <w:jc w:val="center"/>
        <w:tblLook w:firstColumn="1" w:firstRow="1" w:lastColumn="0" w:lastRow="0" w:noHBand="0" w:noVBand="1" w:val="04A0"/>
      </w:tblPr>
      <w:tblGrid>
        <w:gridCol w:w="3041"/>
        <w:gridCol w:w="3041"/>
        <w:gridCol w:w="3041"/>
      </w:tblGrid>
      <w:tr>
        <w:tc>
          <w:tcPr>
            <w:tcW w:type="dxa" w:w="3041"/>
          </w:tcPr>
          <w:p>
            <w:r>
              <w:rPr>
                <w:rFonts w:ascii="Calibri" w:hAnsi="Calibri"/>
                <w:b/>
                <w:sz w:val="18"/>
              </w:rPr>
              <w:t>Dimensión</w:t>
            </w:r>
          </w:p>
        </w:tc>
        <w:tc>
          <w:tcPr>
            <w:tcW w:type="dxa" w:w="3041"/>
          </w:tcPr>
          <w:p>
            <w:r>
              <w:rPr>
                <w:rFonts w:ascii="Calibri" w:hAnsi="Calibri"/>
                <w:b/>
                <w:sz w:val="18"/>
              </w:rPr>
              <w:t>Fase de construcción</w:t>
            </w:r>
          </w:p>
        </w:tc>
        <w:tc>
          <w:tcPr>
            <w:tcW w:type="dxa" w:w="3041"/>
          </w:tcPr>
          <w:p>
            <w:r>
              <w:rPr>
                <w:rFonts w:ascii="Calibri" w:hAnsi="Calibri"/>
                <w:b/>
                <w:sz w:val="18"/>
              </w:rPr>
              <w:t>Fase de operación</w:t>
            </w:r>
          </w:p>
        </w:tc>
      </w:tr>
      <w:tr>
        <w:tc>
          <w:tcPr>
            <w:tcW w:type="dxa" w:w="3041"/>
          </w:tcPr>
          <w:p>
            <w:r>
              <w:rPr>
                <w:rFonts w:ascii="Calibri" w:hAnsi="Calibri"/>
                <w:sz w:val="18"/>
              </w:rPr>
              <w:t>Calidad del aire</w:t>
            </w:r>
          </w:p>
        </w:tc>
        <w:tc>
          <w:tcPr>
            <w:tcW w:type="dxa" w:w="3041"/>
          </w:tcPr>
          <w:p>
            <w:r>
              <w:rPr>
                <w:rFonts w:ascii="Calibri" w:hAnsi="Calibri"/>
                <w:sz w:val="18"/>
              </w:rPr>
              <w:t>Temporal negativo (maquinaria, material particulado)</w:t>
            </w:r>
          </w:p>
        </w:tc>
        <w:tc>
          <w:tcPr>
            <w:tcW w:type="dxa" w:w="3041"/>
          </w:tcPr>
          <w:p>
            <w:r>
              <w:rPr>
                <w:rFonts w:ascii="Calibri" w:hAnsi="Calibri"/>
                <w:sz w:val="18"/>
              </w:rPr>
              <w:t>Positivo (reducción de cruising)</w:t>
            </w:r>
          </w:p>
        </w:tc>
      </w:tr>
      <w:tr>
        <w:tc>
          <w:tcPr>
            <w:tcW w:type="dxa" w:w="3041"/>
          </w:tcPr>
          <w:p>
            <w:r>
              <w:rPr>
                <w:rFonts w:ascii="Calibri" w:hAnsi="Calibri"/>
                <w:sz w:val="18"/>
              </w:rPr>
              <w:t>Ruido</w:t>
            </w:r>
          </w:p>
        </w:tc>
        <w:tc>
          <w:tcPr>
            <w:tcW w:type="dxa" w:w="3041"/>
          </w:tcPr>
          <w:p>
            <w:r>
              <w:rPr>
                <w:rFonts w:ascii="Calibri" w:hAnsi="Calibri"/>
                <w:sz w:val="18"/>
              </w:rPr>
              <w:t>Temporal negativo (excavación, pilotes)</w:t>
            </w:r>
          </w:p>
        </w:tc>
        <w:tc>
          <w:tcPr>
            <w:tcW w:type="dxa" w:w="3041"/>
          </w:tcPr>
          <w:p>
            <w:r>
              <w:rPr>
                <w:rFonts w:ascii="Calibri" w:hAnsi="Calibri"/>
                <w:sz w:val="18"/>
              </w:rPr>
              <w:t>Neutro (operación subterránea)</w:t>
            </w:r>
          </w:p>
        </w:tc>
      </w:tr>
      <w:tr>
        <w:tc>
          <w:tcPr>
            <w:tcW w:type="dxa" w:w="3041"/>
          </w:tcPr>
          <w:p>
            <w:r>
              <w:rPr>
                <w:rFonts w:ascii="Calibri" w:hAnsi="Calibri"/>
                <w:sz w:val="18"/>
              </w:rPr>
              <w:t>Arbolado</w:t>
            </w:r>
          </w:p>
        </w:tc>
        <w:tc>
          <w:tcPr>
            <w:tcW w:type="dxa" w:w="3041"/>
          </w:tcPr>
          <w:p>
            <w:r>
              <w:rPr>
                <w:rFonts w:ascii="Calibri" w:hAnsi="Calibri"/>
                <w:sz w:val="18"/>
              </w:rPr>
              <w:t>Posible remoción con compensación 3:1</w:t>
            </w:r>
          </w:p>
        </w:tc>
        <w:tc>
          <w:tcPr>
            <w:tcW w:type="dxa" w:w="3041"/>
          </w:tcPr>
          <w:p>
            <w:r>
              <w:rPr>
                <w:rFonts w:ascii="Calibri" w:hAnsi="Calibri"/>
                <w:sz w:val="18"/>
              </w:rPr>
              <w:t>Revegetación posterior</w:t>
            </w:r>
          </w:p>
        </w:tc>
      </w:tr>
      <w:tr>
        <w:tc>
          <w:tcPr>
            <w:tcW w:type="dxa" w:w="3041"/>
          </w:tcPr>
          <w:p>
            <w:r>
              <w:rPr>
                <w:rFonts w:ascii="Calibri" w:hAnsi="Calibri"/>
                <w:sz w:val="18"/>
              </w:rPr>
              <w:t>Suelo</w:t>
            </w:r>
          </w:p>
        </w:tc>
        <w:tc>
          <w:tcPr>
            <w:tcW w:type="dxa" w:w="3041"/>
          </w:tcPr>
          <w:p>
            <w:r>
              <w:rPr>
                <w:rFonts w:ascii="Calibri" w:hAnsi="Calibri"/>
                <w:sz w:val="18"/>
              </w:rPr>
              <w:t>Excavación y manejo de escombros</w:t>
            </w:r>
          </w:p>
        </w:tc>
        <w:tc>
          <w:tcPr>
            <w:tcW w:type="dxa" w:w="3041"/>
          </w:tcPr>
          <w:p>
            <w:r>
              <w:rPr>
                <w:rFonts w:ascii="Calibri" w:hAnsi="Calibri"/>
                <w:sz w:val="18"/>
              </w:rPr>
              <w:t>Impermeabilización definitiva</w:t>
            </w:r>
          </w:p>
        </w:tc>
      </w:tr>
      <w:tr>
        <w:tc>
          <w:tcPr>
            <w:tcW w:type="dxa" w:w="3041"/>
          </w:tcPr>
          <w:p>
            <w:r>
              <w:rPr>
                <w:rFonts w:ascii="Calibri" w:hAnsi="Calibri"/>
                <w:sz w:val="18"/>
              </w:rPr>
              <w:t>Agua</w:t>
            </w:r>
          </w:p>
        </w:tc>
        <w:tc>
          <w:tcPr>
            <w:tcW w:type="dxa" w:w="3041"/>
          </w:tcPr>
          <w:p>
            <w:r>
              <w:rPr>
                <w:rFonts w:ascii="Calibri" w:hAnsi="Calibri"/>
                <w:sz w:val="18"/>
              </w:rPr>
              <w:t>Plan de manejo de aguas freáticas</w:t>
            </w:r>
          </w:p>
        </w:tc>
        <w:tc>
          <w:tcPr>
            <w:tcW w:type="dxa" w:w="3041"/>
          </w:tcPr>
          <w:p>
            <w:r>
              <w:rPr>
                <w:rFonts w:ascii="Calibri" w:hAnsi="Calibri"/>
                <w:sz w:val="18"/>
              </w:rPr>
              <w:t>Sistema de drenaje y bombeo permanente</w:t>
            </w:r>
          </w:p>
        </w:tc>
      </w:tr>
    </w:tbl>
    <w:p/>
    <w:p>
      <w:r/>
      <w:r>
        <w:rPr>
          <w:b/>
        </w:rPr>
        <w:t>Mitigaciones previstas:</w:t>
      </w:r>
      <w:r/>
    </w:p>
    <w:p>
      <w:pPr>
        <w:pStyle w:val="ListBullet"/>
      </w:pPr>
      <w:r>
        <w:t>Plan de Manejo de Tránsito (PMT) durante la construcción</w:t>
      </w:r>
    </w:p>
    <w:p>
      <w:pPr>
        <w:pStyle w:val="ListBullet"/>
      </w:pPr>
      <w:r>
        <w:t>Plan de Manejo Ambiental (PMA) con autorización del AMVA</w:t>
      </w:r>
    </w:p>
    <w:p>
      <w:pPr>
        <w:pStyle w:val="ListBullet"/>
      </w:pPr>
      <w:r>
        <w:t>Horarios de obra restringidos (7AM-6PM días hábiles)</w:t>
      </w:r>
    </w:p>
    <w:p>
      <w:pPr>
        <w:pStyle w:val="ListBullet"/>
      </w:pPr>
      <w:r>
        <w:t>Monitoreo continuo de niveles de ruido y material particulado</w:t>
      </w:r>
    </w:p>
    <w:p>
      <w:pPr>
        <w:pStyle w:val="ListBullet"/>
      </w:pPr>
      <w:r>
        <w:t>Compensación de arbolado: 3-5 árboles plantados por cada árbol removido</w:t>
      </w:r>
    </w:p>
    <w:p>
      <w:pPr>
        <w:pStyle w:val="Heading1"/>
      </w:pPr>
      <w:r>
        <w:t>10. CONCLUSIONES Y RECOMENDACIONES</w:t>
      </w:r>
    </w:p>
    <w:p>
      <w:pPr>
        <w:pStyle w:val="Heading2"/>
      </w:pPr>
      <w:r>
        <w:t>10.1 Conclusiones</w:t>
      </w:r>
    </w:p>
    <w:p>
      <w:pPr>
        <w:pStyle w:val="ListNumber"/>
      </w:pPr>
      <w:r>
        <w:t>Demanda comprobada con datos oficiales. El polígono de estudio registra un Tráfico Promedio Diario de 68,787 vehículos en 14 intersecciones monitoreadas por el SIMM, con una composición de 51% automóviles y 38% motocicletas. El Estadio Atanasio Girardot genera más de 2.2 millones de asistentes anuales en 78-86 eventos (fútbol, conciertos, ferias). La tendencia es creciente: Nacional alcanzó un récord de 34,229 espectadores promedio por partido en 2025-I.</w:t>
      </w:r>
    </w:p>
    <w:p>
      <w:pPr>
        <w:pStyle w:val="ListNumber"/>
      </w:pPr>
      <w:r>
        <w:t>Oferta formal insuficiente. Solo 822 celdas formales en 22 parqueaderos en un radio de 1.5 km, sin ninguna infraestructura dedicada al estadio. El déficit formal oscila entre 78 y 578 celdas según el escenario. El parqueo informal ("trapitos rojos") atiende la diferencia, con externalidades negativas documentadas.</w:t>
      </w:r>
    </w:p>
    <w:p>
      <w:pPr>
        <w:pStyle w:val="ListNumber"/>
      </w:pPr>
      <w:r>
        <w:t>Congestión severa documentada. 4 de 12 corredores viales operan en nivel de servicio F (congestión forzada, velocidad &lt;16 km/h) y 4 más en nivel E (flujo inestable) durante la hora pico vespertina. La velocidad mínima registrada es de 14.1 km/h (Calle 48 sentido WE). Medellín cerró 2024 con 308 muertes viales, la cifra más alta en una década.</w:t>
      </w:r>
    </w:p>
    <w:p>
      <w:pPr>
        <w:pStyle w:val="ListNumber"/>
      </w:pPr>
      <w:r>
        <w:t>Oportunidad única con la modernización del estadio. La ampliación del Atanasio a 60,000 espectadores ($750,000M COP de inversión pública) no incluye estacionamiento, incrementando la brecha oferta-demanda en un 33% (de 45K a 60K de capacidad).</w:t>
      </w:r>
    </w:p>
    <w:p>
      <w:pPr>
        <w:pStyle w:val="ListNumber"/>
      </w:pPr>
      <w:r>
        <w:t>Incentivos tributarios municipales vigentes. El Acuerdo 66 de 2017 ofrece exención de predial por 5 años y tarifa mínima de ICA para parqueaderos subterráneos cerca de estaciones de Metro, directamente aplicable al proyecto.</w:t>
      </w:r>
    </w:p>
    <w:p>
      <w:pPr>
        <w:pStyle w:val="ListNumber"/>
      </w:pPr>
      <w:r>
        <w:t>Viabilidad financiera preliminar positiva. Payback de 9.6 años, ingreso neto operacional de $10,248M COP/año, con estructura de financiamiento 70/30 deuda/equity viable a las tasas de mercado actuales. El horizonte de 25 años del contrato APP permite una recuperación holgada de la inversión.</w:t>
      </w:r>
    </w:p>
    <w:p>
      <w:pPr>
        <w:pStyle w:val="Heading2"/>
      </w:pPr>
      <w:r>
        <w:t>10.2 Recomendaciones</w:t>
      </w:r>
    </w:p>
    <w:p>
      <w:r>
        <w:t xml:space="preserve">Se recomienda </w:t>
      </w:r>
      <w:r>
        <w:rPr>
          <w:b/>
        </w:rPr>
        <w:t>avanzar a la etapa de factibilidad</w:t>
      </w:r>
      <w:r>
        <w:t xml:space="preserve"> (artículo 2.2.2.1.5.5 del Decreto 1082 de 2015) con los siguientes estudios complementarios:</w:t>
      </w:r>
    </w:p>
    <w:p>
      <w:pPr>
        <w:pStyle w:val="ListNumber"/>
      </w:pPr>
      <w:r>
        <w:t>Estudio de tránsito y demanda con levantamiento de campo integral (en curso con Cali Mayor), incluyendo conteo de estacionamiento informal cuadra-a-cuadra</w:t>
      </w:r>
    </w:p>
    <w:p>
      <w:pPr>
        <w:pStyle w:val="ListNumber"/>
      </w:pPr>
      <w:r>
        <w:t>Diseño arquitectónico y de ingeniería a nivel de factibilidad (fase II)</w:t>
      </w:r>
    </w:p>
    <w:p>
      <w:pPr>
        <w:pStyle w:val="ListNumber"/>
      </w:pPr>
      <w:r>
        <w:t>Estudio de suelos y geotecnia del predio</w:t>
      </w:r>
    </w:p>
    <w:p>
      <w:pPr>
        <w:pStyle w:val="ListNumber"/>
      </w:pPr>
      <w:r>
        <w:t>Modelo financiero detallado con TIR, VPN, DSCR y análisis de sensibilidad multivariable</w:t>
      </w:r>
    </w:p>
    <w:p>
      <w:pPr>
        <w:pStyle w:val="ListNumber"/>
      </w:pPr>
      <w:r>
        <w:t>Valoración de obligaciones contingentes (Ley 448 de 1998)</w:t>
      </w:r>
    </w:p>
    <w:p>
      <w:pPr>
        <w:pStyle w:val="ListNumber"/>
      </w:pPr>
      <w:r>
        <w:t>Estudio de títulos y disponibilidad del predio (coordinación con Municipio e INDER)</w:t>
      </w:r>
    </w:p>
    <w:p>
      <w:pPr>
        <w:pStyle w:val="ListNumber"/>
      </w:pPr>
      <w:r>
        <w:t>Evaluación ambiental (Plan de Manejo Ambiental)</w:t>
      </w:r>
    </w:p>
    <w:p>
      <w:pPr>
        <w:pStyle w:val="ListNumber"/>
      </w:pPr>
      <w:r>
        <w:t>Evaluación social y costo-beneficio del proyecto</w:t>
      </w:r>
    </w:p>
    <w:p>
      <w:pPr>
        <w:pStyle w:val="ListNumber"/>
      </w:pPr>
      <w:r>
        <w:t>Comparador Público-Privado (justificación del mecanismo APP)</w:t>
      </w:r>
    </w:p>
    <w:p>
      <w:pPr>
        <w:pStyle w:val="ListNumber"/>
      </w:pPr>
      <w:r>
        <w:t>Propuesta definitiva de asignación de riesgos con cuantificación</w:t>
      </w:r>
    </w:p>
    <w:p>
      <w:pPr>
        <w:pStyle w:val="Heading1"/>
      </w:pPr>
      <w:r>
        <w:t>11. ANEXOS</w:t>
      </w:r>
    </w:p>
    <w:p>
      <w:pPr>
        <w:pStyle w:val="ListBullet"/>
      </w:pPr>
      <w:r>
        <w:t>Anexo A: Datos de tráfico oficial SIMM — Aforos vehiculares 15 min (3,859 registros)</w:t>
      </w:r>
    </w:p>
    <w:p>
      <w:pPr>
        <w:pStyle w:val="ListBullet"/>
      </w:pPr>
      <w:r>
        <w:t>Anexo B: Datos de velocidad e intensidad SIMM (552 perfiles por corredor × hora)</w:t>
      </w:r>
    </w:p>
    <w:p>
      <w:pPr>
        <w:pStyle w:val="ListBullet"/>
      </w:pPr>
      <w:r>
        <w:t>Anexo C: Inventario de parqueaderos del polígono (22 POIs)</w:t>
      </w:r>
    </w:p>
    <w:p>
      <w:pPr>
        <w:pStyle w:val="ListBullet"/>
      </w:pPr>
      <w:r>
        <w:t>Anexo D: Malla vial del polígono de estudio (703 segmentos con clasificación POT)</w:t>
      </w:r>
    </w:p>
    <w:p>
      <w:pPr>
        <w:pStyle w:val="ListBullet"/>
      </w:pPr>
      <w:r>
        <w:t>Anexo E: Análisis cuadra-a-cuadra (377 manzanas con atributos de oferta/demanda)</w:t>
      </w:r>
    </w:p>
    <w:p>
      <w:pPr>
        <w:pStyle w:val="ListBullet"/>
      </w:pPr>
      <w:r>
        <w:t>Anexo F: Calendario de eventos 2025 (102 eventos)</w:t>
      </w:r>
    </w:p>
    <w:p>
      <w:pPr>
        <w:pStyle w:val="ListBullet"/>
      </w:pPr>
      <w:r>
        <w:t>Anexo G: Dashboard interactivo — https://demo-diamante.vercel.app/</w:t>
      </w:r>
    </w:p>
    <w:p>
      <w:pPr>
        <w:pStyle w:val="ListBullet"/>
      </w:pPr>
      <w:r>
        <w:t>Anexo H: Decreto 438 de 2021 (texto completo)</w:t>
      </w:r>
    </w:p>
    <w:p>
      <w:pPr>
        <w:pStyle w:val="ListBullet"/>
      </w:pPr>
      <w:r>
        <w:t>Anexo I: Lista de chequeo de prefactibilidad (Artículo 6)</w:t>
      </w:r>
    </w:p>
    <w:p>
      <w:r>
        <w:t>Documento elaborado con datos oficiales del SIMM (Secretaría de Movilidad de Medellín), MEData (Portal de Datos Abiertos de Medellín), Google Maps Platform, Metro de Medellín (datos abiertos), DANE, Cámara de Comercio de Medellín, y fuentes de acceso público. Sujeto a validación mediante estudio de campo en la etapa de factibilidad.</w:t>
      </w:r>
    </w:p>
    <w:p>
      <w:r>
        <w:t>Fundamentación jurídica: Ley 1508 de 2012, Decreto 1082 de 2015, Decreto 438 de 2021, Acuerdo 48 de 2014 (POT Medellín), Acuerdo 66 de 2017 (Incentivos tributarios), CONPES 3714 de 2011.</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