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none" w:color="FFFFFF" w:sz="0"/>
              <w:bottom w:val="none" w:color="FFFFFF" w:sz="0"/>
              <w:right w:val="none" w:color="FFFFFF" w:sz="0"/>
            </w:tcBorders>
            <w:shd w:fill="0B5E54" w:val="clear"/>
            <w:tcMar>
              <w:top w:type="dxa" w:w="340"/>
              <w:left w:type="dxa" w:w="340"/>
              <w:bottom w:type="dxa" w:w="300"/>
              <w:right w:type="dxa" w:w="200"/>
            </w:tcMar>
          </w:tcPr>
          <w:p>
            <w:pPr>
              <w:spacing w:after="35" w:before="0"/>
            </w:pPr>
            <w:r>
              <w:rPr>
                <w:rFonts w:ascii="Arial" w:cs="Arial" w:eastAsia="Arial" w:hAnsi="Arial"/>
                <w:b/>
                <w:bCs/>
                <w:color w:val="9FE1CB"/>
                <w:sz w:val="16"/>
                <w:szCs w:val="16"/>
              </w:rPr>
              <w:t xml:space="preserve">DRAFT — FOR MANAGING COMMITTEE DISCUSSION ONLY</w:t>
            </w:r>
          </w:p>
          <w:p>
            <w:pPr>
              <w:spacing w:after="40" w:before="0"/>
            </w:pPr>
            <w:r>
              <w:rPr>
                <w:rFonts w:ascii="Arial" w:cs="Arial" w:eastAsia="Arial" w:hAnsi="Arial"/>
                <w:b/>
                <w:bCs/>
                <w:color w:val="FFFFFF"/>
                <w:sz w:val="44"/>
                <w:szCs w:val="44"/>
              </w:rPr>
              <w:t xml:space="preserve">Green Channels</w:t>
            </w:r>
          </w:p>
          <w:p>
            <w:pPr>
              <w:spacing w:after="30" w:before="0"/>
            </w:pPr>
            <w:r>
              <w:rPr>
                <w:rFonts w:ascii="Arial" w:cs="Arial" w:eastAsia="Arial" w:hAnsi="Arial"/>
                <w:color w:val="9FE1CB"/>
                <w:sz w:val="24"/>
                <w:szCs w:val="24"/>
              </w:rPr>
              <w:t xml:space="preserve">High-quality trade &amp; investment</w:t>
            </w:r>
          </w:p>
          <w:p>
            <w:pPr>
              <w:spacing w:after="50" w:before="0"/>
            </w:pPr>
            <w:r>
              <w:rPr>
                <w:rFonts w:ascii="Arial" w:cs="Arial" w:eastAsia="Arial" w:hAnsi="Arial"/>
                <w:color w:val="E0F5EE"/>
                <w:sz w:val="22"/>
                <w:szCs w:val="22"/>
              </w:rPr>
              <w:t xml:space="preserve">Australia China Energy Transition Forum 2026 (ACETF 26)</w:t>
            </w:r>
          </w:p>
          <w:p>
            <w:pPr>
              <w:spacing w:after="60" w:before="0"/>
            </w:pPr>
            <w:r>
              <w:rPr>
                <w:rFonts w:ascii="Arial" w:cs="Arial" w:eastAsia="Arial" w:hAnsi="Arial"/>
                <w:i/>
                <w:iCs/>
                <w:color w:val="9FE1CB"/>
                <w:sz w:val="18"/>
                <w:szCs w:val="18"/>
              </w:rPr>
              <w:t xml:space="preserve">In partnership with Australia-China Co-operation for Sustainable Aviation (ACCSA)</w:t>
            </w:r>
          </w:p>
          <w:p>
            <w:pPr>
              <w:spacing w:after="80" w:before="0"/>
            </w:pPr>
            <w:r>
              <w:rPr>
                <w:rFonts w:ascii="Arial" w:cs="Arial" w:eastAsia="Arial" w:hAnsi="Arial"/>
                <w:i/>
                <w:iCs/>
                <w:color w:val="9FE1CB"/>
                <w:sz w:val="20"/>
                <w:szCs w:val="20"/>
              </w:rPr>
              <w:t xml:space="preserve">Reframing Australia &amp; China’s trade and investment relationship within a new shared green development ambition</w:t>
            </w:r>
          </w:p>
          <w:p>
            <w:pPr>
              <w:spacing w:after="80" w:before="0"/>
            </w:pPr>
            <w:r>
              <w:rPr>
                <w:rFonts w:ascii="Arial" w:cs="Arial" w:eastAsia="Arial" w:hAnsi="Arial"/>
                <w:color w:val="5DCAA5"/>
                <w:sz w:val="18"/>
                <w:szCs w:val="18"/>
              </w:rPr>
              <w:t xml:space="preserve">Program Direction Paper - Energy Transition from a Standard-based Trade &amp; Investment Lens</w:t>
            </w:r>
          </w:p>
          <w:p>
            <w:pPr>
              <w:spacing w:after="50" w:before="0"/>
            </w:pPr>
            <w:r>
              <w:rPr>
                <w:rFonts w:ascii="Arial" w:cs="Arial" w:eastAsia="Arial" w:hAnsi="Arial"/>
                <w:color w:val="9FE1CB"/>
                <w:sz w:val="19"/>
                <w:szCs w:val="19"/>
              </w:rPr>
              <w:t xml:space="preserve">Adelaide, South Australia  ·  19–20 November 2026</w:t>
            </w:r>
          </w:p>
          <w:p>
            <w:pPr>
              <w:spacing w:after="45" w:before="0"/>
            </w:pPr>
            <w:r>
              <w:rPr>
                <w:rFonts w:ascii="Arial" w:cs="Arial" w:eastAsia="Arial" w:hAnsi="Arial"/>
                <w:color w:val="5DCAA5"/>
                <w:sz w:val="17"/>
                <w:szCs w:val="17"/>
              </w:rPr>
              <w:t xml:space="preserve">Under the auspices of the International Society for Energy Transition Studies (ISETS)</w:t>
            </w:r>
          </w:p>
          <w:p>
            <w:pPr>
              <w:spacing w:after="40" w:before="0"/>
            </w:pPr>
            <w:r>
              <w:rPr>
                <w:rFonts w:ascii="Arial" w:cs="Arial" w:eastAsia="Arial" w:hAnsi="Arial"/>
                <w:i/>
                <w:iCs/>
                <w:color w:val="5DCAA5"/>
                <w:sz w:val="17"/>
                <w:szCs w:val="17"/>
              </w:rPr>
              <w:t xml:space="preserve">Prepared for ACETF ACETF Program Committee — First Meeting, April 2026</w:t>
            </w:r>
          </w:p>
          <w:p>
            <w:pPr>
              <w:spacing w:after="0" w:before="0"/>
            </w:pPr>
            <w:r>
              <w:rPr>
                <w:rFonts w:ascii="Arial" w:cs="Arial" w:eastAsia="Arial" w:hAnsi="Arial"/>
                <w:b/>
                <w:bCs/>
                <w:color w:val="9FE1CB"/>
                <w:sz w:val="17"/>
                <w:szCs w:val="17"/>
              </w:rPr>
              <w:t xml:space="preserve">Anthony Coles, Chair, ACETF ACETF Program Committee</w:t>
            </w:r>
          </w:p>
        </w:tc>
      </w:tr>
    </w:tbl>
    <w:p>
      <w:pPr>
        <w:spacing w:after="0" w:before="200"/>
      </w:pPr>
      <w:r>
        <w:t xml:space="preserve"/>
      </w:r>
    </w:p>
    <w:p>
      <w:pPr>
        <w:pStyle w:val="Heading1"/>
        <w:spacing w:after="110" w:before="340"/>
      </w:pPr>
      <w:r>
        <w:rPr>
          <w:rFonts w:ascii="Arial" w:cs="Arial" w:eastAsia="Arial" w:hAnsi="Arial"/>
          <w:b/>
          <w:bCs/>
          <w:color w:val="0B5E54"/>
          <w:sz w:val="28"/>
          <w:szCs w:val="28"/>
        </w:rPr>
        <w:t xml:space="preserve">00  The Green Channel Loop</w:t>
      </w:r>
    </w:p>
    <w:p>
      <w:pPr>
        <w:spacing w:after="75" w:before="55"/>
      </w:pPr>
      <w:r>
        <w:rPr>
          <w:rFonts w:ascii="Arial" w:cs="Arial" w:eastAsia="Arial" w:hAnsi="Arial"/>
          <w:color w:val="4A5E55"/>
          <w:sz w:val="22"/>
          <w:szCs w:val="22"/>
        </w:rPr>
        <w:t xml:space="preserve">Green Channels is not a metaphor — it is a specific commercial and regulatory architecture connecting Australian green supply, Chinese industrial demand, and EU market signals through a shared standards and traceability framework. The loop below shows how each element depends on the others.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B5E54" w:val="clear"/>
            <w:tcMar>
              <w:top w:type="dxa" w:w="100"/>
              <w:left w:type="dxa" w:w="200"/>
              <w:bottom w:type="dxa" w:w="100"/>
              <w:right w:type="dxa" w:w="160"/>
            </w:tcMar>
          </w:tcPr>
          <w:p>
            <w:pPr>
              <w:spacing w:after="0" w:before="0"/>
            </w:pPr>
            <w:r>
              <w:rPr>
                <w:rFonts w:ascii="Arial" w:cs="Arial" w:eastAsia="Arial" w:hAnsi="Arial"/>
                <w:b/>
                <w:bCs/>
                <w:color w:val="9FE1CB"/>
                <w:sz w:val="17"/>
                <w:szCs w:val="17"/>
              </w:rPr>
              <w:t xml:space="preserve">THE GREEN CHANNEL LOOP — HOW THE CHAIN CONNECTS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6000"/>
        <w:gridCol w:w="200"/>
        <w:gridCol w:w="1200"/>
      </w:tblGrid>
      <w:tr>
        <w:tc>
          <w:tcPr>
            <w:tcW w:type="dxa" w:w="1400"/>
            <w:tcBorders>
              <w:top w:val="single" w:color="D5E5DF" w:sz="1"/>
              <w:left w:val="single" w:color="D5E5DF" w:sz="1"/>
              <w:bottom w:val="single" w:color="D5E5DF" w:sz="1"/>
              <w:right w:val="single" w:color="D5E5DF" w:sz="1"/>
            </w:tcBorders>
            <w:shd w:fill="E0F5EE" w:val="clear"/>
            <w:tcMar>
              <w:top w:type="dxa" w:w="80"/>
              <w:left w:type="dxa" w:w="120"/>
              <w:bottom w:type="dxa" w:w="80"/>
              <w:right w:type="dxa" w:w="80"/>
            </w:tcMar>
          </w:tcPr>
          <w:p>
            <w:pPr>
              <w:spacing w:after="30" w:before="0"/>
            </w:pPr>
            <w:r>
              <w:rPr>
                <w:rFonts w:ascii="Arial" w:cs="Arial" w:eastAsia="Arial" w:hAnsi="Arial"/>
                <w:b/>
                <w:bCs/>
                <w:color w:val="0B5E54"/>
                <w:sz w:val="18"/>
                <w:szCs w:val="18"/>
              </w:rPr>
              <w:t xml:space="preserve">Legislative</w:t>
            </w:r>
          </w:p>
          <w:p>
            <w:pPr>
              <w:spacing w:after="0" w:before="0"/>
            </w:pPr>
            <w:r>
              <w:rPr>
                <w:rFonts w:ascii="Arial" w:cs="Arial" w:eastAsia="Arial" w:hAnsi="Arial"/>
                <w:b/>
                <w:bCs/>
                <w:color w:val="0B5E54"/>
                <w:sz w:val="18"/>
                <w:szCs w:val="18"/>
              </w:rPr>
              <w:t xml:space="preserve">demand</w:t>
            </w:r>
          </w:p>
        </w:tc>
        <w:tc>
          <w:tcPr>
            <w:tcW w:type="dxa" w:w="2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pPr>
            <w:r>
              <w:rPr>
                <w:rFonts w:ascii="Arial" w:cs="Arial" w:eastAsia="Arial" w:hAnsi="Arial"/>
                <w:color w:val="7A8C84"/>
                <w:sz w:val="22"/>
                <w:szCs w:val="22"/>
              </w:rPr>
              <w:t xml:space="preserve">↓</w:t>
            </w:r>
          </w:p>
        </w:tc>
        <w:tc>
          <w:tcPr>
            <w:tcW w:type="dxa" w:w="60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0"/>
            </w:tcMar>
          </w:tcPr>
          <w:p>
            <w:pPr>
              <w:spacing w:after="25" w:before="0"/>
            </w:pPr>
            <w:r>
              <w:rPr>
                <w:rFonts w:ascii="Arial" w:cs="Arial" w:eastAsia="Arial" w:hAnsi="Arial"/>
                <w:b/>
                <w:bCs/>
                <w:color w:val="4A5E55"/>
                <w:sz w:val="18"/>
                <w:szCs w:val="18"/>
              </w:rPr>
              <w:t xml:space="preserve">EU Green Deal / TFEU  ·  China Ecological Code  ·  AU ERP · Safeguard · GO</w:t>
            </w:r>
          </w:p>
          <w:p>
            <w:pPr>
              <w:spacing w:after="0" w:before="0"/>
            </w:pPr>
            <w:r>
              <w:rPr>
                <w:rFonts w:ascii="Arial" w:cs="Arial" w:eastAsia="Arial" w:hAnsi="Arial"/>
                <w:color w:val="7A8C84"/>
                <w:sz w:val="17"/>
                <w:szCs w:val="17"/>
              </w:rPr>
              <w:t xml:space="preserve">Three legislative frameworks create binding obligations on industry. Each requires certified, traceable, low-carbon inputs. Together they generate the demand that makes Australian green supply commercially compelling.</w:t>
            </w:r>
          </w:p>
        </w:tc>
        <w:tc>
          <w:tcPr>
            <w:tcW w:type="dxa" w:w="2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pPr>
            <w:r>
              <w:rPr>
                <w:rFonts w:ascii="Arial" w:cs="Arial" w:eastAsia="Arial" w:hAnsi="Arial"/>
                <w:sz w:val="18"/>
                <w:szCs w:val="18"/>
              </w:rPr>
              <w:t xml:space="preserve"/>
            </w:r>
          </w:p>
        </w:tc>
        <w:tc>
          <w:tcPr>
            <w:tcW w:type="dxa" w:w="1200"/>
            <w:tcBorders>
              <w:top w:val="single" w:color="D5E5DF" w:sz="1"/>
              <w:left w:val="single" w:color="D5E5DF" w:sz="1"/>
              <w:bottom w:val="single" w:color="D5E5DF" w:sz="1"/>
              <w:right w:val="single" w:color="D5E5DF" w:sz="1"/>
            </w:tcBorders>
            <w:shd w:fill="FAEEDA" w:val="clear"/>
            <w:tcMar>
              <w:top w:type="dxa" w:w="80"/>
              <w:left w:type="dxa" w:w="100"/>
              <w:bottom w:type="dxa" w:w="80"/>
              <w:right w:type="dxa" w:w="80"/>
            </w:tcMar>
          </w:tcPr>
          <w:p>
            <w:pPr>
              <w:spacing w:after="25" w:before="0"/>
            </w:pPr>
            <w:r>
              <w:rPr>
                <w:rFonts w:ascii="Arial" w:cs="Arial" w:eastAsia="Arial" w:hAnsi="Arial"/>
                <w:b/>
                <w:bCs/>
                <w:color w:val="C27B1A"/>
                <w:sz w:val="18"/>
                <w:szCs w:val="18"/>
              </w:rPr>
              <w:t xml:space="preserve">Traceability</w:t>
            </w:r>
          </w:p>
          <w:p>
            <w:pPr>
              <w:spacing w:after="0" w:before="0"/>
            </w:pPr>
            <w:r>
              <w:rPr>
                <w:rFonts w:ascii="Arial" w:cs="Arial" w:eastAsia="Arial" w:hAnsi="Arial"/>
                <w:color w:val="C27B1A"/>
                <w:sz w:val="16"/>
                <w:szCs w:val="16"/>
              </w:rPr>
              <w:t xml:space="preserve">Standards · MRV spans all nodes</w:t>
            </w:r>
          </w:p>
        </w:tc>
      </w:tr>
      <w:tr>
        <w:tc>
          <w:tcPr>
            <w:tcW w:type="dxa" w:w="1400"/>
            <w:tcBorders>
              <w:top w:val="single" w:color="D5E5DF" w:sz="1"/>
              <w:left w:val="single" w:color="D5E5DF" w:sz="1"/>
              <w:bottom w:val="single" w:color="D5E5DF" w:sz="1"/>
              <w:right w:val="single" w:color="D5E5DF" w:sz="1"/>
            </w:tcBorders>
            <w:shd w:fill="E0F5EE" w:val="clear"/>
            <w:tcMar>
              <w:top w:type="dxa" w:w="80"/>
              <w:left w:type="dxa" w:w="120"/>
              <w:bottom w:type="dxa" w:w="80"/>
              <w:right w:type="dxa" w:w="80"/>
            </w:tcMar>
          </w:tcPr>
          <w:p>
            <w:pPr>
              <w:spacing w:after="30" w:before="0"/>
            </w:pPr>
            <w:r>
              <w:rPr>
                <w:rFonts w:ascii="Arial" w:cs="Arial" w:eastAsia="Arial" w:hAnsi="Arial"/>
                <w:b/>
                <w:bCs/>
                <w:color w:val="0B5E54"/>
                <w:sz w:val="18"/>
                <w:szCs w:val="18"/>
              </w:rPr>
              <w:t xml:space="preserve">Australian</w:t>
            </w:r>
          </w:p>
          <w:p>
            <w:pPr>
              <w:spacing w:after="0" w:before="0"/>
            </w:pPr>
            <w:r>
              <w:rPr>
                <w:rFonts w:ascii="Arial" w:cs="Arial" w:eastAsia="Arial" w:hAnsi="Arial"/>
                <w:b/>
                <w:bCs/>
                <w:color w:val="0B5E54"/>
                <w:sz w:val="18"/>
                <w:szCs w:val="18"/>
              </w:rPr>
              <w:t xml:space="preserve">source</w:t>
            </w:r>
          </w:p>
        </w:tc>
        <w:tc>
          <w:tcPr>
            <w:tcW w:type="dxa" w:w="2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pPr>
            <w:r>
              <w:rPr>
                <w:rFonts w:ascii="Arial" w:cs="Arial" w:eastAsia="Arial" w:hAnsi="Arial"/>
                <w:color w:val="7A8C84"/>
                <w:sz w:val="22"/>
                <w:szCs w:val="22"/>
              </w:rPr>
              <w:t xml:space="preserve">→</w:t>
            </w:r>
          </w:p>
        </w:tc>
        <w:tc>
          <w:tcPr>
            <w:tcW w:type="dxa" w:w="60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0"/>
            </w:tcMar>
          </w:tcPr>
          <w:p>
            <w:pPr>
              <w:spacing w:after="25" w:before="0"/>
            </w:pPr>
            <w:r>
              <w:rPr>
                <w:rFonts w:ascii="Arial" w:cs="Arial" w:eastAsia="Arial" w:hAnsi="Arial"/>
                <w:b/>
                <w:bCs/>
                <w:color w:val="4A5E55"/>
                <w:sz w:val="18"/>
                <w:szCs w:val="18"/>
              </w:rPr>
              <w:t xml:space="preserve">Iron ore · SAF feedstocks · Hydrogen · Critical minerals</w:t>
            </w:r>
          </w:p>
          <w:p>
            <w:pPr>
              <w:spacing w:after="0" w:before="0"/>
            </w:pPr>
            <w:r>
              <w:rPr>
                <w:rFonts w:ascii="Arial" w:cs="Arial" w:eastAsia="Arial" w:hAnsi="Arial"/>
                <w:color w:val="7A8C84"/>
                <w:sz w:val="17"/>
                <w:szCs w:val="17"/>
              </w:rPr>
              <w:t xml:space="preserve">Australia leads from the source. Materials &amp; trade flow right to Chinese industry. To access the full premium, they must be certified under a framework that Chinese buyers and EU CBAM both recognise.</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FFFFFF" w:val="clear"/>
          </w:tcPr>
          <w:p>
            <w:r>
              <w:t xml:space="preserve"/>
            </w:r>
          </w:p>
        </w:tc>
      </w:tr>
      <w:tr>
        <w:tc>
          <w:tcPr>
            <w:tcW w:type="dxa" w:w="1400"/>
            <w:tcBorders>
              <w:top w:val="single" w:color="D5E5DF" w:sz="1"/>
              <w:left w:val="single" w:color="D5E5DF" w:sz="1"/>
              <w:bottom w:val="single" w:color="D5E5DF" w:sz="1"/>
              <w:right w:val="single" w:color="D5E5DF" w:sz="1"/>
            </w:tcBorders>
            <w:shd w:fill="E0F5EE" w:val="clear"/>
            <w:tcMar>
              <w:top w:type="dxa" w:w="80"/>
              <w:left w:type="dxa" w:w="120"/>
              <w:bottom w:type="dxa" w:w="80"/>
              <w:right w:type="dxa" w:w="80"/>
            </w:tcMar>
          </w:tcPr>
          <w:p>
            <w:pPr>
              <w:spacing w:after="30" w:before="0"/>
            </w:pPr>
            <w:r>
              <w:rPr>
                <w:rFonts w:ascii="Arial" w:cs="Arial" w:eastAsia="Arial" w:hAnsi="Arial"/>
                <w:b/>
                <w:bCs/>
                <w:color w:val="0B5E54"/>
                <w:sz w:val="18"/>
                <w:szCs w:val="18"/>
              </w:rPr>
              <w:t xml:space="preserve">Green energy</w:t>
            </w:r>
          </w:p>
          <w:p>
            <w:pPr>
              <w:spacing w:after="0" w:before="0"/>
            </w:pPr>
            <w:r>
              <w:rPr>
                <w:rFonts w:ascii="Arial" w:cs="Arial" w:eastAsia="Arial" w:hAnsi="Arial"/>
                <w:b/>
                <w:bCs/>
                <w:color w:val="0B5E54"/>
                <w:sz w:val="18"/>
                <w:szCs w:val="18"/>
              </w:rPr>
              <w:t xml:space="preserve">&amp; infra</w:t>
            </w:r>
          </w:p>
        </w:tc>
        <w:tc>
          <w:tcPr>
            <w:tcW w:type="dxa" w:w="2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pPr>
            <w:r>
              <w:rPr>
                <w:rFonts w:ascii="Arial" w:cs="Arial" w:eastAsia="Arial" w:hAnsi="Arial"/>
                <w:color w:val="7A8C84"/>
                <w:sz w:val="22"/>
                <w:szCs w:val="22"/>
              </w:rPr>
              <w:t xml:space="preserve">←</w:t>
            </w:r>
          </w:p>
        </w:tc>
        <w:tc>
          <w:tcPr>
            <w:tcW w:type="dxa" w:w="60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0"/>
            </w:tcMar>
          </w:tcPr>
          <w:p>
            <w:pPr>
              <w:spacing w:after="25" w:before="0"/>
            </w:pPr>
            <w:r>
              <w:rPr>
                <w:rFonts w:ascii="Arial" w:cs="Arial" w:eastAsia="Arial" w:hAnsi="Arial"/>
                <w:b/>
                <w:bCs/>
                <w:color w:val="4A5E55"/>
                <w:sz w:val="18"/>
                <w:szCs w:val="18"/>
              </w:rPr>
              <w:t xml:space="preserve">AU renewables · H₂ plants · deep-water ports</w:t>
            </w:r>
          </w:p>
          <w:p>
            <w:pPr>
              <w:spacing w:after="0" w:before="0"/>
            </w:pPr>
            <w:r>
              <w:rPr>
                <w:rFonts w:ascii="Arial" w:cs="Arial" w:eastAsia="Arial" w:hAnsi="Arial"/>
                <w:color w:val="7A8C84"/>
                <w:sz w:val="17"/>
                <w:szCs w:val="17"/>
              </w:rPr>
              <w:t xml:space="preserve">Green supply chains need green energy. Australian renewable energy infrastructure powers the production of certified green commodities across the country — not just South Australia.</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FFFFFF" w:val="clear"/>
          </w:tcPr>
          <w:p>
            <w:r>
              <w:t xml:space="preserve"/>
            </w:r>
          </w:p>
        </w:tc>
      </w:tr>
      <w:tr>
        <w:tc>
          <w:tcPr>
            <w:tcW w:type="dxa" w:w="1400"/>
            <w:tcBorders>
              <w:top w:val="single" w:color="D5E5DF" w:sz="1"/>
              <w:left w:val="single" w:color="D5E5DF" w:sz="1"/>
              <w:bottom w:val="single" w:color="D5E5DF" w:sz="1"/>
              <w:right w:val="single" w:color="D5E5DF" w:sz="1"/>
            </w:tcBorders>
            <w:shd w:fill="FAEEDA" w:val="clear"/>
            <w:tcMar>
              <w:top w:type="dxa" w:w="80"/>
              <w:left w:type="dxa" w:w="120"/>
              <w:bottom w:type="dxa" w:w="80"/>
              <w:right w:type="dxa" w:w="80"/>
            </w:tcMar>
          </w:tcPr>
          <w:p>
            <w:pPr>
              <w:spacing w:after="30" w:before="0"/>
            </w:pPr>
            <w:r>
              <w:rPr>
                <w:rFonts w:ascii="Arial" w:cs="Arial" w:eastAsia="Arial" w:hAnsi="Arial"/>
                <w:b/>
                <w:bCs/>
                <w:color w:val="C27B1A"/>
                <w:sz w:val="18"/>
                <w:szCs w:val="18"/>
              </w:rPr>
              <w:t xml:space="preserve">Chinese</w:t>
            </w:r>
          </w:p>
          <w:p>
            <w:pPr>
              <w:spacing w:after="0" w:before="0"/>
            </w:pPr>
            <w:r>
              <w:rPr>
                <w:rFonts w:ascii="Arial" w:cs="Arial" w:eastAsia="Arial" w:hAnsi="Arial"/>
                <w:b/>
                <w:bCs/>
                <w:color w:val="C27B1A"/>
                <w:sz w:val="18"/>
                <w:szCs w:val="18"/>
              </w:rPr>
              <w:t xml:space="preserve">investment</w:t>
            </w:r>
          </w:p>
        </w:tc>
        <w:tc>
          <w:tcPr>
            <w:tcW w:type="dxa" w:w="2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spacing w:after="0" w:before="0"/>
            </w:pPr>
            <w:r>
              <w:rPr>
                <w:rFonts w:ascii="Arial" w:cs="Arial" w:eastAsia="Arial" w:hAnsi="Arial"/>
                <w:color w:val="7A8C84"/>
                <w:sz w:val="22"/>
                <w:szCs w:val="22"/>
              </w:rPr>
              <w:t xml:space="preserve">→</w:t>
            </w:r>
          </w:p>
        </w:tc>
        <w:tc>
          <w:tcPr>
            <w:tcW w:type="dxa" w:w="60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0"/>
            </w:tcMar>
          </w:tcPr>
          <w:p>
            <w:pPr>
              <w:spacing w:after="25" w:before="0"/>
            </w:pPr>
            <w:r>
              <w:rPr>
                <w:rFonts w:ascii="Arial" w:cs="Arial" w:eastAsia="Arial" w:hAnsi="Arial"/>
                <w:b/>
                <w:bCs/>
                <w:color w:val="4A5E55"/>
                <w:sz w:val="18"/>
                <w:szCs w:val="18"/>
              </w:rPr>
              <w:t xml:space="preserve">FDI · green bonds · blended finance → into Australian green energy infrastructure</w:t>
            </w:r>
          </w:p>
          <w:p>
            <w:pPr>
              <w:spacing w:after="0" w:before="0"/>
            </w:pPr>
            <w:r>
              <w:rPr>
                <w:rFonts w:ascii="Arial" w:cs="Arial" w:eastAsia="Arial" w:hAnsi="Arial"/>
                <w:color w:val="7A8C84"/>
                <w:sz w:val="17"/>
                <w:szCs w:val="17"/>
              </w:rPr>
              <w:t xml:space="preserve">Green energy and infrastructure needs investment. Chinese industrial decarbonisation capital flows into Australian green infrastructure — funding the renewables, hydrogen plants, and ports that make certified supply possible. This is the investment the forum exists to unlock.</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FFFFFF" w:val="clear"/>
          </w:tcPr>
          <w:p>
            <w:r>
              <w:t xml:space="preserve"/>
            </w:r>
          </w:p>
        </w:tc>
      </w:tr>
    </w:tbl>
    <w:p>
      <w:pPr>
        <w:spacing w:after="0" w:before="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D9E75" w:sz="18"/>
              <w:bottom w:val="none" w:color="FFFFFF" w:sz="0"/>
              <w:right w:val="none" w:color="FFFFFF" w:sz="0"/>
            </w:tcBorders>
            <w:shd w:fill="E0F5EE" w:val="clear"/>
            <w:tcMar>
              <w:top w:type="dxa" w:w="100"/>
              <w:left w:type="dxa" w:w="200"/>
              <w:bottom w:type="dxa" w:w="100"/>
              <w:right w:type="dxa" w:w="130"/>
            </w:tcMar>
          </w:tcPr>
          <w:p>
            <w:pPr>
              <w:spacing w:after="45" w:before="0"/>
            </w:pPr>
            <w:r>
              <w:rPr>
                <w:rFonts w:ascii="Arial" w:cs="Arial" w:eastAsia="Arial" w:hAnsi="Arial"/>
                <w:b/>
                <w:bCs/>
                <w:color w:val="1D9E75"/>
                <w:sz w:val="17"/>
                <w:szCs w:val="17"/>
              </w:rPr>
              <w:t xml:space="preserve">THE LOOP REQUIRES ALL SECTORS TO TALK TOGETHER</w:t>
            </w:r>
          </w:p>
          <w:p>
            <w:pPr>
              <w:spacing w:after="0" w:before="0"/>
            </w:pPr>
            <w:r>
              <w:rPr>
                <w:rFonts w:ascii="Arial" w:cs="Arial" w:eastAsia="Arial" w:hAnsi="Arial"/>
                <w:i/>
                <w:iCs/>
                <w:color w:val="0B5E54"/>
                <w:sz w:val="21"/>
                <w:szCs w:val="21"/>
              </w:rPr>
              <w:t xml:space="preserve">Green Channels 2026 is the room where every node in this loop sends a representative. Legislative drafters, industrial buyers, standard-setters, infrastructure investors, and green commodity producers need to solve problems that none of them can solve alone. Without standards interoperability, the investment arrow cannot flow. Without investment, the supply arrow is not green. Without certified supply, the legislative demand cannot be satisfied.</w:t>
            </w:r>
          </w:p>
        </w:tc>
      </w:tr>
    </w:tbl>
    <w:p>
      <w:pPr>
        <w:spacing w:after="0" w:before="200"/>
      </w:pPr>
      <w:r>
        <w:t xml:space="preserve"/>
      </w:r>
    </w:p>
    <w:p>
      <w:pPr>
        <w:pStyle w:val="Heading1"/>
        <w:spacing w:after="110" w:before="340"/>
      </w:pPr>
      <w:r>
        <w:rPr>
          <w:rFonts w:ascii="Arial" w:cs="Arial" w:eastAsia="Arial" w:hAnsi="Arial"/>
          <w:b/>
          <w:bCs/>
          <w:color w:val="0B5E54"/>
          <w:sz w:val="28"/>
          <w:szCs w:val="28"/>
        </w:rPr>
        <w:t xml:space="preserve">01  Purpose</w:t>
      </w:r>
    </w:p>
    <w:p>
      <w:pPr>
        <w:spacing w:after="75" w:before="55"/>
      </w:pPr>
      <w:r>
        <w:rPr>
          <w:rFonts w:ascii="Arial" w:cs="Arial" w:eastAsia="Arial" w:hAnsi="Arial"/>
          <w:b/>
          <w:bCs/>
          <w:i w:val="false"/>
          <w:iCs w:val="false"/>
          <w:color w:val="2C3E35"/>
          <w:sz w:val="22"/>
          <w:szCs w:val="22"/>
        </w:rPr>
        <w:t xml:space="preserve">Green Channels</w:t>
      </w:r>
      <w:r>
        <w:rPr>
          <w:rFonts w:ascii="Arial" w:cs="Arial" w:eastAsia="Arial" w:hAnsi="Arial"/>
          <w:b w:val="false"/>
          <w:bCs w:val="false"/>
          <w:i w:val="false"/>
          <w:iCs w:val="false"/>
          <w:color w:val="4A5E55"/>
          <w:sz w:val="22"/>
          <w:szCs w:val="22"/>
        </w:rPr>
        <w:t xml:space="preserve"> is the Australia China Energy Transition Forum’s 2026 program theme — reframing the AU–China trade and investment relationship within a new green development ambition. This paper is a direction document for the ACETF ACETF Program Committee, not a final program, intended to prompt discussion on themes, sequencing, and session leadership.</w:t>
      </w:r>
    </w:p>
    <w:p>
      <w:pPr>
        <w:spacing w:after="75" w:before="55"/>
      </w:pPr>
      <w:r>
        <w:rPr>
          <w:rFonts w:ascii="Arial" w:cs="Arial" w:eastAsia="Arial" w:hAnsi="Arial"/>
          <w:b w:val="false"/>
          <w:bCs w:val="false"/>
          <w:i w:val="false"/>
          <w:iCs w:val="false"/>
          <w:color w:val="4A5E55"/>
          <w:sz w:val="22"/>
          <w:szCs w:val="22"/>
        </w:rPr>
        <w:t xml:space="preserve">The thesis is practical: </w:t>
      </w:r>
      <w:r>
        <w:rPr>
          <w:rFonts w:ascii="Arial" w:cs="Arial" w:eastAsia="Arial" w:hAnsi="Arial"/>
          <w:b/>
          <w:bCs/>
          <w:i w:val="false"/>
          <w:iCs w:val="false"/>
          <w:color w:val="2C3E35"/>
          <w:sz w:val="22"/>
          <w:szCs w:val="22"/>
        </w:rPr>
        <w:t xml:space="preserve">Chinese industrial regulatory requirements are the new architecture of the AU–China relationship.</w:t>
      </w:r>
      <w:r>
        <w:rPr>
          <w:rFonts w:ascii="Arial" w:cs="Arial" w:eastAsia="Arial" w:hAnsi="Arial"/>
          <w:b w:val="false"/>
          <w:bCs w:val="false"/>
          <w:i w:val="false"/>
          <w:iCs w:val="false"/>
          <w:color w:val="4A5E55"/>
          <w:sz w:val="22"/>
          <w:szCs w:val="22"/>
        </w:rPr>
        <w:t xml:space="preserve"> This is not about selling more commodities — it is about collaborating on carbon transparency across an AU–CN–EU triangle, where aligned standards are the precondition for green capital to move.</w:t>
      </w:r>
    </w:p>
    <w:p>
      <w:pPr>
        <w:spacing w:after="75" w:before="55"/>
      </w:pPr>
      <w:r>
        <w:rPr>
          <w:rFonts w:ascii="Arial" w:cs="Arial" w:eastAsia="Arial" w:hAnsi="Arial"/>
          <w:color w:val="4A5E55"/>
          <w:sz w:val="22"/>
          <w:szCs w:val="22"/>
        </w:rPr>
        <w:t xml:space="preserve">Two sectors anchor the program as co-equal pillars:</w:t>
      </w:r>
    </w:p>
    <w:p>
      <w:pPr>
        <w:pStyle w:val="ListParagraph"/>
        <w:numPr>
          <w:ilvl w:val="0"/>
          <w:numId w:val="2"/>
        </w:numPr>
        <w:spacing w:after="38" w:before="38"/>
      </w:pPr>
      <w:r>
        <w:rPr>
          <w:rFonts w:ascii="Arial" w:cs="Arial" w:eastAsia="Arial" w:hAnsi="Arial"/>
          <w:b/>
          <w:bCs/>
          <w:color w:val="2C3E35"/>
          <w:sz w:val="22"/>
          <w:szCs w:val="22"/>
        </w:rPr>
        <w:t xml:space="preserve">Green Iron (HBI/DRI) — </w:t>
      </w:r>
      <w:r>
        <w:rPr>
          <w:rFonts w:ascii="Arial" w:cs="Arial" w:eastAsia="Arial" w:hAnsi="Arial"/>
          <w:b w:val="false"/>
          <w:bCs w:val="false"/>
          <w:color w:val="4A5E55"/>
          <w:sz w:val="22"/>
          <w:szCs w:val="22"/>
        </w:rPr>
        <w:t xml:space="preserve">Australia’s iron ore and renewable energy endowment makes it the natural production base for hydrogen-based direct reduced iron. The SA–Shandong collaboration is a live proof of concept, with Australian Treasury and FIRB already signalling welcome to Chinese investment.</w:t>
      </w:r>
    </w:p>
    <w:p>
      <w:pPr>
        <w:pStyle w:val="ListParagraph"/>
        <w:numPr>
          <w:ilvl w:val="0"/>
          <w:numId w:val="2"/>
        </w:numPr>
        <w:spacing w:after="38" w:before="38"/>
      </w:pPr>
      <w:r>
        <w:rPr>
          <w:rFonts w:ascii="Arial" w:cs="Arial" w:eastAsia="Arial" w:hAnsi="Arial"/>
          <w:b/>
          <w:bCs/>
          <w:color w:val="2C3E35"/>
          <w:sz w:val="22"/>
          <w:szCs w:val="22"/>
        </w:rPr>
        <w:t xml:space="preserve">Sustainable Aviation Fuel (SAF) — </w:t>
      </w:r>
      <w:r>
        <w:rPr>
          <w:rFonts w:ascii="Arial" w:cs="Arial" w:eastAsia="Arial" w:hAnsi="Arial"/>
          <w:b w:val="false"/>
          <w:bCs w:val="false"/>
          <w:color w:val="4A5E55"/>
          <w:sz w:val="22"/>
          <w:szCs w:val="22"/>
        </w:rPr>
        <w:t xml:space="preserve">South Australia’s direct airline connections to China — China Southern, China Eastern, Cathay Pacific — create an immediate, quantifiable CORSIA carbon liability and a concrete feedstock opportunity that puts Adelaide at the centre of bilateral SAF collaboration.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D9E75" w:sz="18"/>
              <w:bottom w:val="none" w:color="FFFFFF" w:sz="0"/>
              <w:right w:val="none" w:color="FFFFFF" w:sz="0"/>
            </w:tcBorders>
            <w:shd w:fill="E0F5EE" w:val="clear"/>
            <w:tcMar>
              <w:top w:type="dxa" w:w="100"/>
              <w:left w:type="dxa" w:w="200"/>
              <w:bottom w:type="dxa" w:w="100"/>
              <w:right w:type="dxa" w:w="130"/>
            </w:tcMar>
          </w:tcPr>
          <w:p>
            <w:pPr>
              <w:spacing w:after="45" w:before="0"/>
            </w:pPr>
            <w:r>
              <w:rPr>
                <w:rFonts w:ascii="Arial" w:cs="Arial" w:eastAsia="Arial" w:hAnsi="Arial"/>
                <w:b/>
                <w:bCs/>
                <w:color w:val="1D9E75"/>
                <w:sz w:val="17"/>
                <w:szCs w:val="17"/>
              </w:rPr>
              <w:t xml:space="preserve">COMMITTEE ASK</w:t>
            </w:r>
          </w:p>
          <w:p>
            <w:pPr>
              <w:spacing w:after="0" w:before="0"/>
            </w:pPr>
            <w:r>
              <w:rPr>
                <w:rFonts w:ascii="Arial" w:cs="Arial" w:eastAsia="Arial" w:hAnsi="Arial"/>
                <w:i/>
                <w:iCs/>
                <w:color w:val="0B5E54"/>
                <w:sz w:val="21"/>
                <w:szCs w:val="21"/>
              </w:rPr>
              <w:t xml:space="preserve">Members are asked to: (1) respond with suggested adjustments to the thematic framing; (2) confirm or propose an alternative for their suggested session role; and (3) identify one speaker or institution from their network for each session they lead. Respond to anthony@cetacea.global</w:t>
            </w:r>
          </w:p>
        </w:tc>
      </w:tr>
    </w:tbl>
    <w:p>
      <w:pPr>
        <w:spacing w:after="0" w:before="200"/>
      </w:pPr>
      <w:r>
        <w:t xml:space="preserve"/>
      </w:r>
    </w:p>
    <w:p>
      <w:pPr>
        <w:pStyle w:val="Heading1"/>
        <w:spacing w:after="110" w:before="340"/>
      </w:pPr>
      <w:r>
        <w:rPr>
          <w:rFonts w:ascii="Arial" w:cs="Arial" w:eastAsia="Arial" w:hAnsi="Arial"/>
          <w:b/>
          <w:bCs/>
          <w:color w:val="0B5E54"/>
          <w:sz w:val="28"/>
          <w:szCs w:val="28"/>
        </w:rPr>
        <w:t xml:space="preserve">02  The Practical Economic Case</w:t>
      </w:r>
    </w:p>
    <w:p>
      <w:pPr>
        <w:spacing w:after="75" w:before="55"/>
      </w:pPr>
      <w:r>
        <w:rPr>
          <w:rFonts w:ascii="Arial" w:cs="Arial" w:eastAsia="Arial" w:hAnsi="Arial"/>
          <w:b w:val="false"/>
          <w:bCs w:val="false"/>
          <w:i w:val="false"/>
          <w:iCs w:val="false"/>
          <w:color w:val="4A5E55"/>
          <w:sz w:val="22"/>
          <w:szCs w:val="22"/>
        </w:rPr>
        <w:t xml:space="preserve">Green Channels</w:t>
      </w:r>
      <w:r>
        <w:rPr>
          <w:rFonts w:ascii="Arial" w:cs="Arial" w:eastAsia="Arial" w:hAnsi="Arial"/>
          <w:b w:val="false"/>
          <w:bCs w:val="false"/>
          <w:i w:val="false"/>
          <w:iCs w:val="false"/>
          <w:color w:val="4A5E55"/>
          <w:sz w:val="22"/>
          <w:szCs w:val="22"/>
        </w:rPr>
        <w:t xml:space="preserve"> is not a policy aspiration. It is an economic architecture with quantifiable stakes. Both sectors carry measurable carbon liabilities today — and the value of standards alignment is concrete. These figures should open every relevant session and anchor every panel discussion.</w:t>
      </w:r>
    </w:p>
    <w:p>
      <w:pPr>
        <w:spacing w:after="0" w:before="7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a2e28" w:val="clear"/>
            <w:tcMar>
              <w:top w:type="dxa" w:w="90"/>
              <w:left w:type="dxa" w:w="160"/>
              <w:bottom w:type="dxa" w:w="90"/>
              <w:right w:type="dxa" w:w="100"/>
            </w:tcMar>
          </w:tcPr>
          <w:p>
            <w:pPr>
              <w:spacing w:after="0" w:before="0"/>
            </w:pPr>
            <w:r>
              <w:rPr>
                <w:rFonts w:ascii="Arial" w:cs="Arial" w:eastAsia="Arial" w:hAnsi="Arial"/>
                <w:b/>
                <w:bCs/>
                <w:color w:val="9FE1CB"/>
                <w:sz w:val="17"/>
                <w:szCs w:val="17"/>
              </w:rPr>
              <w:t xml:space="preserve">GREEN IRON — CHINA'S STEEL LIABILITY &amp; THE AUSTRALIAN INVESTMENT CASE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20"/>
        <w:gridCol w:w="80"/>
        <w:gridCol w:w="2920"/>
        <w:gridCol w:w="80"/>
        <w:gridCol w:w="2920"/>
        <w:gridCol w:w="80"/>
      </w:tblGrid>
      <w:tr>
        <w:tc>
          <w:tcPr>
            <w:tcW w:type="dxa" w:w="2920"/>
            <w:tcBorders>
              <w:top w:val="none" w:color="FFFFFF" w:sz="0"/>
              <w:left w:val="none" w:color="FFFFFF" w:sz="0"/>
              <w:bottom w:val="none" w:color="FFFFFF" w:sz="0"/>
              <w:right w:val="none" w:color="FFFFFF" w:sz="0"/>
            </w:tcBorders>
            <w:shd w:fill="2C3E35" w:val="clear"/>
            <w:tcMar>
              <w:top w:type="dxa" w:w="70"/>
              <w:left w:type="dxa" w:w="120"/>
              <w:bottom w:type="dxa" w:w="70"/>
              <w:right w:type="dxa" w:w="80"/>
            </w:tcMar>
          </w:tcPr>
          <w:p>
            <w:pPr>
              <w:spacing w:after="0" w:before="0"/>
            </w:pPr>
            <w:r>
              <w:rPr>
                <w:rFonts w:ascii="Arial" w:cs="Arial" w:eastAsia="Arial" w:hAnsi="Arial"/>
                <w:b/>
                <w:bCs/>
                <w:color w:val="9FE1CB"/>
                <w:sz w:val="17"/>
                <w:szCs w:val="17"/>
              </w:rPr>
              <w:t xml:space="preserve">China Steel — Carbon Liability</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none" w:color="FFFFFF" w:sz="0"/>
              <w:left w:val="none" w:color="FFFFFF" w:sz="0"/>
              <w:bottom w:val="none" w:color="FFFFFF" w:sz="0"/>
              <w:right w:val="none" w:color="FFFFFF" w:sz="0"/>
            </w:tcBorders>
            <w:shd w:fill="0B5E54" w:val="clear"/>
            <w:tcMar>
              <w:top w:type="dxa" w:w="70"/>
              <w:left w:type="dxa" w:w="120"/>
              <w:bottom w:type="dxa" w:w="70"/>
              <w:right w:type="dxa" w:w="80"/>
            </w:tcMar>
          </w:tcPr>
          <w:p>
            <w:pPr>
              <w:spacing w:after="0" w:before="0"/>
            </w:pPr>
            <w:r>
              <w:rPr>
                <w:rFonts w:ascii="Arial" w:cs="Arial" w:eastAsia="Arial" w:hAnsi="Arial"/>
                <w:b/>
                <w:bCs/>
                <w:color w:val="9FE1CB"/>
                <w:sz w:val="17"/>
                <w:szCs w:val="17"/>
              </w:rPr>
              <w:t xml:space="preserve">AU Green Iron — Infrastructure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none" w:color="FFFFFF" w:sz="0"/>
              <w:left w:val="none" w:color="FFFFFF" w:sz="0"/>
              <w:bottom w:val="none" w:color="FFFFFF" w:sz="0"/>
              <w:right w:val="none" w:color="FFFFFF" w:sz="0"/>
            </w:tcBorders>
            <w:shd w:fill="C27B1A" w:val="clear"/>
            <w:tcMar>
              <w:top w:type="dxa" w:w="70"/>
              <w:left w:type="dxa" w:w="120"/>
              <w:bottom w:type="dxa" w:w="70"/>
              <w:right w:type="dxa" w:w="80"/>
            </w:tcMar>
          </w:tcPr>
          <w:p>
            <w:pPr>
              <w:spacing w:after="0" w:before="0"/>
            </w:pPr>
            <w:r>
              <w:rPr>
                <w:rFonts w:ascii="Arial" w:cs="Arial" w:eastAsia="Arial" w:hAnsi="Arial"/>
                <w:b/>
                <w:bCs/>
                <w:color w:val="FFFFFF"/>
                <w:sz w:val="17"/>
                <w:szCs w:val="17"/>
              </w:rPr>
              <w:t xml:space="preserve">Standards Unlock — Value Proposition</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CN BF-BOF intensity (90% of output)</w:t>
            </w:r>
          </w:p>
          <w:p>
            <w:pPr>
              <w:spacing w:after="0" w:before="0"/>
            </w:pPr>
            <w:r>
              <w:rPr>
                <w:rFonts w:ascii="Arial" w:cs="Arial" w:eastAsia="Arial" w:hAnsi="Arial"/>
                <w:b/>
                <w:bCs/>
                <w:color w:val="C27B1A"/>
                <w:sz w:val="17"/>
                <w:szCs w:val="17"/>
              </w:rPr>
              <w:t xml:space="preserve">~2 tCO₂ / tonne steel</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Green HBI vs BF-BOF: CO₂ reduction</w:t>
            </w:r>
          </w:p>
          <w:p>
            <w:pPr>
              <w:spacing w:after="0" w:before="0"/>
            </w:pPr>
            <w:r>
              <w:rPr>
                <w:rFonts w:ascii="Arial" w:cs="Arial" w:eastAsia="Arial" w:hAnsi="Arial"/>
                <w:b/>
                <w:bCs/>
                <w:color w:val="0B5E54"/>
                <w:sz w:val="17"/>
                <w:szCs w:val="17"/>
              </w:rPr>
              <w:t xml:space="preserve">~95%</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CBAM saving — CN mill 2Mt AU HBI/yr (2034)</w:t>
            </w:r>
          </w:p>
          <w:p>
            <w:pPr>
              <w:spacing w:after="0" w:before="0"/>
            </w:pPr>
            <w:r>
              <w:rPr>
                <w:rFonts w:ascii="Arial" w:cs="Arial" w:eastAsia="Arial" w:hAnsi="Arial"/>
                <w:b/>
                <w:bCs/>
                <w:color w:val="0B5E54"/>
                <w:sz w:val="17"/>
                <w:szCs w:val="17"/>
              </w:rPr>
              <w:t xml:space="preserve">~€286M / year</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CN steel sector CO₂ (annual)</w:t>
            </w:r>
          </w:p>
          <w:p>
            <w:pPr>
              <w:spacing w:after="0" w:before="0"/>
            </w:pPr>
            <w:r>
              <w:rPr>
                <w:rFonts w:ascii="Arial" w:cs="Arial" w:eastAsia="Arial" w:hAnsi="Arial"/>
                <w:b/>
                <w:bCs/>
                <w:color w:val="C27B1A"/>
                <w:sz w:val="17"/>
                <w:szCs w:val="17"/>
              </w:rPr>
              <w:t xml:space="preserve">~1.8–2B tCO₂ / yr</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CBAM — certified green HBI (2026)</w:t>
            </w:r>
          </w:p>
          <w:p>
            <w:pPr>
              <w:spacing w:after="0" w:before="0"/>
            </w:pPr>
            <w:r>
              <w:rPr>
                <w:rFonts w:ascii="Arial" w:cs="Arial" w:eastAsia="Arial" w:hAnsi="Arial"/>
                <w:b/>
                <w:bCs/>
                <w:color w:val="0B5E54"/>
                <w:sz w:val="17"/>
                <w:szCs w:val="17"/>
              </w:rPr>
              <w:t xml:space="preserve">~€1–3 / tonne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Saving justifies AU infrastructure at</w:t>
            </w:r>
          </w:p>
          <w:p>
            <w:pPr>
              <w:spacing w:after="0" w:before="0"/>
            </w:pPr>
            <w:r>
              <w:rPr>
                <w:rFonts w:ascii="Arial" w:cs="Arial" w:eastAsia="Arial" w:hAnsi="Arial"/>
                <w:b/>
                <w:bCs/>
                <w:color w:val="0B5E54"/>
                <w:sz w:val="17"/>
                <w:szCs w:val="17"/>
              </w:rPr>
              <w:t xml:space="preserve">A$4–6B payback</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China ETS price (steel, 2025)</w:t>
            </w:r>
          </w:p>
          <w:p>
            <w:pPr>
              <w:spacing w:after="0" w:before="0"/>
            </w:pPr>
            <w:r>
              <w:rPr>
                <w:rFonts w:ascii="Arial" w:cs="Arial" w:eastAsia="Arial" w:hAnsi="Arial"/>
                <w:b/>
                <w:bCs/>
                <w:color w:val="C27B1A"/>
                <w:sz w:val="17"/>
                <w:szCs w:val="17"/>
              </w:rPr>
              <w:t xml:space="preserve">~US$10–14 / tCO₂</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CBAM — certified green HBI (2034)</w:t>
            </w:r>
          </w:p>
          <w:p>
            <w:pPr>
              <w:spacing w:after="0" w:before="0"/>
            </w:pPr>
            <w:r>
              <w:rPr>
                <w:rFonts w:ascii="Arial" w:cs="Arial" w:eastAsia="Arial" w:hAnsi="Arial"/>
                <w:b/>
                <w:bCs/>
                <w:color w:val="0B5E54"/>
                <w:sz w:val="17"/>
                <w:szCs w:val="17"/>
              </w:rPr>
              <w:t xml:space="preserve">~€8–12 / tonne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Standards uncertainty: cost of capital</w:t>
            </w:r>
          </w:p>
          <w:p>
            <w:pPr>
              <w:spacing w:after="0" w:before="0"/>
            </w:pPr>
            <w:r>
              <w:rPr>
                <w:rFonts w:ascii="Arial" w:cs="Arial" w:eastAsia="Arial" w:hAnsi="Arial"/>
                <w:b/>
                <w:bCs/>
                <w:color w:val="C27B1A"/>
                <w:sz w:val="17"/>
                <w:szCs w:val="17"/>
              </w:rPr>
              <w:t xml:space="preserve">+200–300 bps</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EU ETS price (2025)</w:t>
            </w:r>
          </w:p>
          <w:p>
            <w:pPr>
              <w:spacing w:after="0" w:before="0"/>
            </w:pPr>
            <w:r>
              <w:rPr>
                <w:rFonts w:ascii="Arial" w:cs="Arial" w:eastAsia="Arial" w:hAnsi="Arial"/>
                <w:b/>
                <w:bCs/>
                <w:color w:val="2C3E35"/>
                <w:sz w:val="17"/>
                <w:szCs w:val="17"/>
              </w:rPr>
              <w:t xml:space="preserve">€70–100 / tCO₂</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Net CBAM saving vs BF-BOF (2034)</w:t>
            </w:r>
          </w:p>
          <w:p>
            <w:pPr>
              <w:spacing w:after="0" w:before="0"/>
            </w:pPr>
            <w:r>
              <w:rPr>
                <w:rFonts w:ascii="Arial" w:cs="Arial" w:eastAsia="Arial" w:hAnsi="Arial"/>
                <w:b/>
                <w:bCs/>
                <w:color w:val="0B5E54"/>
                <w:sz w:val="17"/>
                <w:szCs w:val="17"/>
              </w:rPr>
              <w:t xml:space="preserve">~€143 / tonne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Extra financing — A$10B at +250 bps</w:t>
            </w:r>
          </w:p>
          <w:p>
            <w:pPr>
              <w:spacing w:after="0" w:before="0"/>
            </w:pPr>
            <w:r>
              <w:rPr>
                <w:rFonts w:ascii="Arial" w:cs="Arial" w:eastAsia="Arial" w:hAnsi="Arial"/>
                <w:b/>
                <w:bCs/>
                <w:color w:val="C27B1A"/>
                <w:sz w:val="17"/>
                <w:szCs w:val="17"/>
              </w:rPr>
              <w:t xml:space="preserve">+A$250M / yr</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CN domestic price covers % of CBAM bill</w:t>
            </w:r>
          </w:p>
          <w:p>
            <w:pPr>
              <w:spacing w:after="0" w:before="0"/>
            </w:pPr>
            <w:r>
              <w:rPr>
                <w:rFonts w:ascii="Arial" w:cs="Arial" w:eastAsia="Arial" w:hAnsi="Arial"/>
                <w:b/>
                <w:bCs/>
                <w:color w:val="C27B1A"/>
                <w:sz w:val="17"/>
                <w:szCs w:val="17"/>
              </w:rPr>
              <w:t xml:space="preserve">~8% only</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Green H₂ electrolyser (1 Mt/yr HBI)</w:t>
            </w:r>
          </w:p>
          <w:p>
            <w:pPr>
              <w:spacing w:after="0" w:before="0"/>
            </w:pPr>
            <w:r>
              <w:rPr>
                <w:rFonts w:ascii="Arial" w:cs="Arial" w:eastAsia="Arial" w:hAnsi="Arial"/>
                <w:b/>
                <w:bCs/>
                <w:color w:val="2C3E35"/>
                <w:sz w:val="17"/>
                <w:szCs w:val="17"/>
              </w:rPr>
              <w:t xml:space="preserve">~200–300 MW</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Mutual recognition removes this premium</w:t>
            </w:r>
          </w:p>
          <w:p>
            <w:pPr>
              <w:spacing w:after="0" w:before="0"/>
            </w:pPr>
            <w:r>
              <w:rPr>
                <w:rFonts w:ascii="Arial" w:cs="Arial" w:eastAsia="Arial" w:hAnsi="Arial"/>
                <w:b/>
                <w:bCs/>
                <w:color w:val="0B5E54"/>
                <w:sz w:val="17"/>
                <w:szCs w:val="17"/>
              </w:rPr>
              <w:t xml:space="preserve">Saves A$250M/yr</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CBAM — BF-BOF steel to EU (2026)</w:t>
            </w:r>
          </w:p>
          <w:p>
            <w:pPr>
              <w:spacing w:after="0" w:before="0"/>
            </w:pPr>
            <w:r>
              <w:rPr>
                <w:rFonts w:ascii="Arial" w:cs="Arial" w:eastAsia="Arial" w:hAnsi="Arial"/>
                <w:b/>
                <w:bCs/>
                <w:color w:val="C27B1A"/>
                <w:sz w:val="17"/>
                <w:szCs w:val="17"/>
              </w:rPr>
              <w:t xml:space="preserve">~€23 / tonne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Renewable generation required</w:t>
            </w:r>
          </w:p>
          <w:p>
            <w:pPr>
              <w:spacing w:after="0" w:before="0"/>
            </w:pPr>
            <w:r>
              <w:rPr>
                <w:rFonts w:ascii="Arial" w:cs="Arial" w:eastAsia="Arial" w:hAnsi="Arial"/>
                <w:b/>
                <w:bCs/>
                <w:color w:val="2C3E35"/>
                <w:sz w:val="17"/>
                <w:szCs w:val="17"/>
              </w:rPr>
              <w:t xml:space="preserve">~400 MW / 3+ TWh/yr</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Research / definition project cost</w:t>
            </w:r>
          </w:p>
          <w:p>
            <w:pPr>
              <w:spacing w:after="0" w:before="0"/>
            </w:pPr>
            <w:r>
              <w:rPr>
                <w:rFonts w:ascii="Arial" w:cs="Arial" w:eastAsia="Arial" w:hAnsi="Arial"/>
                <w:b/>
                <w:bCs/>
                <w:color w:val="2C3E35"/>
                <w:sz w:val="17"/>
                <w:szCs w:val="17"/>
              </w:rPr>
              <w:t xml:space="preserve">~A$2–5M</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CBAM — BF-BOF steel to EU (2034)</w:t>
            </w:r>
          </w:p>
          <w:p>
            <w:pPr>
              <w:spacing w:after="0" w:before="0"/>
            </w:pPr>
            <w:r>
              <w:rPr>
                <w:rFonts w:ascii="Arial" w:cs="Arial" w:eastAsia="Arial" w:hAnsi="Arial"/>
                <w:b/>
                <w:bCs/>
                <w:color w:val="C27B1A"/>
                <w:sz w:val="17"/>
                <w:szCs w:val="17"/>
              </w:rPr>
              <w:t xml:space="preserve">~€155 / tonne</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DRI shaft furnace + process plant</w:t>
            </w:r>
          </w:p>
          <w:p>
            <w:pPr>
              <w:spacing w:after="0" w:before="0"/>
            </w:pPr>
            <w:r>
              <w:rPr>
                <w:rFonts w:ascii="Arial" w:cs="Arial" w:eastAsia="Arial" w:hAnsi="Arial"/>
                <w:b/>
                <w:bCs/>
                <w:color w:val="2C3E35"/>
                <w:sz w:val="17"/>
                <w:szCs w:val="17"/>
              </w:rPr>
              <w:t xml:space="preserve">A$1–1.5B</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Leverage: 5–10 projects unlocked</w:t>
            </w:r>
          </w:p>
          <w:p>
            <w:pPr>
              <w:spacing w:after="0" w:before="0"/>
            </w:pPr>
            <w:r>
              <w:rPr>
                <w:rFonts w:ascii="Arial" w:cs="Arial" w:eastAsia="Arial" w:hAnsi="Arial"/>
                <w:b/>
                <w:bCs/>
                <w:color w:val="0B5E54"/>
                <w:sz w:val="17"/>
                <w:szCs w:val="17"/>
              </w:rPr>
              <w:t xml:space="preserve">A$35–120B CapEx</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CN total ISAP CBAM bill (2034)</w:t>
            </w:r>
          </w:p>
          <w:p>
            <w:pPr>
              <w:spacing w:after="0" w:before="0"/>
            </w:pPr>
            <w:r>
              <w:rPr>
                <w:rFonts w:ascii="Arial" w:cs="Arial" w:eastAsia="Arial" w:hAnsi="Arial"/>
                <w:b/>
                <w:bCs/>
                <w:color w:val="C27B1A"/>
                <w:sz w:val="17"/>
                <w:szCs w:val="17"/>
              </w:rPr>
              <w:t xml:space="preserve">€1.2–3.4B / year</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Port + grid + H₂ infrastructure</w:t>
            </w:r>
          </w:p>
          <w:p>
            <w:pPr>
              <w:spacing w:after="0" w:before="0"/>
            </w:pPr>
            <w:r>
              <w:rPr>
                <w:rFonts w:ascii="Arial" w:cs="Arial" w:eastAsia="Arial" w:hAnsi="Arial"/>
                <w:b/>
                <w:bCs/>
                <w:color w:val="2C3E35"/>
                <w:sz w:val="17"/>
                <w:szCs w:val="17"/>
              </w:rPr>
              <w:t xml:space="preserve">A$1–2B</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Without standards: product discount</w:t>
            </w:r>
          </w:p>
          <w:p>
            <w:pPr>
              <w:spacing w:after="0" w:before="0"/>
            </w:pPr>
            <w:r>
              <w:rPr>
                <w:rFonts w:ascii="Arial" w:cs="Arial" w:eastAsia="Arial" w:hAnsi="Arial"/>
                <w:b/>
                <w:bCs/>
                <w:color w:val="C27B1A"/>
                <w:sz w:val="17"/>
                <w:szCs w:val="17"/>
              </w:rPr>
              <w:t xml:space="preserve">10–15% penalty</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Steel: share of total CBAM liability</w:t>
            </w:r>
          </w:p>
          <w:p>
            <w:pPr>
              <w:spacing w:after="0" w:before="0"/>
            </w:pPr>
            <w:r>
              <w:rPr>
                <w:rFonts w:ascii="Arial" w:cs="Arial" w:eastAsia="Arial" w:hAnsi="Arial"/>
                <w:b/>
                <w:bCs/>
                <w:color w:val="2C3E35"/>
                <w:sz w:val="17"/>
                <w:szCs w:val="17"/>
              </w:rPr>
              <w:t xml:space="preserve">~75%</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Total CapEx — 1 Mt/yr green HBI precinct</w:t>
            </w:r>
          </w:p>
          <w:p>
            <w:pPr>
              <w:spacing w:after="0" w:before="0"/>
            </w:pPr>
            <w:r>
              <w:rPr>
                <w:rFonts w:ascii="Arial" w:cs="Arial" w:eastAsia="Arial" w:hAnsi="Arial"/>
                <w:b/>
                <w:bCs/>
                <w:color w:val="2C3E35"/>
                <w:sz w:val="17"/>
                <w:szCs w:val="17"/>
              </w:rPr>
              <w:t xml:space="preserve">A$7–12B</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FFFFF"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Forum outcome: Adelaide Declaration</w:t>
            </w:r>
          </w:p>
          <w:p>
            <w:pPr>
              <w:spacing w:after="0" w:before="0"/>
            </w:pPr>
            <w:r>
              <w:rPr>
                <w:rFonts w:ascii="Arial" w:cs="Arial" w:eastAsia="Arial" w:hAnsi="Arial"/>
                <w:b/>
                <w:bCs/>
                <w:color w:val="0B5E54"/>
                <w:sz w:val="17"/>
                <w:szCs w:val="17"/>
              </w:rPr>
              <w:t xml:space="preserve">Joint standards WG</w:t>
            </w:r>
          </w:p>
        </w:tc>
        <w:tc>
          <w:tcPr>
            <w:tcW w:type="dxa" w:w="80"/>
            <w:tcBorders>
              <w:top w:val="none" w:color="FFFFFF" w:sz="0"/>
              <w:left w:val="none" w:color="FFFFFF" w:sz="0"/>
              <w:bottom w:val="none" w:color="FFFFFF" w:sz="0"/>
              <w:right w:val="none" w:color="FFFFFF" w:sz="0"/>
            </w:tcBorders>
            <w:shd w:fill="FFFFFF" w:val="clear"/>
          </w:tcPr>
          <w:p>
            <w:r>
              <w:t xml:space="preserve"/>
            </w:r>
          </w:p>
        </w:tc>
      </w:tr>
      <w:tr>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Default-value penalty (no MRV data)</w:t>
            </w:r>
          </w:p>
          <w:p>
            <w:pPr>
              <w:spacing w:after="0" w:before="0"/>
            </w:pPr>
            <w:r>
              <w:rPr>
                <w:rFonts w:ascii="Arial" w:cs="Arial" w:eastAsia="Arial" w:hAnsi="Arial"/>
                <w:b/>
                <w:bCs/>
                <w:color w:val="C27B1A"/>
                <w:sz w:val="17"/>
                <w:szCs w:val="17"/>
              </w:rPr>
              <w:t xml:space="preserve">+10%/yr markup 2026–28</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30-yr AU opportunity (Superpower Inst.)</w:t>
            </w:r>
          </w:p>
          <w:p>
            <w:pPr>
              <w:spacing w:after="0" w:before="0"/>
            </w:pPr>
            <w:r>
              <w:rPr>
                <w:rFonts w:ascii="Arial" w:cs="Arial" w:eastAsia="Arial" w:hAnsi="Arial"/>
                <w:b/>
                <w:bCs/>
                <w:color w:val="0B5E54"/>
                <w:sz w:val="17"/>
                <w:szCs w:val="17"/>
              </w:rPr>
              <w:t xml:space="preserve">A$386B (AUKUS?)</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920"/>
            <w:tcBorders>
              <w:top w:val="single" w:color="D5E5DF" w:sz="1"/>
              <w:left w:val="single" w:color="D5E5DF" w:sz="1"/>
              <w:bottom w:val="single" w:color="D5E5DF" w:sz="1"/>
              <w:right w:val="single" w:color="D5E5DF" w:sz="1"/>
            </w:tcBorders>
            <w:shd w:fill="F5F7F5" w:val="clear"/>
            <w:tcMar>
              <w:top w:type="dxa" w:w="45"/>
              <w:left w:type="dxa" w:w="100"/>
              <w:bottom w:type="dxa" w:w="45"/>
              <w:right w:type="dxa" w:w="60"/>
            </w:tcMar>
          </w:tcPr>
          <w:p>
            <w:pPr>
              <w:spacing w:after="25" w:before="0"/>
            </w:pPr>
            <w:r>
              <w:rPr>
                <w:rFonts w:ascii="Arial" w:cs="Arial" w:eastAsia="Arial" w:hAnsi="Arial"/>
                <w:color w:val="4A5E55"/>
                <w:sz w:val="17"/>
                <w:szCs w:val="17"/>
              </w:rPr>
              <w:t xml:space="preserve">Working group mandate</w:t>
            </w:r>
          </w:p>
          <w:p>
            <w:pPr>
              <w:spacing w:after="0" w:before="0"/>
            </w:pPr>
            <w:r>
              <w:rPr>
                <w:rFonts w:ascii="Arial" w:cs="Arial" w:eastAsia="Arial" w:hAnsi="Arial"/>
                <w:b/>
                <w:bCs/>
                <w:color w:val="2C3E35"/>
                <w:sz w:val="17"/>
                <w:szCs w:val="17"/>
              </w:rPr>
              <w:t xml:space="preserve">12 months → protocol</w:t>
            </w:r>
          </w:p>
        </w:tc>
        <w:tc>
          <w:tcPr>
            <w:tcW w:type="dxa" w:w="80"/>
            <w:tcBorders>
              <w:top w:val="none" w:color="FFFFFF" w:sz="0"/>
              <w:left w:val="none" w:color="FFFFFF" w:sz="0"/>
              <w:bottom w:val="none" w:color="FFFFFF" w:sz="0"/>
              <w:right w:val="none" w:color="FFFFFF" w:sz="0"/>
            </w:tcBorders>
            <w:shd w:fill="FFFFFF" w:val="clear"/>
          </w:tcPr>
          <w:p>
            <w:r>
              <w:t xml:space="preserve"/>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E5DF" w:sz="1"/>
              <w:left w:val="single" w:color="D5E5DF" w:sz="1"/>
              <w:bottom w:val="single" w:color="D5E5DF" w:sz="1"/>
              <w:right w:val="single" w:color="D5E5DF" w:sz="1"/>
            </w:tcBorders>
            <w:shd w:fill="FDF3E0" w:val="clear"/>
            <w:tcMar>
              <w:top w:type="dxa" w:w="120"/>
              <w:left w:type="dxa" w:w="170"/>
              <w:bottom w:type="dxa" w:w="120"/>
              <w:right w:type="dxa" w:w="130"/>
            </w:tcMar>
          </w:tcPr>
          <w:p>
            <w:pPr>
              <w:spacing w:after="55" w:before="0"/>
            </w:pPr>
            <w:r>
              <w:rPr>
                <w:rFonts w:ascii="Arial" w:cs="Arial" w:eastAsia="Arial" w:hAnsi="Arial"/>
                <w:b/>
                <w:bCs/>
                <w:color w:val="C27B1A"/>
                <w:sz w:val="17"/>
                <w:szCs w:val="17"/>
              </w:rPr>
              <w:t xml:space="preserve">WHY ADELAIDE FOR A SAF FORUM</w:t>
            </w:r>
          </w:p>
          <w:p>
            <w:pPr>
              <w:spacing w:after="0" w:before="0"/>
            </w:pPr>
            <w:r>
              <w:rPr>
                <w:rFonts w:ascii="Arial" w:cs="Arial" w:eastAsia="Arial" w:hAnsi="Arial"/>
                <w:color w:val="6B4800"/>
                <w:sz w:val="21"/>
                <w:szCs w:val="21"/>
              </w:rPr>
              <w:t xml:space="preserve">China–Australia aviation: ~4–6M tCO₂/year, ~1,320 weekly flights, all Chinese carriers (Qantas/Jetstar exited). CORSIA Phase 2 mandatory from 2027 — aggregate liability US$200–600M+/year. Australian tallow alone could supply the full bilateral SAF requirement. The certification gap (ISCC vs Chinese scheme) is the single barrier. Adelaide is where the forum meets; the opportunity and the obligation are national in scale.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50"/>
        <w:gridCol w:w="300"/>
        <w:gridCol w:w="4350"/>
      </w:tblGrid>
      <w:tr>
        <w:tc>
          <w:tcPr>
            <w:tcW w:type="dxa" w:w="435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350"/>
              <w:tblBorders>
                <w:top w:val="single" w:color="auto" w:sz="4"/>
                <w:left w:val="single" w:color="auto" w:sz="4"/>
                <w:bottom w:val="single" w:color="auto" w:sz="4"/>
                <w:right w:val="single" w:color="auto" w:sz="4"/>
                <w:insideH w:val="single" w:color="auto" w:sz="4"/>
                <w:insideV w:val="single" w:color="auto" w:sz="4"/>
              </w:tblBorders>
            </w:tblPr>
            <w:tblGrid>
              <w:gridCol w:w="2697"/>
              <w:gridCol w:w="1653"/>
            </w:tblGrid>
            <w:tr>
              <w:tc>
                <w:tcPr>
                  <w:tcW w:type="dxa" w:w="4350"/>
                  <w:tcBorders>
                    <w:top w:val="none" w:color="FFFFFF" w:sz="0"/>
                    <w:left w:val="none" w:color="FFFFFF" w:sz="0"/>
                    <w:bottom w:val="none" w:color="FFFFFF" w:sz="0"/>
                    <w:right w:val="none" w:color="FFFFFF" w:sz="0"/>
                  </w:tcBorders>
                  <w:shd w:fill="0B5E54" w:val="clear"/>
                  <w:tcMar>
                    <w:top w:type="dxa" w:w="75"/>
                    <w:left w:type="dxa" w:w="110"/>
                    <w:bottom w:type="dxa" w:w="75"/>
                    <w:right w:type="dxa" w:w="75"/>
                  </w:tcMar>
                </w:tcPr>
                <w:p>
                  <w:pPr>
                    <w:spacing w:after="0" w:before="0"/>
                  </w:pPr>
                  <w:r>
                    <w:rPr>
                      <w:rFonts w:ascii="Arial" w:cs="Arial" w:eastAsia="Arial" w:hAnsi="Arial"/>
                      <w:b/>
                      <w:bCs/>
                      <w:color w:val="FFFFFF"/>
                      <w:sz w:val="18"/>
                      <w:szCs w:val="18"/>
                    </w:rPr>
                    <w:t xml:space="preserve">Sustainable Aviation Fuel — China–Australia national picture</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Weekly flights — all carriers, all routes</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~1,320 (2024)</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Annual passengers (all routes, recovering)</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~3.5M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Total bilateral CO₂ — all carriers (est.)</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~4–6M tCO₂ / year</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CORSIA Phase 2 aggregate liability (from 2027)</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US$200–600M+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SAF demand — 2% CN blending mandate</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~60–80k tonnes / year</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SAF demand — 10% CN mandate (2030)</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~300k+ tonnes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AU tallow alone could supply</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Full bilateral SAF requirement</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Certification gap blocks AU feedstocks now</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ISCC vs CN scheme — unsolved</w:t>
                  </w:r>
                </w:p>
              </w:tc>
            </w:tr>
          </w:tbl>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35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350"/>
              <w:tblBorders>
                <w:top w:val="single" w:color="auto" w:sz="4"/>
                <w:left w:val="single" w:color="auto" w:sz="4"/>
                <w:bottom w:val="single" w:color="auto" w:sz="4"/>
                <w:right w:val="single" w:color="auto" w:sz="4"/>
                <w:insideH w:val="single" w:color="auto" w:sz="4"/>
                <w:insideV w:val="single" w:color="auto" w:sz="4"/>
              </w:tblBorders>
            </w:tblPr>
            <w:tblGrid>
              <w:gridCol w:w="2697"/>
              <w:gridCol w:w="1653"/>
            </w:tblGrid>
            <w:tr>
              <w:tc>
                <w:tcPr>
                  <w:tcW w:type="dxa" w:w="4350"/>
                  <w:tcBorders>
                    <w:top w:val="none" w:color="FFFFFF" w:sz="0"/>
                    <w:left w:val="none" w:color="FFFFFF" w:sz="0"/>
                    <w:bottom w:val="none" w:color="FFFFFF" w:sz="0"/>
                    <w:right w:val="none" w:color="FFFFFF" w:sz="0"/>
                  </w:tcBorders>
                  <w:shd w:fill="0B5E54" w:val="clear"/>
                  <w:tcMar>
                    <w:top w:type="dxa" w:w="75"/>
                    <w:left w:type="dxa" w:w="110"/>
                    <w:bottom w:type="dxa" w:w="75"/>
                    <w:right w:type="dxa" w:w="75"/>
                  </w:tcMar>
                </w:tcPr>
                <w:p>
                  <w:pPr>
                    <w:spacing w:after="0" w:before="0"/>
                  </w:pPr>
                  <w:r>
                    <w:rPr>
                      <w:rFonts w:ascii="Arial" w:cs="Arial" w:eastAsia="Arial" w:hAnsi="Arial"/>
                      <w:b/>
                      <w:bCs/>
                      <w:color w:val="FFFFFF"/>
                      <w:sz w:val="18"/>
                      <w:szCs w:val="18"/>
                    </w:rPr>
                    <w:t xml:space="preserve">Sustainable Aviation Fuel — China–Australia national picture</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Weekly flights — all carriers, all routes</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~1,320 (2024)</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Annual passengers (all routes, recovering)</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~3.5M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Total bilateral CO₂ — all carriers (est.)</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~4–6M tCO₂ / year</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CORSIA Phase 2 aggregate liability (from 2027)</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US$200–600M+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SAF demand — 2% CN blending mandate</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~60–80k tonnes / year</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SAF demand — 10% CN mandate (2030)</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~300k+ tonnes / year</w:t>
                  </w:r>
                </w:p>
              </w:tc>
            </w:tr>
            <w:tr>
              <w:tc>
                <w:tcPr>
                  <w:tcW w:type="dxa" w:w="2697"/>
                  <w:tcBorders>
                    <w:top w:val="single" w:color="D5E5DF" w:sz="1"/>
                    <w:left w:val="single" w:color="D5E5DF" w:sz="1"/>
                    <w:bottom w:val="single" w:color="D5E5DF" w:sz="1"/>
                    <w:right w:val="single" w:color="D5E5DF" w:sz="1"/>
                  </w:tcBorders>
                  <w:shd w:fill="FFFFFF"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AU tallow alone could supply</w:t>
                  </w:r>
                </w:p>
              </w:tc>
              <w:tc>
                <w:tcPr>
                  <w:tcW w:type="dxa" w:w="1653"/>
                  <w:tcBorders>
                    <w:top w:val="single" w:color="D5E5DF" w:sz="1"/>
                    <w:left w:val="single" w:color="D5E5DF" w:sz="1"/>
                    <w:bottom w:val="single" w:color="D5E5DF" w:sz="1"/>
                    <w:right w:val="single" w:color="D5E5DF" w:sz="1"/>
                  </w:tcBorders>
                  <w:shd w:fill="FFFFFF" w:val="clear"/>
                  <w:tcMar>
                    <w:top w:type="dxa" w:w="52"/>
                    <w:left w:type="dxa" w:w="75"/>
                    <w:bottom w:type="dxa" w:w="52"/>
                    <w:right w:type="dxa" w:w="65"/>
                  </w:tcMar>
                </w:tcPr>
                <w:p>
                  <w:pPr>
                    <w:spacing w:after="0" w:before="0"/>
                  </w:pPr>
                  <w:r>
                    <w:rPr>
                      <w:rFonts w:ascii="Arial" w:cs="Arial" w:eastAsia="Arial" w:hAnsi="Arial"/>
                      <w:b/>
                      <w:bCs/>
                      <w:color w:val="0B5E54"/>
                      <w:sz w:val="18"/>
                      <w:szCs w:val="18"/>
                    </w:rPr>
                    <w:t xml:space="preserve">Full bilateral SAF requirement</w:t>
                  </w:r>
                </w:p>
              </w:tc>
            </w:tr>
            <w:tr>
              <w:tc>
                <w:tcPr>
                  <w:tcW w:type="dxa" w:w="2697"/>
                  <w:tcBorders>
                    <w:top w:val="single" w:color="D5E5DF" w:sz="1"/>
                    <w:left w:val="single" w:color="D5E5DF" w:sz="1"/>
                    <w:bottom w:val="single" w:color="D5E5DF" w:sz="1"/>
                    <w:right w:val="single" w:color="D5E5DF" w:sz="1"/>
                  </w:tcBorders>
                  <w:shd w:fill="F5F7F5" w:val="clear"/>
                  <w:tcMar>
                    <w:top w:type="dxa" w:w="52"/>
                    <w:left w:type="dxa" w:w="110"/>
                    <w:bottom w:type="dxa" w:w="52"/>
                    <w:right w:type="dxa" w:w="55"/>
                  </w:tcMar>
                </w:tcPr>
                <w:p>
                  <w:pPr>
                    <w:spacing w:after="0" w:before="0"/>
                  </w:pPr>
                  <w:r>
                    <w:rPr>
                      <w:rFonts w:ascii="Arial" w:cs="Arial" w:eastAsia="Arial" w:hAnsi="Arial"/>
                      <w:color w:val="4A5E55"/>
                      <w:sz w:val="18"/>
                      <w:szCs w:val="18"/>
                    </w:rPr>
                    <w:t xml:space="preserve">Certification gap blocks AU feedstocks now</w:t>
                  </w:r>
                </w:p>
              </w:tc>
              <w:tc>
                <w:tcPr>
                  <w:tcW w:type="dxa" w:w="1653"/>
                  <w:tcBorders>
                    <w:top w:val="single" w:color="D5E5DF" w:sz="1"/>
                    <w:left w:val="single" w:color="D5E5DF" w:sz="1"/>
                    <w:bottom w:val="single" w:color="D5E5DF" w:sz="1"/>
                    <w:right w:val="single" w:color="D5E5DF" w:sz="1"/>
                  </w:tcBorders>
                  <w:shd w:fill="F5F7F5" w:val="clear"/>
                  <w:tcMar>
                    <w:top w:type="dxa" w:w="52"/>
                    <w:left w:type="dxa" w:w="75"/>
                    <w:bottom w:type="dxa" w:w="52"/>
                    <w:right w:type="dxa" w:w="65"/>
                  </w:tcMar>
                </w:tcPr>
                <w:p>
                  <w:pPr>
                    <w:spacing w:after="0" w:before="0"/>
                  </w:pPr>
                  <w:r>
                    <w:rPr>
                      <w:rFonts w:ascii="Arial" w:cs="Arial" w:eastAsia="Arial" w:hAnsi="Arial"/>
                      <w:b/>
                      <w:bCs/>
                      <w:color w:val="C27B1A"/>
                      <w:sz w:val="18"/>
                      <w:szCs w:val="18"/>
                    </w:rPr>
                    <w:t xml:space="preserve">ISCC vs CN scheme — unsolved</w:t>
                  </w:r>
                </w:p>
              </w:tc>
            </w:tr>
          </w:tbl>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03  The Standards–Capital Nexus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B5E54" w:val="clear"/>
            <w:tcMar>
              <w:top w:type="dxa" w:w="150"/>
              <w:left w:type="dxa" w:w="230"/>
              <w:bottom w:type="dxa" w:w="150"/>
              <w:right w:type="dxa" w:w="170"/>
            </w:tcMar>
          </w:tcPr>
          <w:p>
            <w:pPr>
              <w:spacing w:after="65" w:before="0"/>
            </w:pPr>
            <w:r>
              <w:rPr>
                <w:rFonts w:ascii="Arial" w:cs="Arial" w:eastAsia="Arial" w:hAnsi="Arial"/>
                <w:b/>
                <w:bCs/>
                <w:color w:val="9FE1CB"/>
                <w:sz w:val="17"/>
                <w:szCs w:val="17"/>
              </w:rPr>
              <w:t xml:space="preserve">CORE THESIS</w:t>
            </w:r>
          </w:p>
          <w:p>
            <w:pPr>
              <w:spacing w:after="0" w:before="0"/>
            </w:pPr>
            <w:r>
              <w:rPr>
                <w:rFonts w:ascii="Arial" w:cs="Arial" w:eastAsia="Arial" w:hAnsi="Arial"/>
                <w:color w:val="E0F5EE"/>
                <w:sz w:val="22"/>
                <w:szCs w:val="22"/>
              </w:rPr>
              <w:t xml:space="preserve">China has trillions of renminbi earmarked for industrial decarbonisation. A material share needs to flow upstream to secure certified green feedstocks from Australia. Without standards interoperability — shared carbon accounting, PCF certification, supply chain traceability — that money cannot move. The capital is willing. The standards gap is the barrier. Green Channels exists to close it.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40"/>
        <w:gridCol w:w="80"/>
        <w:gridCol w:w="2840"/>
        <w:gridCol w:w="80"/>
        <w:gridCol w:w="2840"/>
      </w:tblGrid>
      <w:tr>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Market access</w:t>
            </w:r>
          </w:p>
          <w:p>
            <w:pPr>
              <w:spacing w:after="50" w:before="0"/>
            </w:pPr>
            <w:r>
              <w:rPr>
                <w:rFonts w:ascii="Arial" w:cs="Arial" w:eastAsia="Arial" w:hAnsi="Arial"/>
                <w:b/>
                <w:bCs/>
                <w:color w:val="2C3E35"/>
                <w:sz w:val="19"/>
                <w:szCs w:val="19"/>
              </w:rPr>
              <w:t xml:space="preserve">Code compliance is becoming a procurement condition</w:t>
            </w:r>
          </w:p>
          <w:p>
            <w:pPr>
              <w:spacing w:after="0" w:before="0"/>
            </w:pPr>
            <w:r>
              <w:rPr>
                <w:rFonts w:ascii="Arial" w:cs="Arial" w:eastAsia="Arial" w:hAnsi="Arial"/>
                <w:color w:val="7A8C84"/>
                <w:sz w:val="18"/>
                <w:szCs w:val="18"/>
              </w:rPr>
              <w:t xml:space="preserve">Australian exporters who cannot demonstrate Code-aligned carbon accounting will lose Chinese procurement opportunities — without knowing why.</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Investment flow</w:t>
            </w:r>
          </w:p>
          <w:p>
            <w:pPr>
              <w:spacing w:after="50" w:before="0"/>
            </w:pPr>
            <w:r>
              <w:rPr>
                <w:rFonts w:ascii="Arial" w:cs="Arial" w:eastAsia="Arial" w:hAnsi="Arial"/>
                <w:b/>
                <w:bCs/>
                <w:color w:val="2C3E35"/>
                <w:sz w:val="19"/>
                <w:szCs w:val="19"/>
              </w:rPr>
              <w:t xml:space="preserve">Chinese FDI is standards-contingent</w:t>
            </w:r>
          </w:p>
          <w:p>
            <w:pPr>
              <w:spacing w:after="0" w:before="0"/>
            </w:pPr>
            <w:r>
              <w:rPr>
                <w:rFonts w:ascii="Arial" w:cs="Arial" w:eastAsia="Arial" w:hAnsi="Arial"/>
                <w:color w:val="7A8C84"/>
                <w:sz w:val="18"/>
                <w:szCs w:val="18"/>
              </w:rPr>
              <w:t xml:space="preserve">Where GB/T and ISO diverge, investment decisions stall. (HILTCRC Research) Certainty is a prerequisite for capital movement.</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Competitive moat</w:t>
            </w:r>
          </w:p>
          <w:p>
            <w:pPr>
              <w:spacing w:after="50" w:before="0"/>
            </w:pPr>
            <w:r>
              <w:rPr>
                <w:rFonts w:ascii="Arial" w:cs="Arial" w:eastAsia="Arial" w:hAnsi="Arial"/>
                <w:b/>
                <w:bCs/>
                <w:color w:val="2C3E35"/>
                <w:sz w:val="19"/>
                <w:szCs w:val="19"/>
              </w:rPr>
              <w:t xml:space="preserve">Triple certification is the prize</w:t>
            </w:r>
          </w:p>
          <w:p>
            <w:pPr>
              <w:spacing w:after="0" w:before="0"/>
            </w:pPr>
            <w:r>
              <w:rPr>
                <w:rFonts w:ascii="Arial" w:cs="Arial" w:eastAsia="Arial" w:hAnsi="Arial"/>
                <w:color w:val="7A8C84"/>
                <w:sz w:val="18"/>
                <w:szCs w:val="18"/>
              </w:rPr>
              <w:t xml:space="preserve">AU (GO/ACCU) + CN (GB/T) + EU (ISO 14064) simultaneously satisfies AU, CN, and EU requirements. First-mover advantage is real.</w:t>
            </w:r>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04  The AU–CN–EU Triangle</w:t>
      </w:r>
    </w:p>
    <w:p>
      <w:pPr>
        <w:spacing w:after="75" w:before="55"/>
      </w:pPr>
      <w:r>
        <w:rPr>
          <w:rFonts w:ascii="Arial" w:cs="Arial" w:eastAsia="Arial" w:hAnsi="Arial"/>
          <w:color w:val="4A5E55"/>
          <w:sz w:val="22"/>
          <w:szCs w:val="22"/>
        </w:rPr>
        <w:t xml:space="preserve">Green Channels positions Australian industry at the centre of a trilateral carbon transparency architecture. EU CBAM is the price signal creating Chinese demand for certified Australian inputs.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40"/>
        <w:gridCol w:w="80"/>
        <w:gridCol w:w="2840"/>
        <w:gridCol w:w="80"/>
        <w:gridCol w:w="2840"/>
      </w:tblGrid>
      <w:tr>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  China</w:t>
            </w:r>
          </w:p>
          <w:p>
            <w:pPr>
              <w:spacing w:after="50" w:before="0"/>
            </w:pPr>
            <w:r>
              <w:rPr>
                <w:rFonts w:ascii="Arial" w:cs="Arial" w:eastAsia="Arial" w:hAnsi="Arial"/>
                <w:b/>
                <w:bCs/>
                <w:color w:val="2C3E35"/>
                <w:sz w:val="19"/>
                <w:szCs w:val="19"/>
              </w:rPr>
              <w:t xml:space="preserve">Regulatory demand for certified inputs</w:t>
            </w:r>
          </w:p>
          <w:p>
            <w:pPr>
              <w:spacing w:after="0" w:before="0"/>
            </w:pPr>
            <w:r>
              <w:rPr>
                <w:rFonts w:ascii="Arial" w:cs="Arial" w:eastAsia="Arial" w:hAnsi="Arial"/>
                <w:color w:val="7A8C84"/>
                <w:sz w:val="18"/>
                <w:szCs w:val="18"/>
              </w:rPr>
              <w:t xml:space="preserve">Ecological Code mandates supply chain carbon footprint management. Steel, aviation, chemicals need certified low-carbon inputs for ETS compliance and to export to the EU.</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  Australia</w:t>
            </w:r>
          </w:p>
          <w:p>
            <w:pPr>
              <w:spacing w:after="50" w:before="0"/>
            </w:pPr>
            <w:r>
              <w:rPr>
                <w:rFonts w:ascii="Arial" w:cs="Arial" w:eastAsia="Arial" w:hAnsi="Arial"/>
                <w:b/>
                <w:bCs/>
                <w:color w:val="2C3E35"/>
                <w:sz w:val="19"/>
                <w:szCs w:val="19"/>
              </w:rPr>
              <w:t xml:space="preserve">The supplier without the bridge</w:t>
            </w:r>
          </w:p>
          <w:p>
            <w:pPr>
              <w:spacing w:after="0" w:before="0"/>
            </w:pPr>
            <w:r>
              <w:rPr>
                <w:rFonts w:ascii="Arial" w:cs="Arial" w:eastAsia="Arial" w:hAnsi="Arial"/>
                <w:color w:val="7A8C84"/>
                <w:sz w:val="18"/>
                <w:szCs w:val="18"/>
              </w:rPr>
              <w:t xml:space="preserve">Iron ore, renewables, feedstocks, rule-of-law environment. But ACCU and ISO without GB/T mutual recognition means triple compliance costs to access CN and EU simultaneously.</w:t>
            </w:r>
          </w:p>
        </w:tc>
        <w:tc>
          <w:tcPr>
            <w:tcW w:type="dxa" w:w="80"/>
            <w:tcBorders>
              <w:top w:val="none" w:color="FFFFFF" w:sz="0"/>
              <w:left w:val="none" w:color="FFFFFF" w:sz="0"/>
              <w:bottom w:val="none" w:color="FFFFFF" w:sz="0"/>
              <w:right w:val="none" w:color="FFFFFF" w:sz="0"/>
            </w:tcBorders>
            <w:shd w:fill="FFFFFF" w:val="clear"/>
          </w:tcPr>
          <w:p>
            <w:r>
              <w:t xml:space="preserve"/>
            </w:r>
          </w:p>
        </w:tc>
        <w:tc>
          <w:tcPr>
            <w:tcW w:type="dxa" w:w="2840"/>
            <w:tcBorders>
              <w:top w:val="single" w:color="D5E5DF" w:sz="1"/>
              <w:left w:val="single" w:color="D5E5DF" w:sz="1"/>
              <w:bottom w:val="single" w:color="D5E5DF" w:sz="1"/>
              <w:right w:val="single" w:color="D5E5DF" w:sz="1"/>
            </w:tcBorders>
            <w:shd w:fill="FFFFFF" w:val="clear"/>
            <w:tcMar>
              <w:top w:type="dxa" w:w="110"/>
              <w:left w:type="dxa" w:w="120"/>
              <w:bottom w:type="dxa" w:w="110"/>
              <w:right w:type="dxa" w:w="100"/>
            </w:tcMar>
          </w:tcPr>
          <w:p>
            <w:pPr>
              <w:spacing w:after="38" w:before="0"/>
            </w:pPr>
            <w:r>
              <w:rPr>
                <w:rFonts w:ascii="Arial" w:cs="Arial" w:eastAsia="Arial" w:hAnsi="Arial"/>
                <w:b/>
                <w:bCs/>
                <w:color w:val="1D9E75"/>
                <w:sz w:val="17"/>
                <w:szCs w:val="17"/>
              </w:rPr>
              <w:t xml:space="preserve">🇪🇺  Europe</w:t>
            </w:r>
          </w:p>
          <w:p>
            <w:pPr>
              <w:spacing w:after="50" w:before="0"/>
            </w:pPr>
            <w:r>
              <w:rPr>
                <w:rFonts w:ascii="Arial" w:cs="Arial" w:eastAsia="Arial" w:hAnsi="Arial"/>
                <w:b/>
                <w:bCs/>
                <w:color w:val="2C3E35"/>
                <w:sz w:val="19"/>
                <w:szCs w:val="19"/>
              </w:rPr>
              <w:t xml:space="preserve">The CBAM price signal</w:t>
            </w:r>
          </w:p>
          <w:p>
            <w:pPr>
              <w:spacing w:after="0" w:before="0"/>
            </w:pPr>
            <w:r>
              <w:rPr>
                <w:rFonts w:ascii="Arial" w:cs="Arial" w:eastAsia="Arial" w:hAnsi="Arial"/>
                <w:color w:val="7A8C84"/>
                <w:sz w:val="18"/>
                <w:szCs w:val="18"/>
              </w:rPr>
              <w:t xml:space="preserve">Carbon border price flows back through steel supply chains — creating Chinese demand for AU green iron with the right certification. The triangle closes at AU. (Or will it be DRC/Brazil?)</w:t>
            </w:r>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05  ACETF Program Committee — Session Assignments</w:t>
      </w:r>
    </w:p>
    <w:p>
      <w:pPr>
        <w:spacing w:after="75" w:before="55"/>
      </w:pPr>
      <w:r>
        <w:rPr>
          <w:rFonts w:ascii="Arial" w:cs="Arial" w:eastAsia="Arial" w:hAnsi="Arial"/>
          <w:color w:val="4A5E55"/>
          <w:sz w:val="22"/>
          <w:szCs w:val="22"/>
        </w:rPr>
        <w:t xml:space="preserve">Session leadership mapped to committee members by expertise. Suggestions for discussion.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
        <w:gridCol w:w="1760"/>
        <w:gridCol w:w="6780"/>
      </w:tblGrid>
      <w:tr>
        <w:trPr>
          <w:tblHeader/>
        </w:trPr>
        <w:tc>
          <w:tcPr>
            <w:tcW w:type="dxa" w:w="460"/>
            <w:tcBorders>
              <w:top w:val="none" w:color="FFFFFF" w:sz="0"/>
              <w:left w:val="none" w:color="FFFFFF" w:sz="0"/>
              <w:bottom w:val="none" w:color="FFFFFF" w:sz="0"/>
              <w:right w:val="none" w:color="FFFFFF" w:sz="0"/>
            </w:tcBorders>
            <w:shd w:fill="0B5E54" w:val="clear"/>
            <w:tcMar>
              <w:top w:type="dxa" w:w="75"/>
              <w:left w:type="dxa" w:w="100"/>
              <w:bottom w:type="dxa" w:w="75"/>
              <w:right w:type="dxa" w:w="45"/>
            </w:tcMar>
          </w:tcPr>
          <w:p>
            <w:r>
              <w:rPr>
                <w:rFonts w:ascii="Arial" w:cs="Arial" w:eastAsia="Arial" w:hAnsi="Arial"/>
                <w:color w:val="FFFFFF"/>
                <w:sz w:val="18"/>
                <w:szCs w:val="18"/>
              </w:rPr>
              <w:t xml:space="preserve"/>
            </w:r>
          </w:p>
        </w:tc>
        <w:tc>
          <w:tcPr>
            <w:tcW w:type="dxa" w:w="1760"/>
            <w:tcBorders>
              <w:top w:val="none" w:color="FFFFFF" w:sz="0"/>
              <w:left w:val="none" w:color="FFFFFF" w:sz="0"/>
              <w:bottom w:val="none" w:color="FFFFFF" w:sz="0"/>
              <w:right w:val="none" w:color="FFFFFF" w:sz="0"/>
            </w:tcBorders>
            <w:shd w:fill="0B5E54" w:val="clear"/>
            <w:tcMar>
              <w:top w:type="dxa" w:w="75"/>
              <w:left w:type="dxa" w:w="100"/>
              <w:bottom w:type="dxa" w:w="75"/>
              <w:right w:type="dxa" w:w="45"/>
            </w:tcMar>
          </w:tcPr>
          <w:p>
            <w:r>
              <w:rPr>
                <w:rFonts w:ascii="Arial" w:cs="Arial" w:eastAsia="Arial" w:hAnsi="Arial"/>
                <w:b/>
                <w:bCs/>
                <w:color w:val="FFFFFF"/>
                <w:sz w:val="18"/>
                <w:szCs w:val="18"/>
              </w:rPr>
              <w:t xml:space="preserve">Member</w:t>
            </w:r>
          </w:p>
        </w:tc>
        <w:tc>
          <w:tcPr>
            <w:tcW w:type="dxa" w:w="6780"/>
            <w:tcBorders>
              <w:top w:val="none" w:color="FFFFFF" w:sz="0"/>
              <w:left w:val="none" w:color="FFFFFF" w:sz="0"/>
              <w:bottom w:val="none" w:color="FFFFFF" w:sz="0"/>
              <w:right w:val="none" w:color="FFFFFF" w:sz="0"/>
            </w:tcBorders>
            <w:shd w:fill="0B5E54" w:val="clear"/>
            <w:tcMar>
              <w:top w:type="dxa" w:w="75"/>
              <w:left w:type="dxa" w:w="100"/>
              <w:bottom w:type="dxa" w:w="75"/>
              <w:right w:type="dxa" w:w="45"/>
            </w:tcMar>
          </w:tcPr>
          <w:p>
            <w:r>
              <w:rPr>
                <w:rFonts w:ascii="Arial" w:cs="Arial" w:eastAsia="Arial" w:hAnsi="Arial"/>
                <w:b/>
                <w:bCs/>
                <w:color w:val="FFFFFF"/>
                <w:sz w:val="18"/>
                <w:szCs w:val="18"/>
              </w:rPr>
              <w:t xml:space="preserve">Institution &amp; Expertise</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[AC] Chair</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Anthony Coles</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Cetacea Circular · Co-founder ACETF · Circular economy, carbon instruments, EPC delivery, Ecological Code (SMI/SCMI), PCF standards</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[RS]</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Roc Shi 史训鹏</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UTS / ISETS President · Co-founder ACETF · Energy economics, sustainable finance, industrial decarbonisation</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[HS]</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Huw Slater</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ClientEarth (China) · Carbon markets, Chinese energy policy, ETS frameworks</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[YZ]</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Yuyu Zhang</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QUT · Disclosure, assurance, MRV frameworks</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[CW]</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Caroline Wang 王涵</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UNSW · Chinese clean-tech FDI, solar technology, investment facilitation</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[HT]</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Hao Tan</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University of Nottingham Ningbo · China energy policy, Chinese energy firms, green innovation</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[SZ]</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Shane Zhang 张亚华</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Adelaide University · SAF, aviation decarbonisation, AU–China engagement</w:t>
            </w:r>
          </w:p>
        </w:tc>
      </w:tr>
      <w:tr>
        <w:tc>
          <w:tcPr>
            <w:tcW w:type="dxa" w:w="460"/>
            <w:tcBorders>
              <w:top w:val="single" w:color="D5E5DF" w:sz="1"/>
              <w:left w:val="single" w:color="D5E5DF" w:sz="1"/>
              <w:bottom w:val="single" w:color="D5E5DF" w:sz="1"/>
              <w:right w:val="single" w:color="D5E5DF" w:sz="1"/>
            </w:tcBorders>
            <w:shd w:fill="E0F5EE" w:val="clear"/>
            <w:tcMar>
              <w:top w:type="dxa" w:w="50"/>
              <w:left w:type="dxa" w:w="100"/>
              <w:bottom w:type="dxa" w:w="50"/>
              <w:right w:type="dxa" w:w="45"/>
            </w:tcMar>
          </w:tcPr>
          <w:p>
            <w:pPr>
              <w:spacing w:after="0" w:before="0"/>
            </w:pPr>
            <w:r>
              <w:rPr>
                <w:rFonts w:ascii="Arial" w:cs="Arial" w:eastAsia="Arial" w:hAnsi="Arial"/>
                <w:b/>
                <w:bCs/>
                <w:color w:val="0B5E54"/>
                <w:sz w:val="18"/>
                <w:szCs w:val="18"/>
              </w:rPr>
              <w:t xml:space="preserve">[SD]</w:t>
            </w:r>
          </w:p>
        </w:tc>
        <w:tc>
          <w:tcPr>
            <w:tcW w:type="dxa" w:w="176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b/>
                <w:bCs/>
                <w:color w:val="2C3E35"/>
                <w:sz w:val="18"/>
                <w:szCs w:val="18"/>
              </w:rPr>
              <w:t xml:space="preserve">Steven Ducat 杜浚平</w:t>
            </w:r>
          </w:p>
        </w:tc>
        <w:tc>
          <w:tcPr>
            <w:tcW w:type="dxa" w:w="6780"/>
            <w:tcBorders>
              <w:top w:val="single" w:color="D5E5DF" w:sz="1"/>
              <w:left w:val="single" w:color="D5E5DF" w:sz="1"/>
              <w:bottom w:val="single" w:color="D5E5DF" w:sz="1"/>
              <w:right w:val="single" w:color="D5E5DF" w:sz="1"/>
            </w:tcBorders>
            <w:shd w:fill="FFFFFF" w:val="clear"/>
            <w:tcMar>
              <w:top w:type="dxa" w:w="50"/>
              <w:left w:type="dxa" w:w="100"/>
              <w:bottom w:type="dxa" w:w="50"/>
              <w:right w:type="dxa" w:w="45"/>
            </w:tcMar>
          </w:tcPr>
          <w:p>
            <w:pPr>
              <w:spacing w:after="0" w:before="0"/>
            </w:pPr>
            <w:r>
              <w:rPr>
                <w:rFonts w:ascii="Arial" w:cs="Arial" w:eastAsia="Arial" w:hAnsi="Arial"/>
                <w:color w:val="4A5E55"/>
                <w:sz w:val="18"/>
                <w:szCs w:val="18"/>
              </w:rPr>
              <w:t xml:space="preserve">SPD Energy / RECAP / CERS · EPC project delivery, smart grid, renewable energy systems</w:t>
            </w:r>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06  Day 1 — Standards, Policy &amp; the Capital Flow Problem</w:t>
      </w:r>
    </w:p>
    <w:p>
      <w:pPr>
        <w:spacing w:after="75" w:before="55"/>
      </w:pPr>
      <w:r>
        <w:rPr>
          <w:rFonts w:ascii="Arial" w:cs="Arial" w:eastAsia="Arial" w:hAnsi="Arial"/>
          <w:color w:val="4A5E55"/>
          <w:sz w:val="22"/>
          <w:szCs w:val="22"/>
        </w:rPr>
        <w:t xml:space="preserve">Theme: Chinese regulatory requirements as the new framework for the AU–China relationship.</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100"/>
        <w:gridCol w:w="3100"/>
      </w:tblGrid>
      <w:tr>
        <w:trPr>
          <w:tblHeader/>
        </w:trPr>
        <w:tc>
          <w:tcPr>
            <w:tcW w:type="dxa" w:w="800"/>
            <w:tcBorders>
              <w:top w:val="none" w:color="FFFFFF" w:sz="0"/>
              <w:left w:val="none" w:color="FFFFFF" w:sz="0"/>
              <w:bottom w:val="none" w:color="FFFFFF" w:sz="0"/>
              <w:right w:val="none" w:color="FFFFFF" w:sz="0"/>
            </w:tcBorders>
            <w:shd w:fill="0B5E54" w:val="clear"/>
            <w:tcMar>
              <w:top w:type="dxa" w:w="75"/>
              <w:left w:type="dxa" w:w="85"/>
              <w:bottom w:type="dxa" w:w="75"/>
              <w:right w:type="dxa" w:w="50"/>
            </w:tcMar>
          </w:tcPr>
          <w:p>
            <w:r>
              <w:rPr>
                <w:rFonts w:ascii="Arial" w:cs="Arial" w:eastAsia="Arial" w:hAnsi="Arial"/>
                <w:b/>
                <w:bCs/>
                <w:color w:val="FFFFFF"/>
                <w:sz w:val="17"/>
                <w:szCs w:val="17"/>
              </w:rPr>
              <w:t xml:space="preserve">Time</w:t>
            </w:r>
          </w:p>
        </w:tc>
        <w:tc>
          <w:tcPr>
            <w:tcW w:type="dxa" w:w="5100"/>
            <w:tcBorders>
              <w:top w:val="none" w:color="FFFFFF" w:sz="0"/>
              <w:left w:val="none" w:color="FFFFFF" w:sz="0"/>
              <w:bottom w:val="none" w:color="FFFFFF" w:sz="0"/>
              <w:right w:val="none" w:color="FFFFFF" w:sz="0"/>
            </w:tcBorders>
            <w:shd w:fill="0B5E54" w:val="clear"/>
            <w:tcMar>
              <w:top w:type="dxa" w:w="75"/>
              <w:left w:type="dxa" w:w="100"/>
              <w:bottom w:type="dxa" w:w="75"/>
              <w:right w:type="dxa" w:w="70"/>
            </w:tcMar>
          </w:tcPr>
          <w:p>
            <w:r>
              <w:rPr>
                <w:rFonts w:ascii="Arial" w:cs="Arial" w:eastAsia="Arial" w:hAnsi="Arial"/>
                <w:b/>
                <w:bCs/>
                <w:color w:val="FFFFFF"/>
                <w:sz w:val="17"/>
                <w:szCs w:val="17"/>
              </w:rPr>
              <w:t xml:space="preserve">Session</w:t>
            </w:r>
          </w:p>
        </w:tc>
        <w:tc>
          <w:tcPr>
            <w:tcW w:type="dxa" w:w="3100"/>
            <w:tcBorders>
              <w:top w:val="none" w:color="FFFFFF" w:sz="0"/>
              <w:left w:val="none" w:color="FFFFFF" w:sz="0"/>
              <w:bottom w:val="none" w:color="FFFFFF" w:sz="0"/>
              <w:right w:val="none" w:color="FFFFFF" w:sz="0"/>
            </w:tcBorders>
            <w:shd w:fill="0B5E54" w:val="clear"/>
            <w:tcMar>
              <w:top w:type="dxa" w:w="75"/>
              <w:left w:type="dxa" w:w="85"/>
              <w:bottom w:type="dxa" w:w="75"/>
              <w:right w:type="dxa" w:w="65"/>
            </w:tcMar>
          </w:tcPr>
          <w:p>
            <w:r>
              <w:rPr>
                <w:rFonts w:ascii="Arial" w:cs="Arial" w:eastAsia="Arial" w:hAnsi="Arial"/>
                <w:b/>
                <w:bCs/>
                <w:color w:val="FFFFFF"/>
                <w:sz w:val="17"/>
                <w:szCs w:val="17"/>
              </w:rPr>
              <w:t xml:space="preserve">ACETF Lead / Contributors</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09:00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Welcome &amp; framing: Green Channels - Why Needed Now</w:t>
            </w:r>
          </w:p>
          <w:p>
            <w:pPr>
              <w:spacing w:after="32" w:before="0"/>
            </w:pPr>
            <w:r>
              <w:rPr>
                <w:rFonts w:ascii="Arial" w:cs="Arial" w:eastAsia="Arial" w:hAnsi="Arial"/>
                <w:color w:val="4A5E55"/>
                <w:sz w:val="17"/>
                <w:szCs w:val="17"/>
              </w:rPr>
              <w:t xml:space="preserve">Green industrial demand drivers. Regulatory locks. Energy transition requires standards leadership and interoperability. The Green Channel loop as the forum's organising framework.</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[AC] · AC Koutsantonis MP, Minister for Energy &amp; Mining</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09:30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Keynote: China’s Ecological &amp; Environmental Code</w:t>
            </w:r>
          </w:p>
          <w:p>
            <w:pPr>
              <w:spacing w:after="32" w:before="0"/>
            </w:pPr>
            <w:r>
              <w:rPr>
                <w:rFonts w:ascii="Arial" w:cs="Arial" w:eastAsia="Arial" w:hAnsi="Arial"/>
                <w:color w:val="4A5E55"/>
                <w:sz w:val="17"/>
                <w:szCs w:val="17"/>
              </w:rPr>
              <w:t xml:space="preserve">What the Code requires from August 2026. Which sectors are affected. What it means for Australian exporters.</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[HS] Chair · [AC] · Wang Jinnan (CAEP) or Qin Tianbao (Wuhan U)</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10:10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Keynote: Australia’s Green Trade Strategy</w:t>
            </w:r>
          </w:p>
          <w:p>
            <w:pPr>
              <w:spacing w:after="32" w:before="0"/>
            </w:pPr>
            <w:r>
              <w:rPr>
                <w:rFonts w:ascii="Arial" w:cs="Arial" w:eastAsia="Arial" w:hAnsi="Arial"/>
                <w:color w:val="4A5E55"/>
                <w:sz w:val="17"/>
                <w:szCs w:val="17"/>
              </w:rPr>
              <w:t xml:space="preserve">Future Made in Australia; COP31; FIRB posture; green iron, hydrogen, SAF as priority sectors.</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Australian Climate &amp; Energy Minister or DCCEEW</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Morning break — 10:45</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11:00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1: Carbon Accounting Interoperability</w:t>
            </w:r>
          </w:p>
          <w:p>
            <w:pPr>
              <w:spacing w:after="32" w:before="0"/>
            </w:pPr>
            <w:r>
              <w:rPr>
                <w:rFonts w:ascii="Arial" w:cs="Arial" w:eastAsia="Arial" w:hAnsi="Arial"/>
                <w:color w:val="4A5E55"/>
                <w:sz w:val="17"/>
                <w:szCs w:val="17"/>
              </w:rPr>
              <w:t xml:space="preserve">GB/T vs ISO vs ACCU; product carbon footprints; digital passports; what mutual recognition unlocks.</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[YZ] Chair · [AC] · CNIS · Clean Energy Regulator</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11:50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2: Carbon Markets — China ETS, CBAM &amp; Cross-Border Instruments</w:t>
            </w:r>
          </w:p>
          <w:p>
            <w:pPr>
              <w:spacing w:after="32" w:before="0"/>
            </w:pPr>
            <w:r>
              <w:rPr>
                <w:rFonts w:ascii="Arial" w:cs="Arial" w:eastAsia="Arial" w:hAnsi="Arial"/>
                <w:color w:val="4A5E55"/>
                <w:sz w:val="17"/>
                <w:szCs w:val="17"/>
              </w:rPr>
              <w:t xml:space="preserve">Statutory ETS upgrade; CCER reform; what a green premium certificate must contain to be recognised in Beijing, Brussels, and Canberra.</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[HS] Chair · [RS] · China ETS registry · CBAM expert</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Lunch — ISETS poster sessions — 13:00</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14:00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3: Green Iron — SA–Shandong as a Replicable Model ★</w:t>
            </w:r>
          </w:p>
          <w:p>
            <w:pPr>
              <w:spacing w:after="32" w:before="0"/>
            </w:pPr>
            <w:r>
              <w:rPr>
                <w:rFonts w:ascii="Arial" w:cs="Arial" w:eastAsia="Arial" w:hAnsi="Arial"/>
                <w:color w:val="4A5E55"/>
                <w:sz w:val="17"/>
                <w:szCs w:val="17"/>
              </w:rPr>
              <w:t xml:space="preserve">Live deal debrief: what enabled this collaboration; FIRB/Treasury posture; green HBI certification; what makes it replicable.</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[RS] Chair · [HT] · Shandong Iron &amp; Steel · Treasury/FIRB · YG Group · AC Koutsantonis MP</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15:00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4: Energy Infrastructure — What Green Iron Actually Requires</w:t>
            </w:r>
          </w:p>
          <w:p>
            <w:pPr>
              <w:spacing w:after="32" w:before="0"/>
            </w:pPr>
            <w:r>
              <w:rPr>
                <w:rFonts w:ascii="Arial" w:cs="Arial" w:eastAsia="Arial" w:hAnsi="Arial"/>
                <w:color w:val="4A5E55"/>
                <w:sz w:val="17"/>
                <w:szCs w:val="17"/>
              </w:rPr>
              <w:t xml:space="preserve">EAF: ~550 kWh/tonne. Green H₂ DRI: ~3,025 kWh/tonne. 1 Mt/yr facility: 3+ TWh/year. Grid, storage, hydrogen, bankability.</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[RS] · [SD] · ElectraNet/AEMO SA · Superpower Institute</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Afternoon break — 15:50</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16:10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5: SA’s Renewable Grid — Operating at the Frontier</w:t>
            </w:r>
          </w:p>
          <w:p>
            <w:pPr>
              <w:spacing w:after="32" w:before="0"/>
            </w:pPr>
            <w:r>
              <w:rPr>
                <w:rFonts w:ascii="Arial" w:cs="Arial" w:eastAsia="Arial" w:hAnsi="Arial"/>
                <w:color w:val="4A5E55"/>
                <w:sz w:val="17"/>
                <w:szCs w:val="17"/>
              </w:rPr>
              <w:t xml:space="preserve">100%+ instantaneous renewable penetration. VPPs, negative demand, system security. Lessons for Chinese grid operators.</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[SD] · [HT] · ElectraNet/AEMO SA · State Grid AI Lab</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Day 1 close + networking drinks — 17:00</w:t>
            </w:r>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07  Day 2 — SAF, Sectors &amp; the Project Pipeline</w:t>
      </w:r>
    </w:p>
    <w:p>
      <w:pPr>
        <w:spacing w:after="75" w:before="55"/>
      </w:pPr>
      <w:r>
        <w:rPr>
          <w:rFonts w:ascii="Arial" w:cs="Arial" w:eastAsia="Arial" w:hAnsi="Arial"/>
          <w:color w:val="4A5E55"/>
          <w:sz w:val="22"/>
          <w:szCs w:val="22"/>
        </w:rPr>
        <w:t xml:space="preserve">Theme: Where Australia competes in the Green Channel — and what standards gaps are blocking capital.</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100"/>
        <w:gridCol w:w="3100"/>
      </w:tblGrid>
      <w:tr>
        <w:trPr>
          <w:tblHeader/>
        </w:trPr>
        <w:tc>
          <w:tcPr>
            <w:tcW w:type="dxa" w:w="800"/>
            <w:tcBorders>
              <w:top w:val="none" w:color="FFFFFF" w:sz="0"/>
              <w:left w:val="none" w:color="FFFFFF" w:sz="0"/>
              <w:bottom w:val="none" w:color="FFFFFF" w:sz="0"/>
              <w:right w:val="none" w:color="FFFFFF" w:sz="0"/>
            </w:tcBorders>
            <w:shd w:fill="0B5E54" w:val="clear"/>
            <w:tcMar>
              <w:top w:type="dxa" w:w="75"/>
              <w:left w:type="dxa" w:w="85"/>
              <w:bottom w:type="dxa" w:w="75"/>
              <w:right w:type="dxa" w:w="50"/>
            </w:tcMar>
          </w:tcPr>
          <w:p>
            <w:r>
              <w:rPr>
                <w:rFonts w:ascii="Arial" w:cs="Arial" w:eastAsia="Arial" w:hAnsi="Arial"/>
                <w:b/>
                <w:bCs/>
                <w:color w:val="FFFFFF"/>
                <w:sz w:val="17"/>
                <w:szCs w:val="17"/>
              </w:rPr>
              <w:t xml:space="preserve">Time</w:t>
            </w:r>
          </w:p>
        </w:tc>
        <w:tc>
          <w:tcPr>
            <w:tcW w:type="dxa" w:w="5100"/>
            <w:tcBorders>
              <w:top w:val="none" w:color="FFFFFF" w:sz="0"/>
              <w:left w:val="none" w:color="FFFFFF" w:sz="0"/>
              <w:bottom w:val="none" w:color="FFFFFF" w:sz="0"/>
              <w:right w:val="none" w:color="FFFFFF" w:sz="0"/>
            </w:tcBorders>
            <w:shd w:fill="0B5E54" w:val="clear"/>
            <w:tcMar>
              <w:top w:type="dxa" w:w="75"/>
              <w:left w:type="dxa" w:w="100"/>
              <w:bottom w:type="dxa" w:w="75"/>
              <w:right w:type="dxa" w:w="70"/>
            </w:tcMar>
          </w:tcPr>
          <w:p>
            <w:r>
              <w:rPr>
                <w:rFonts w:ascii="Arial" w:cs="Arial" w:eastAsia="Arial" w:hAnsi="Arial"/>
                <w:b/>
                <w:bCs/>
                <w:color w:val="FFFFFF"/>
                <w:sz w:val="17"/>
                <w:szCs w:val="17"/>
              </w:rPr>
              <w:t xml:space="preserve">Session</w:t>
            </w:r>
          </w:p>
        </w:tc>
        <w:tc>
          <w:tcPr>
            <w:tcW w:type="dxa" w:w="3100"/>
            <w:tcBorders>
              <w:top w:val="none" w:color="FFFFFF" w:sz="0"/>
              <w:left w:val="none" w:color="FFFFFF" w:sz="0"/>
              <w:bottom w:val="none" w:color="FFFFFF" w:sz="0"/>
              <w:right w:val="none" w:color="FFFFFF" w:sz="0"/>
            </w:tcBorders>
            <w:shd w:fill="0B5E54" w:val="clear"/>
            <w:tcMar>
              <w:top w:type="dxa" w:w="75"/>
              <w:left w:type="dxa" w:w="85"/>
              <w:bottom w:type="dxa" w:w="75"/>
              <w:right w:type="dxa" w:w="65"/>
            </w:tcMar>
          </w:tcPr>
          <w:p>
            <w:r>
              <w:rPr>
                <w:rFonts w:ascii="Arial" w:cs="Arial" w:eastAsia="Arial" w:hAnsi="Arial"/>
                <w:b/>
                <w:bCs/>
                <w:color w:val="FFFFFF"/>
                <w:sz w:val="17"/>
                <w:szCs w:val="17"/>
              </w:rPr>
              <w:t xml:space="preserve">ACETF Lead / Contributors</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09:00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6: SAF — AU Feedstocks, China Routes &amp; the Certification Maze ★</w:t>
            </w:r>
          </w:p>
          <w:p>
            <w:pPr>
              <w:spacing w:after="32" w:before="0"/>
            </w:pPr>
            <w:r>
              <w:rPr>
                <w:rFonts w:ascii="Arial" w:cs="Arial" w:eastAsia="Arial" w:hAnsi="Arial"/>
                <w:color w:val="4A5E55"/>
                <w:sz w:val="17"/>
                <w:szCs w:val="17"/>
              </w:rPr>
              <w:t xml:space="preserve">China–AU aviation: ~4–6M tCO₂/year, all Chinese carriers (~1,320 weekly flights). CORSIA Phase 2 mandatory from 2027 — US$200–600M+ aggregate liability. AU feedstocks (tallow (waste from beef export abattoirs), WCO, residues) could supply the full bilateral SAF requirement. The certification gap — ISCC vs Chinese scheme — is the single barrier. Adelaide is where we meet; the scale is national.</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[SZ] Chair · [AC] · China Southern/China Eastern sustainability rep · CASRI · ISCC/RSB</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09:50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7: Green Hydrogen &amp; Ammonia</w:t>
            </w:r>
          </w:p>
          <w:p>
            <w:pPr>
              <w:spacing w:after="32" w:before="0"/>
            </w:pPr>
            <w:r>
              <w:rPr>
                <w:rFonts w:ascii="Arial" w:cs="Arial" w:eastAsia="Arial" w:hAnsi="Arial"/>
                <w:color w:val="4A5E55"/>
                <w:sz w:val="17"/>
                <w:szCs w:val="17"/>
              </w:rPr>
              <w:t xml:space="preserve">Green hydrogen production economics; ammonia as the shipping form; Chinese demand trajectories; comparing EU, Japanese, and Chinese certification frameworks.</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[RS] Chair · [HT] · ARENA/CEFC · China Sinopec · State Grid · SPIC (in AU) · Chinese hydrogen industry rep</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Morning break — 10:40</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11:00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8: Critical Minerals — From Extraction to Certified Value</w:t>
            </w:r>
          </w:p>
          <w:p>
            <w:pPr>
              <w:spacing w:after="32" w:before="0"/>
            </w:pPr>
            <w:r>
              <w:rPr>
                <w:rFonts w:ascii="Arial" w:cs="Arial" w:eastAsia="Arial" w:hAnsi="Arial"/>
                <w:color w:val="4A5E55"/>
                <w:sz w:val="17"/>
                <w:szCs w:val="17"/>
              </w:rPr>
              <w:t xml:space="preserve">Australia’s reserve position; the processing gap; Chinese refining expertise; mineral provenance and traceability requirements in EU Battery Passport and Chinese GB/T frameworks.</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[CW] Chair · [AC] · Australian critical minerals company · NIMTE Ningbo</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11:50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9: Energy Security, Strategic Autonomy &amp; the Transition Imperative</w:t>
            </w:r>
          </w:p>
          <w:p>
            <w:pPr>
              <w:spacing w:after="32" w:before="0"/>
            </w:pPr>
            <w:r>
              <w:rPr>
                <w:rFonts w:ascii="Arial" w:cs="Arial" w:eastAsia="Arial" w:hAnsi="Arial"/>
                <w:color w:val="4A5E55"/>
                <w:sz w:val="17"/>
                <w:szCs w:val="17"/>
              </w:rPr>
              <w:t xml:space="preserve">The Strait of Hormuz as a live case study; clean energy as strategic autonomy; long-term certified offtake agreements as a security architecture.</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[HT] Chair · [HS] · Australian strategic policy rep · Maritime/shipping industry</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Lunch — facilitated industry roundtables: Green Iron &amp; H₂ / SAF &amp; Aviation / Critical Minerals Finance — 12:40</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13:40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10: Sustainable Finance — Making the Capital Flow</w:t>
            </w:r>
          </w:p>
          <w:p>
            <w:pPr>
              <w:spacing w:after="32" w:before="0"/>
            </w:pPr>
            <w:r>
              <w:rPr>
                <w:rFonts w:ascii="Arial" w:cs="Arial" w:eastAsia="Arial" w:hAnsi="Arial"/>
                <w:color w:val="4A5E55"/>
                <w:sz w:val="17"/>
                <w:szCs w:val="17"/>
              </w:rPr>
              <w:t xml:space="preserve">What Chinese industrial decarbonisation capital needs before it moves: certified green products, bankable standards, recognised MRV. FDI pathways; blended finance; project pipeline.</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[CW] Chair · [RS] · [AC] · [SD] · CATL/Trina Solar · Australian infrastructure investor</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14:30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11: AI, Digital Infrastructure &amp; Automated MRV</w:t>
            </w:r>
          </w:p>
          <w:p>
            <w:pPr>
              <w:spacing w:after="32" w:before="0"/>
            </w:pPr>
            <w:r>
              <w:rPr>
                <w:rFonts w:ascii="Arial" w:cs="Arial" w:eastAsia="Arial" w:hAnsi="Arial"/>
                <w:color w:val="4A5E55"/>
                <w:sz w:val="17"/>
                <w:szCs w:val="17"/>
              </w:rPr>
              <w:t xml:space="preserve">How AI and digital infrastructure reduce the cost and increase the credibility of MRV across green supply chains; digital product passports; blockchain provenance.</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[YZ] Chair · CSIRO Data61 · Chinese Academy of Sciences</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15:00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Session 12: Keeping It Simple — Making Green Standards Work in Practice</w:t>
            </w:r>
          </w:p>
          <w:p>
            <w:pPr>
              <w:spacing w:after="32" w:before="0"/>
            </w:pPr>
            <w:r>
              <w:rPr>
                <w:rFonts w:ascii="Arial" w:cs="Arial" w:eastAsia="Arial" w:hAnsi="Arial"/>
                <w:color w:val="4A5E55"/>
                <w:sz w:val="17"/>
                <w:szCs w:val="17"/>
              </w:rPr>
              <w:t xml:space="preserve">The standards stack is complex. This session is a practical guide: minimum viable certification path for AU exporters; which combinations unlock AU+CN+EU access; tools to automate compliance without prohibitive triple-certification overhead.</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[YZ] Chair · [AC] · Standards Australia practitioner · Chinese SME exporter</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Afternoon break — 15:20</w:t>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15:40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Closing plenary: "Three Green / 三绿" - commitments before 2027</w:t>
            </w:r>
          </w:p>
          <w:p>
            <w:pPr>
              <w:spacing w:after="32" w:before="0"/>
            </w:pPr>
            <w:r>
              <w:rPr>
                <w:rFonts w:ascii="Arial" w:cs="Arial" w:eastAsia="Arial" w:hAnsi="Arial"/>
                <w:color w:val="4A5E55"/>
                <w:sz w:val="17"/>
                <w:szCs w:val="17"/>
              </w:rPr>
              <w:t xml:space="preserve">Rapporteur summary; Adelaide Declaration presented; each commitment specific, named, and time-bound. Candidates: (1) green HBI mutual recognition framework, (2) SAF certification bilateral equivalence, (3) joint AU–CN carbon accounting working group.</w:t>
            </w:r>
          </w:p>
          <w:p>
            <w:pPr>
              <w:spacing w:after="22"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All committee members · Conference Chair</w:t>
            </w:r>
          </w:p>
          <w:p>
            <w:pPr>
              <w:spacing w:after="0" w:before="0"/>
            </w:pPr>
            <w:r>
              <w:rPr>
                <w:rFonts w:ascii="Arial" w:cs="Arial" w:eastAsia="Arial" w:hAnsi="Arial"/>
                <w:b/>
                <w:bCs/>
                <w:color w:val="C27B1A"/>
                <w:sz w:val="16"/>
                <w:szCs w:val="16"/>
              </w:rPr>
              <w:t xml:space="preserve">$ </w:t>
            </w:r>
            <w:r>
              <w:rPr>
                <w:rFonts w:ascii="Arial" w:cs="Arial" w:eastAsia="Arial" w:hAnsi="Arial"/>
                <w:color w:val="C27B1A"/>
                <w:sz w:val="16"/>
                <w:szCs w:val="16"/>
              </w:rPr>
              <w:t xml:space="defaul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50"/>
            </w:tcMar>
          </w:tcPr>
          <w:p>
            <w:pPr>
              <w:spacing w:after="0" w:before="0"/>
            </w:pPr>
            <w:r>
              <w:rPr>
                <w:rFonts w:ascii="Arial" w:cs="Arial" w:eastAsia="Arial" w:hAnsi="Arial"/>
                <w:b/>
                <w:bCs/>
                <w:color w:val="7A8C84"/>
                <w:sz w:val="18"/>
                <w:szCs w:val="18"/>
              </w:rPr>
              <w:t xml:space="preserve">16:30</w:t>
            </w:r>
          </w:p>
        </w:tc>
        <w:tc>
          <w:tcPr>
            <w:tcW w:type="dxa" w:w="5100"/>
            <w:tcBorders>
              <w:top w:val="single" w:color="D5E5DF" w:sz="1"/>
              <w:left w:val="single" w:color="D5E5DF" w:sz="1"/>
              <w:bottom w:val="single" w:color="D5E5DF" w:sz="1"/>
              <w:right w:val="single" w:color="D5E5DF" w:sz="1"/>
            </w:tcBorders>
            <w:shd w:fill="FFFFFF" w:val="clear"/>
            <w:tcMar>
              <w:top w:type="dxa" w:w="70"/>
              <w:left w:type="dxa" w:w="100"/>
              <w:bottom w:type="dxa" w:w="70"/>
              <w:right w:type="dxa" w:w="70"/>
            </w:tcMar>
          </w:tcPr>
          <w:p>
            <w:pPr>
              <w:spacing w:after="32" w:before="0"/>
            </w:pPr>
            <w:r>
              <w:rPr>
                <w:rFonts w:ascii="Arial" w:cs="Arial" w:eastAsia="Arial" w:hAnsi="Arial"/>
                <w:b/>
                <w:bCs/>
                <w:color w:val="2C3E35"/>
                <w:sz w:val="19"/>
                <w:szCs w:val="19"/>
              </w:rPr>
              <w:t xml:space="preserve">Adelaide Declaration on Green Trade Standards Interoperability - Signing Ceremony</w:t>
            </w:r>
          </w:p>
          <w:p>
            <w:pPr>
              <w:spacing w:after="32" w:before="0"/>
            </w:pPr>
            <w:r>
              <w:rPr>
                <w:rFonts w:ascii="Arial" w:cs="Arial" w:eastAsia="Arial" w:hAnsi="Arial"/>
                <w:color w:val="4A5E55"/>
                <w:sz w:val="17"/>
                <w:szCs w:val="17"/>
              </w:rPr>
              <w:t xml:space="preserve">Joint statement committing to specific bilateral standards alignment priorities; co-signed by participating institutions from Australia and China.</w:t>
            </w:r>
          </w:p>
          <w:p>
            <w:pPr>
              <w:spacing w:after="0" w:before="0"/>
            </w:pPr>
            <w:r>
              <w:rPr>
                <w:rFonts w:ascii="Arial" w:cs="Arial" w:eastAsia="Arial" w:hAnsi="Arial"/>
                <w:b/>
                <w:bCs/>
                <w:color w:val="0B5E54"/>
                <w:sz w:val="16"/>
                <w:szCs w:val="16"/>
              </w:rPr>
              <w:t xml:space="preserve">⧖ Standards: </w:t>
            </w:r>
            <w:r>
              <w:rPr>
                <w:rFonts w:ascii="Arial" w:cs="Arial" w:eastAsia="Arial" w:hAnsi="Arial"/>
                <w:i/>
                <w:iCs/>
                <w:color w:val="0B5E54"/>
                <w:sz w:val="16"/>
                <w:szCs w:val="16"/>
              </w:rPr>
              <w:t xml:space="preserve">Signature output · SA-Shandong Govts · Australian Govt - NFACR</w:t>
            </w:r>
          </w:p>
        </w:tc>
        <w:tc>
          <w:tcPr>
            <w:tcW w:type="dxa" w:w="3100"/>
            <w:tcBorders>
              <w:top w:val="single" w:color="D5E5DF" w:sz="1"/>
              <w:left w:val="single" w:color="D5E5DF" w:sz="1"/>
              <w:bottom w:val="single" w:color="D5E5DF" w:sz="1"/>
              <w:right w:val="single" w:color="D5E5DF" w:sz="1"/>
            </w:tcBorders>
            <w:shd w:fill="FFFFFF" w:val="clear"/>
            <w:tcMar>
              <w:top w:type="dxa" w:w="70"/>
              <w:left w:type="dxa" w:w="85"/>
              <w:bottom w:type="dxa" w:w="70"/>
              <w:right w:type="dxa" w:w="65"/>
            </w:tcMar>
          </w:tcPr>
          <w:p>
            <w:pPr>
              <w:spacing w:after="0" w:before="0"/>
            </w:pPr>
            <w:r>
              <w:rPr>
                <w:rFonts w:ascii="Arial" w:cs="Arial" w:eastAsia="Arial" w:hAnsi="Arial"/>
                <w:color w:val="4A5E55"/>
                <w:sz w:val="17"/>
                <w:szCs w:val="17"/>
              </w:rPr>
            </w:r>
          </w:p>
        </w:tc>
      </w:tr>
      <w:tr>
        <w:tc>
          <w:tcPr>
            <w:tcW w:type="dxa" w:w="800"/>
            <w:tcBorders>
              <w:top w:val="single" w:color="D5E5DF" w:sz="1"/>
              <w:left w:val="single" w:color="D5E5DF" w:sz="1"/>
              <w:bottom w:val="single" w:color="D5E5DF" w:sz="1"/>
              <w:right w:val="single" w:color="D5E5DF" w:sz="1"/>
            </w:tcBorders>
            <w:shd w:fill="F2F8F5" w:val="clear"/>
            <w:tcMar>
              <w:top w:type="dxa" w:w="50"/>
              <w:left w:type="dxa" w:w="85"/>
              <w:bottom w:type="dxa" w:w="50"/>
              <w:right w:type="dxa" w:w="50"/>
            </w:tcMar>
          </w:tcPr>
          <w:p>
            <w:r>
              <w:rPr>
                <w:rFonts w:ascii="Arial" w:cs="Arial" w:eastAsia="Arial" w:hAnsi="Arial"/>
                <w:sz w:val="17"/>
                <w:szCs w:val="17"/>
              </w:rPr>
              <w:t xml:space="preserve"/>
            </w:r>
          </w:p>
        </w:tc>
        <w:tc>
          <w:tcPr>
            <w:tcW w:type="dxa" w:w="8200"/>
            <w:tcBorders>
              <w:top w:val="single" w:color="D5E5DF" w:sz="1"/>
              <w:left w:val="single" w:color="D5E5DF" w:sz="1"/>
              <w:bottom w:val="single" w:color="D5E5DF" w:sz="1"/>
              <w:right w:val="single" w:color="D5E5DF" w:sz="1"/>
            </w:tcBorders>
            <w:shd w:fill="F2F8F5" w:val="clear"/>
            <w:tcMar>
              <w:top w:type="dxa" w:w="50"/>
              <w:left w:type="dxa" w:w="100"/>
              <w:bottom w:type="dxa" w:w="50"/>
              <w:right w:type="dxa" w:w="65"/>
            </w:tcMar>
          </w:tcPr>
          <w:p>
            <w:pPr>
              <w:spacing w:after="0" w:before="0"/>
            </w:pPr>
            <w:r>
              <w:rPr>
                <w:rFonts w:ascii="Arial" w:cs="Arial" w:eastAsia="Arial" w:hAnsi="Arial"/>
                <w:i/>
                <w:iCs/>
                <w:color w:val="7A8C84"/>
                <w:sz w:val="17"/>
                <w:szCs w:val="17"/>
              </w:rPr>
              <w:t xml:space="preserve">Close — 17:00</w:t>
            </w:r>
          </w:p>
        </w:tc>
      </w:tr>
    </w:tbl>
    <w:p>
      <w:pPr>
        <w:spacing w:after="0" w:before="180"/>
      </w:pPr>
      <w:r>
        <w:t xml:space="preserve"/>
      </w:r>
    </w:p>
    <w:p>
      <w:pPr>
        <w:pStyle w:val="Heading1"/>
        <w:spacing w:after="110" w:before="340"/>
      </w:pPr>
      <w:r>
        <w:rPr>
          <w:rFonts w:ascii="Arial" w:cs="Arial" w:eastAsia="Arial" w:hAnsi="Arial"/>
          <w:b/>
          <w:bCs/>
          <w:color w:val="0B5E54"/>
          <w:sz w:val="28"/>
          <w:szCs w:val="28"/>
        </w:rPr>
        <w:t xml:space="preserve">08  Questions for the ACETF Program Committee</w:t>
      </w:r>
    </w:p>
    <w:p>
      <w:pPr>
        <w:spacing w:after="75" w:before="55"/>
      </w:pPr>
      <w:r>
        <w:rPr>
          <w:rFonts w:ascii="Arial" w:cs="Arial" w:eastAsia="Arial" w:hAnsi="Arial"/>
          <w:color w:val="4A5E55"/>
          <w:sz w:val="22"/>
          <w:szCs w:val="22"/>
        </w:rPr>
        <w:t xml:space="preserve">Proposed for discussion at the first ACETF Program Committee meeting. Respond in advance to anthony@cetacea.global</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1</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Green Channels framing: </w:t>
            </w:r>
            <w:r>
              <w:rPr>
                <w:rFonts w:ascii="Arial" w:cs="Arial" w:eastAsia="Arial" w:hAnsi="Arial"/>
                <w:color w:val="4A5E55"/>
                <w:sz w:val="19"/>
                <w:szCs w:val="19"/>
              </w:rPr>
              <w:t xml:space="preserve">Does the committee agree that ‘reframing AU–China trade and investment within a new green development ambition’ is the right overarching theme — and that Chinese regulatory requirements should be positioned as the new relationship architecture?</w:t>
            </w:r>
          </w:p>
        </w:tc>
      </w:tr>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2</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SAF as co-equal pillar: </w:t>
            </w:r>
            <w:r>
              <w:rPr>
                <w:rFonts w:ascii="Arial" w:cs="Arial" w:eastAsia="Arial" w:hAnsi="Arial"/>
                <w:color w:val="4A5E55"/>
                <w:sz w:val="19"/>
                <w:szCs w:val="19"/>
              </w:rPr>
              <w:t xml:space="preserve">Does the committee agree that SAF should sit alongside green iron as a co-anchor — and that the full China–Australia bilateral aviation market (~1,320 weekly flights, ~4–6M tCO₂/year, US$200–600M+ annual CORSIA liability from 2027) is the right scale for the commercial case?</w:t>
            </w:r>
          </w:p>
        </w:tc>
      </w:tr>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3</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Standards as the through-line: </w:t>
            </w:r>
            <w:r>
              <w:rPr>
                <w:rFonts w:ascii="Arial" w:cs="Arial" w:eastAsia="Arial" w:hAnsi="Arial"/>
                <w:color w:val="4A5E55"/>
                <w:sz w:val="19"/>
                <w:szCs w:val="19"/>
              </w:rPr>
              <w:t xml:space="preserve">Does the committee agree that standards interoperability should be the explicit framing of every session, with $/tCO₂e liabilities and CapEx figures stated throughout?</w:t>
            </w:r>
          </w:p>
        </w:tc>
      </w:tr>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4</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AU–CN–EU triangle: </w:t>
            </w:r>
            <w:r>
              <w:rPr>
                <w:rFonts w:ascii="Arial" w:cs="Arial" w:eastAsia="Arial" w:hAnsi="Arial"/>
                <w:color w:val="4A5E55"/>
                <w:sz w:val="19"/>
                <w:szCs w:val="19"/>
              </w:rPr>
              <w:t xml:space="preserve">Should the forum explicitly address the trilateral carbon transparency architecture given that EU CBAM is the price signal creating Chinese demand for certified Australian green iron? Stop operating in silos. Work together. Net Zero Faster, Together.</w:t>
            </w:r>
          </w:p>
        </w:tc>
      </w:tr>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5</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SA–Shandong anchor: </w:t>
            </w:r>
            <w:r>
              <w:rPr>
                <w:rFonts w:ascii="Arial" w:cs="Arial" w:eastAsia="Arial" w:hAnsi="Arial"/>
                <w:color w:val="4A5E55"/>
                <w:sz w:val="19"/>
                <w:szCs w:val="19"/>
              </w:rPr>
              <w:t xml:space="preserve">Should Session 3 be structured as a live deal debrief — with Shandong Iron &amp; Steel and Treasury in the room? Should it be a live program debrief with Shandong Iron &amp; Steel and Treasury/DCCEEW in the room?</w:t>
            </w:r>
          </w:p>
        </w:tc>
      </w:tr>
      <w:tr>
        <w:tc>
          <w:tcPr>
            <w:tcW w:type="dxa" w:w="400"/>
            <w:tcBorders>
              <w:top w:val="single" w:color="D5E5DF" w:sz="1"/>
              <w:left w:val="single" w:color="D5E5DF" w:sz="1"/>
              <w:bottom w:val="single" w:color="D5E5DF" w:sz="1"/>
              <w:right w:val="single" w:color="D5E5DF" w:sz="1"/>
            </w:tcBorders>
            <w:shd w:fill="0B5E54" w:val="clear"/>
            <w:tcMar>
              <w:top w:type="dxa" w:w="80"/>
              <w:left w:type="dxa" w:w="85"/>
              <w:bottom w:type="dxa" w:w="80"/>
              <w:right w:type="dxa" w:w="65"/>
            </w:tcMar>
          </w:tcPr>
          <w:p>
            <w:pPr>
              <w:spacing w:after="0" w:before="0"/>
            </w:pPr>
            <w:r>
              <w:rPr>
                <w:rFonts w:ascii="Arial" w:cs="Arial" w:eastAsia="Arial" w:hAnsi="Arial"/>
                <w:b/>
                <w:bCs/>
                <w:color w:val="FFFFFF"/>
                <w:sz w:val="20"/>
                <w:szCs w:val="20"/>
              </w:rPr>
              <w:t xml:space="preserve">6</w:t>
            </w:r>
          </w:p>
        </w:tc>
        <w:tc>
          <w:tcPr>
            <w:tcW w:type="dxa" w:w="8600"/>
            <w:tcBorders>
              <w:top w:val="single" w:color="D5E5DF" w:sz="1"/>
              <w:left w:val="single" w:color="D5E5DF" w:sz="1"/>
              <w:bottom w:val="single" w:color="D5E5DF" w:sz="1"/>
              <w:right w:val="single" w:color="D5E5DF" w:sz="1"/>
            </w:tcBorders>
            <w:shd w:fill="FFFFFF" w:val="clear"/>
            <w:tcMar>
              <w:top w:type="dxa" w:w="80"/>
              <w:left w:type="dxa" w:w="120"/>
              <w:bottom w:type="dxa" w:w="80"/>
              <w:right w:type="dxa" w:w="85"/>
            </w:tcMar>
          </w:tcPr>
          <w:p>
            <w:pPr>
              <w:spacing w:after="0" w:before="0"/>
            </w:pPr>
            <w:r>
              <w:rPr>
                <w:rFonts w:ascii="Arial" w:cs="Arial" w:eastAsia="Arial" w:hAnsi="Arial"/>
                <w:b/>
                <w:bCs/>
                <w:color w:val="2C3E35"/>
                <w:sz w:val="19"/>
                <w:szCs w:val="19"/>
              </w:rPr>
              <w:t xml:space="preserve">Adelaide Declaration: </w:t>
            </w:r>
            <w:r>
              <w:rPr>
                <w:rFonts w:ascii="Arial" w:cs="Arial" w:eastAsia="Arial" w:hAnsi="Arial"/>
                <w:color w:val="4A5E55"/>
                <w:sz w:val="19"/>
                <w:szCs w:val="19"/>
              </w:rPr>
              <w:t xml:space="preserve">Is a signed joint statement a realistic output? Which three specific standards alignment commitments are most achievable in the 12 months following the forum? The declaration should be specific enough to be embarrassing if not acted on.</w:t>
            </w:r>
          </w:p>
        </w:tc>
      </w:tr>
    </w:tbl>
    <w:p>
      <w:pPr>
        <w:spacing w:after="0" w:before="240"/>
      </w:pPr>
      <w:r>
        <w:t xml:space="preserve"/>
      </w:r>
    </w:p>
    <w:p>
      <w:pPr>
        <w:pBdr>
          <w:top w:val="single" w:color="D5E5DF" w:sz="4" w:space="1"/>
        </w:pBdr>
        <w:spacing w:after="55" w:before="130"/>
      </w:pPr>
      <w:r>
        <w:rPr>
          <w:rFonts w:ascii="Arial" w:cs="Arial" w:eastAsia="Arial" w:hAnsi="Arial"/>
          <w:i/>
          <w:iCs/>
          <w:color w:val="7A8C84"/>
          <w:sz w:val="17"/>
          <w:szCs w:val="17"/>
        </w:rPr>
        <w:t xml:space="preserve">ACETF Program Committee - Green Channels 2026  ·  Draft April 2026  ·  Not for external circulation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40"/>
      <w:outlineLvl w:val="0"/>
    </w:pPr>
    <w:rPr>
      <w:rFonts w:ascii="Arial" w:cs="Arial" w:eastAsia="Arial" w:hAnsi="Arial"/>
      <w:b/>
      <w:bCs/>
      <w:color w:val="0B5E54"/>
      <w:sz w:val="28"/>
      <w:szCs w:val="28"/>
    </w:rPr>
  </w:style>
  <w:style w:type="paragraph" w:styleId="Heading2">
    <w:name w:val="Heading 2"/>
    <w:basedOn w:val="Normal"/>
    <w:next w:val="Normal"/>
    <w:qFormat/>
    <w:pPr>
      <w:spacing w:after="90" w:before="220"/>
      <w:outlineLvl w:val="1"/>
    </w:pPr>
    <w:rPr>
      <w:rFonts w:ascii="Arial" w:cs="Arial" w:eastAsia="Arial" w:hAnsi="Arial"/>
      <w:b/>
      <w:bCs/>
      <w:color w:val="2C3E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2026-04-09T12:54:09.582Z</dcterms:created>
  <dcterms:modified xsi:type="dcterms:W3CDTF">2026-04-09T12:54:09.584Z</dcterms:modified>
</cp:coreProperties>
</file>

<file path=docProps/custom.xml><?xml version="1.0" encoding="utf-8"?>
<Properties xmlns="http://schemas.openxmlformats.org/officeDocument/2006/custom-properties" xmlns:vt="http://schemas.openxmlformats.org/officeDocument/2006/docPropsVTypes"/>
</file>