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0D21F" w14:textId="77777777" w:rsidR="00F1399F" w:rsidRDefault="00783D7B">
      <w:pPr>
        <w:keepNext/>
        <w:keepLines/>
        <w:spacing w:before="240" w:after="0"/>
        <w:jc w:val="center"/>
        <w:outlineLvl w:val="0"/>
        <w:rPr>
          <w:rFonts w:ascii="Calibri Light" w:eastAsia="Times New Roman" w:hAnsi="Calibri Light"/>
          <w:color w:val="2F5496"/>
          <w:sz w:val="52"/>
          <w:szCs w:val="52"/>
          <w:lang w:val="en-US"/>
        </w:rPr>
      </w:pPr>
      <w:r>
        <w:rPr>
          <w:rFonts w:ascii="Calibri Light" w:eastAsia="Times New Roman" w:hAnsi="Calibri Light"/>
          <w:color w:val="2F5496"/>
          <w:sz w:val="52"/>
          <w:szCs w:val="52"/>
          <w:lang w:val="en-US"/>
        </w:rPr>
        <w:t>Safety issues</w:t>
      </w:r>
    </w:p>
    <w:p w14:paraId="1A29C5A8" w14:textId="77777777" w:rsidR="00F1399F" w:rsidRDefault="00F1399F">
      <w:pPr>
        <w:spacing w:after="0"/>
        <w:ind w:firstLine="720"/>
        <w:jc w:val="both"/>
        <w:rPr>
          <w:rFonts w:ascii="Times New Roman" w:hAnsi="Times New Roman"/>
          <w:sz w:val="20"/>
          <w:szCs w:val="20"/>
          <w:shd w:val="clear" w:color="auto" w:fill="FFFF00"/>
          <w:lang w:val="en-US"/>
        </w:rPr>
      </w:pPr>
    </w:p>
    <w:p w14:paraId="4F908211" w14:textId="77777777" w:rsidR="00F1399F" w:rsidRDefault="00F1399F">
      <w:pPr>
        <w:spacing w:after="0"/>
        <w:ind w:firstLine="720"/>
        <w:jc w:val="both"/>
        <w:rPr>
          <w:rFonts w:ascii="Times New Roman" w:hAnsi="Times New Roman"/>
          <w:sz w:val="20"/>
          <w:szCs w:val="20"/>
          <w:shd w:val="clear" w:color="auto" w:fill="FFFF00"/>
          <w:lang w:val="en-US"/>
        </w:rPr>
      </w:pPr>
    </w:p>
    <w:p w14:paraId="75DA9D50" w14:textId="77777777" w:rsidR="00F1399F" w:rsidRDefault="00F1399F">
      <w:pPr>
        <w:spacing w:after="0"/>
        <w:ind w:firstLine="720"/>
        <w:jc w:val="both"/>
        <w:rPr>
          <w:rFonts w:ascii="Times New Roman" w:hAnsi="Times New Roman"/>
          <w:sz w:val="20"/>
          <w:szCs w:val="20"/>
          <w:shd w:val="clear" w:color="auto" w:fill="FFFF00"/>
          <w:lang w:val="en-US"/>
        </w:rPr>
      </w:pPr>
    </w:p>
    <w:p w14:paraId="5ED20FC7" w14:textId="77777777" w:rsidR="00F1399F" w:rsidRDefault="00F1399F">
      <w:pPr>
        <w:spacing w:after="0"/>
        <w:ind w:firstLine="720"/>
        <w:jc w:val="both"/>
        <w:rPr>
          <w:rFonts w:ascii="Times New Roman" w:hAnsi="Times New Roman"/>
          <w:sz w:val="20"/>
          <w:szCs w:val="20"/>
          <w:shd w:val="clear" w:color="auto" w:fill="FFFF00"/>
          <w:lang w:val="en-US"/>
        </w:rPr>
      </w:pPr>
    </w:p>
    <w:p w14:paraId="3BB4401A" w14:textId="77777777" w:rsidR="00F1399F" w:rsidRDefault="00783D7B">
      <w:pPr>
        <w:spacing w:after="0"/>
        <w:ind w:firstLine="720"/>
        <w:jc w:val="both"/>
        <w:rPr>
          <w:rFonts w:ascii="Times New Roman" w:hAnsi="Times New Roman"/>
          <w:sz w:val="20"/>
          <w:szCs w:val="20"/>
          <w:lang w:val="en-US"/>
        </w:rPr>
      </w:pPr>
      <w:r>
        <w:rPr>
          <w:rFonts w:ascii="Times New Roman" w:hAnsi="Times New Roman"/>
          <w:sz w:val="20"/>
          <w:szCs w:val="20"/>
          <w:lang w:val="en-US"/>
        </w:rPr>
        <w:t>We had argued in Cezanne-ai paper on five directions linked with the impact of the AGI component in our open-framework:</w:t>
      </w:r>
    </w:p>
    <w:p w14:paraId="0D0BF420" w14:textId="77777777" w:rsidR="00F1399F" w:rsidRDefault="00783D7B">
      <w:pPr>
        <w:pStyle w:val="Listparagraf"/>
        <w:numPr>
          <w:ilvl w:val="0"/>
          <w:numId w:val="1"/>
        </w:numPr>
        <w:spacing w:after="0"/>
        <w:jc w:val="both"/>
        <w:rPr>
          <w:rFonts w:ascii="Times New Roman" w:hAnsi="Times New Roman"/>
          <w:sz w:val="20"/>
          <w:szCs w:val="20"/>
          <w:lang w:val="en-US"/>
        </w:rPr>
      </w:pPr>
      <w:r>
        <w:rPr>
          <w:rFonts w:ascii="Times New Roman" w:hAnsi="Times New Roman"/>
          <w:sz w:val="20"/>
          <w:szCs w:val="20"/>
          <w:lang w:val="en-US"/>
        </w:rPr>
        <w:t>We used soft AGI solutions with limited impact.</w:t>
      </w:r>
    </w:p>
    <w:p w14:paraId="1EA11877" w14:textId="77777777" w:rsidR="00F1399F" w:rsidRDefault="00783D7B">
      <w:pPr>
        <w:pStyle w:val="Listparagraf"/>
        <w:numPr>
          <w:ilvl w:val="0"/>
          <w:numId w:val="1"/>
        </w:numPr>
        <w:spacing w:after="0"/>
        <w:jc w:val="both"/>
        <w:rPr>
          <w:rFonts w:ascii="Times New Roman" w:hAnsi="Times New Roman"/>
          <w:sz w:val="20"/>
          <w:szCs w:val="20"/>
          <w:lang w:val="en-US"/>
        </w:rPr>
      </w:pPr>
      <w:r>
        <w:rPr>
          <w:rFonts w:ascii="Times New Roman" w:hAnsi="Times New Roman"/>
          <w:sz w:val="20"/>
          <w:szCs w:val="20"/>
          <w:lang w:val="en-US"/>
        </w:rPr>
        <w:t xml:space="preserve">A conversation without 2 parties involved is not a </w:t>
      </w:r>
      <w:r>
        <w:rPr>
          <w:rFonts w:ascii="Times New Roman" w:hAnsi="Times New Roman"/>
          <w:sz w:val="20"/>
          <w:szCs w:val="20"/>
          <w:lang w:val="en-US"/>
        </w:rPr>
        <w:t>conversation, and thus the AGI component is mandatory in Conversational AI.</w:t>
      </w:r>
    </w:p>
    <w:p w14:paraId="2534407C" w14:textId="77777777" w:rsidR="00F1399F" w:rsidRDefault="00783D7B">
      <w:pPr>
        <w:pStyle w:val="Listparagraf"/>
        <w:numPr>
          <w:ilvl w:val="0"/>
          <w:numId w:val="1"/>
        </w:numPr>
        <w:spacing w:after="0"/>
        <w:jc w:val="both"/>
        <w:rPr>
          <w:rFonts w:ascii="Times New Roman" w:hAnsi="Times New Roman"/>
          <w:sz w:val="20"/>
          <w:szCs w:val="20"/>
          <w:lang w:val="en-US"/>
        </w:rPr>
      </w:pPr>
      <w:r>
        <w:rPr>
          <w:rFonts w:ascii="Times New Roman" w:hAnsi="Times New Roman"/>
          <w:sz w:val="20"/>
          <w:szCs w:val="20"/>
          <w:lang w:val="en-US"/>
        </w:rPr>
        <w:t>The existing models are riskier than our framework as they cannot control the biases from the datasets used by pre-trained models or the extraction/generation of the output from th</w:t>
      </w:r>
      <w:r>
        <w:rPr>
          <w:rFonts w:ascii="Times New Roman" w:hAnsi="Times New Roman"/>
          <w:sz w:val="20"/>
          <w:szCs w:val="20"/>
          <w:lang w:val="en-US"/>
        </w:rPr>
        <w:t>e web/3rd party’s data environment.</w:t>
      </w:r>
    </w:p>
    <w:p w14:paraId="609A91D0" w14:textId="77777777" w:rsidR="00F1399F" w:rsidRDefault="00783D7B">
      <w:pPr>
        <w:pStyle w:val="Listparagraf"/>
        <w:numPr>
          <w:ilvl w:val="0"/>
          <w:numId w:val="1"/>
        </w:numPr>
        <w:spacing w:after="0"/>
        <w:jc w:val="both"/>
        <w:rPr>
          <w:rFonts w:ascii="Times New Roman" w:hAnsi="Times New Roman"/>
          <w:sz w:val="20"/>
          <w:szCs w:val="20"/>
          <w:lang w:val="en-US"/>
        </w:rPr>
      </w:pPr>
      <w:r>
        <w:rPr>
          <w:rFonts w:ascii="Times New Roman" w:hAnsi="Times New Roman"/>
          <w:sz w:val="20"/>
          <w:szCs w:val="20"/>
          <w:lang w:val="en-US"/>
        </w:rPr>
        <w:t>AGI is not used on core-inputs.</w:t>
      </w:r>
    </w:p>
    <w:p w14:paraId="24D8BE51" w14:textId="77777777" w:rsidR="00F1399F" w:rsidRDefault="00783D7B">
      <w:pPr>
        <w:pStyle w:val="Listparagraf"/>
        <w:numPr>
          <w:ilvl w:val="0"/>
          <w:numId w:val="1"/>
        </w:numPr>
        <w:spacing w:after="0"/>
        <w:jc w:val="both"/>
        <w:rPr>
          <w:rFonts w:ascii="Times New Roman" w:hAnsi="Times New Roman"/>
          <w:sz w:val="20"/>
          <w:szCs w:val="20"/>
          <w:lang w:val="en-US"/>
        </w:rPr>
      </w:pPr>
      <w:r>
        <w:rPr>
          <w:rFonts w:ascii="Times New Roman" w:hAnsi="Times New Roman"/>
          <w:sz w:val="20"/>
          <w:szCs w:val="20"/>
          <w:lang w:val="en-US"/>
        </w:rPr>
        <w:t>We are using AGI for intuition over the states and policies related to the conversational flow and not as an instrument for answers generation.</w:t>
      </w:r>
    </w:p>
    <w:p w14:paraId="2A09F687" w14:textId="77777777" w:rsidR="00F1399F" w:rsidRDefault="00F1399F">
      <w:pPr>
        <w:pStyle w:val="Listparagraf"/>
        <w:spacing w:after="0"/>
        <w:ind w:left="1440"/>
        <w:jc w:val="both"/>
        <w:rPr>
          <w:rFonts w:ascii="Times New Roman" w:hAnsi="Times New Roman"/>
          <w:sz w:val="20"/>
          <w:szCs w:val="20"/>
          <w:lang w:val="en-US"/>
        </w:rPr>
      </w:pPr>
    </w:p>
    <w:p w14:paraId="5B436F5C" w14:textId="77777777" w:rsidR="00F1399F" w:rsidRDefault="00783D7B">
      <w:pPr>
        <w:spacing w:after="0"/>
        <w:ind w:firstLine="720"/>
        <w:jc w:val="both"/>
        <w:rPr>
          <w:rFonts w:ascii="Times New Roman" w:hAnsi="Times New Roman"/>
          <w:sz w:val="20"/>
          <w:szCs w:val="20"/>
          <w:lang w:val="en-US"/>
        </w:rPr>
      </w:pPr>
      <w:r>
        <w:rPr>
          <w:rFonts w:ascii="Times New Roman" w:hAnsi="Times New Roman"/>
          <w:sz w:val="20"/>
          <w:szCs w:val="20"/>
          <w:lang w:val="en-US"/>
        </w:rPr>
        <w:t xml:space="preserve">Even so, we find it is our </w:t>
      </w:r>
      <w:r>
        <w:rPr>
          <w:rFonts w:ascii="Times New Roman" w:hAnsi="Times New Roman"/>
          <w:sz w:val="20"/>
          <w:szCs w:val="20"/>
          <w:lang w:val="en-US"/>
        </w:rPr>
        <w:t xml:space="preserve">responsibility to put in place safety issues procedures related to the implication that an AGI model could have on the users. </w:t>
      </w:r>
    </w:p>
    <w:p w14:paraId="4513FFDA" w14:textId="77777777" w:rsidR="00F1399F" w:rsidRDefault="00F1399F">
      <w:pPr>
        <w:spacing w:after="0"/>
        <w:ind w:firstLine="720"/>
        <w:jc w:val="both"/>
        <w:rPr>
          <w:rFonts w:ascii="Times New Roman" w:hAnsi="Times New Roman"/>
          <w:sz w:val="20"/>
          <w:szCs w:val="20"/>
          <w:lang w:val="en-US"/>
        </w:rPr>
      </w:pPr>
    </w:p>
    <w:p w14:paraId="2B4B2976" w14:textId="77777777" w:rsidR="00F1399F" w:rsidRDefault="00783D7B">
      <w:pPr>
        <w:spacing w:after="0"/>
        <w:ind w:firstLine="720"/>
        <w:jc w:val="both"/>
        <w:rPr>
          <w:rFonts w:ascii="Times New Roman" w:hAnsi="Times New Roman"/>
          <w:b/>
          <w:bCs/>
          <w:color w:val="FF0000"/>
          <w:sz w:val="20"/>
          <w:szCs w:val="20"/>
          <w:lang w:val="en-US"/>
        </w:rPr>
      </w:pPr>
      <w:r>
        <w:rPr>
          <w:rFonts w:ascii="Times New Roman" w:hAnsi="Times New Roman"/>
          <w:b/>
          <w:bCs/>
          <w:color w:val="FF0000"/>
          <w:sz w:val="20"/>
          <w:szCs w:val="20"/>
          <w:lang w:val="en-US"/>
        </w:rPr>
        <w:t>For that reason, everyone that is using Cezanne-ai open-framework to build conversational AI bots must commit in the beta-testin</w:t>
      </w:r>
      <w:r>
        <w:rPr>
          <w:rFonts w:ascii="Times New Roman" w:hAnsi="Times New Roman"/>
          <w:b/>
          <w:bCs/>
          <w:color w:val="FF0000"/>
          <w:sz w:val="20"/>
          <w:szCs w:val="20"/>
          <w:lang w:val="en-US"/>
        </w:rPr>
        <w:t xml:space="preserve">g and in roll-out to determine possible reactions of the users that could have negative repercussions on different levels (phycological, social…). </w:t>
      </w:r>
    </w:p>
    <w:p w14:paraId="7D82507B" w14:textId="77777777" w:rsidR="00F1399F" w:rsidRDefault="00F1399F">
      <w:pPr>
        <w:rPr>
          <w:lang w:val="en-US"/>
        </w:rPr>
      </w:pPr>
    </w:p>
    <w:p w14:paraId="0B567CDE" w14:textId="77777777" w:rsidR="00F1399F" w:rsidRDefault="00783D7B">
      <w:pPr>
        <w:spacing w:after="0"/>
        <w:ind w:firstLine="720"/>
        <w:jc w:val="both"/>
        <w:rPr>
          <w:rFonts w:ascii="Times New Roman" w:hAnsi="Times New Roman"/>
          <w:i/>
          <w:iCs/>
          <w:sz w:val="20"/>
          <w:szCs w:val="20"/>
          <w:u w:val="single"/>
          <w:lang w:val="en-US"/>
        </w:rPr>
      </w:pPr>
      <w:r>
        <w:rPr>
          <w:rFonts w:ascii="Times New Roman" w:hAnsi="Times New Roman"/>
          <w:i/>
          <w:iCs/>
          <w:sz w:val="20"/>
          <w:szCs w:val="20"/>
          <w:u w:val="single"/>
          <w:lang w:val="en-US"/>
        </w:rPr>
        <w:t>Conversational AGI component in the Cezanne-ai project:</w:t>
      </w:r>
    </w:p>
    <w:p w14:paraId="1000FFA2" w14:textId="77777777" w:rsidR="00F1399F" w:rsidRDefault="00F1399F">
      <w:pPr>
        <w:spacing w:after="0"/>
        <w:ind w:firstLine="720"/>
        <w:jc w:val="both"/>
        <w:rPr>
          <w:rFonts w:ascii="Times New Roman" w:hAnsi="Times New Roman"/>
          <w:i/>
          <w:iCs/>
          <w:sz w:val="20"/>
          <w:szCs w:val="20"/>
          <w:u w:val="single"/>
          <w:lang w:val="en-US"/>
        </w:rPr>
      </w:pPr>
    </w:p>
    <w:p w14:paraId="115B990F" w14:textId="77777777" w:rsidR="00F1399F" w:rsidRDefault="00783D7B">
      <w:pPr>
        <w:spacing w:after="0"/>
        <w:ind w:firstLine="720"/>
        <w:jc w:val="both"/>
        <w:rPr>
          <w:rFonts w:ascii="Times New Roman" w:hAnsi="Times New Roman"/>
          <w:sz w:val="20"/>
          <w:szCs w:val="20"/>
          <w:lang w:val="en-US"/>
        </w:rPr>
      </w:pPr>
      <w:r>
        <w:rPr>
          <w:rFonts w:ascii="Times New Roman" w:hAnsi="Times New Roman"/>
          <w:sz w:val="20"/>
          <w:szCs w:val="20"/>
          <w:lang w:val="en-US"/>
        </w:rPr>
        <w:t xml:space="preserve">A quick classification of AGI original </w:t>
      </w:r>
      <w:r>
        <w:rPr>
          <w:rFonts w:ascii="Times New Roman" w:hAnsi="Times New Roman"/>
          <w:sz w:val="20"/>
          <w:szCs w:val="20"/>
          <w:lang w:val="en-US"/>
        </w:rPr>
        <w:t>concepts integrated in our framework:</w:t>
      </w:r>
    </w:p>
    <w:p w14:paraId="020B9890" w14:textId="77777777" w:rsidR="00F1399F" w:rsidRDefault="00783D7B">
      <w:pPr>
        <w:pStyle w:val="Listparagraf"/>
        <w:numPr>
          <w:ilvl w:val="0"/>
          <w:numId w:val="2"/>
        </w:numPr>
        <w:spacing w:after="0"/>
        <w:ind w:left="426"/>
        <w:jc w:val="both"/>
        <w:rPr>
          <w:rFonts w:ascii="Times New Roman" w:hAnsi="Times New Roman"/>
          <w:sz w:val="20"/>
          <w:szCs w:val="20"/>
          <w:lang w:val="en-US"/>
        </w:rPr>
      </w:pPr>
      <w:r>
        <w:rPr>
          <w:rFonts w:ascii="Times New Roman" w:hAnsi="Times New Roman"/>
          <w:sz w:val="20"/>
          <w:szCs w:val="20"/>
          <w:lang w:val="en-US"/>
        </w:rPr>
        <w:t>provide intuition in some NLU instances to make sure the bot understands what the user is saying.</w:t>
      </w:r>
    </w:p>
    <w:p w14:paraId="11E88410" w14:textId="77777777" w:rsidR="00F1399F" w:rsidRDefault="00783D7B">
      <w:pPr>
        <w:pStyle w:val="Listparagraf"/>
        <w:numPr>
          <w:ilvl w:val="0"/>
          <w:numId w:val="2"/>
        </w:numPr>
        <w:spacing w:after="0"/>
        <w:ind w:left="426"/>
        <w:jc w:val="both"/>
      </w:pPr>
      <w:r>
        <w:rPr>
          <w:rFonts w:ascii="Times New Roman" w:hAnsi="Times New Roman"/>
          <w:sz w:val="20"/>
          <w:szCs w:val="20"/>
          <w:lang w:val="en-US"/>
        </w:rPr>
        <w:t>machine education</w:t>
      </w:r>
      <w:r>
        <w:rPr>
          <w:rStyle w:val="Referinnotdesubsol"/>
          <w:rFonts w:ascii="Times New Roman" w:hAnsi="Times New Roman"/>
          <w:sz w:val="20"/>
          <w:szCs w:val="20"/>
          <w:lang w:val="en-US"/>
        </w:rPr>
        <w:footnoteReference w:id="1"/>
      </w:r>
      <w:r>
        <w:rPr>
          <w:rFonts w:ascii="Times New Roman" w:hAnsi="Times New Roman"/>
          <w:sz w:val="20"/>
          <w:szCs w:val="20"/>
          <w:lang w:val="en-US"/>
        </w:rPr>
        <w:t xml:space="preserve"> - give conversati</w:t>
      </w:r>
      <w:r>
        <w:rPr>
          <w:rFonts w:ascii="Times New Roman" w:hAnsi="Times New Roman"/>
          <w:sz w:val="20"/>
          <w:szCs w:val="20"/>
          <w:lang w:val="en-US"/>
        </w:rPr>
        <w:t>onal bot a similar education with humans by using AI algorithms.</w:t>
      </w:r>
    </w:p>
    <w:p w14:paraId="201F12B0" w14:textId="77777777" w:rsidR="00F1399F" w:rsidRDefault="00783D7B">
      <w:pPr>
        <w:pStyle w:val="Listparagraf"/>
        <w:numPr>
          <w:ilvl w:val="0"/>
          <w:numId w:val="2"/>
        </w:numPr>
        <w:spacing w:after="0"/>
        <w:ind w:left="426"/>
        <w:jc w:val="both"/>
        <w:rPr>
          <w:rFonts w:ascii="Times New Roman" w:hAnsi="Times New Roman"/>
          <w:sz w:val="20"/>
          <w:szCs w:val="20"/>
          <w:lang w:val="en-US"/>
        </w:rPr>
      </w:pPr>
      <w:r>
        <w:rPr>
          <w:rFonts w:ascii="Times New Roman" w:hAnsi="Times New Roman"/>
          <w:sz w:val="20"/>
          <w:szCs w:val="20"/>
          <w:lang w:val="en-US"/>
        </w:rPr>
        <w:t>self-generating policies for non-core-inputs/states.</w:t>
      </w:r>
    </w:p>
    <w:p w14:paraId="631CAF3F" w14:textId="77777777" w:rsidR="00F1399F" w:rsidRDefault="00783D7B">
      <w:pPr>
        <w:pStyle w:val="Listparagraf"/>
        <w:numPr>
          <w:ilvl w:val="0"/>
          <w:numId w:val="2"/>
        </w:numPr>
        <w:spacing w:after="0"/>
        <w:ind w:left="426"/>
        <w:jc w:val="both"/>
        <w:rPr>
          <w:rFonts w:ascii="Times New Roman" w:hAnsi="Times New Roman"/>
          <w:sz w:val="20"/>
          <w:szCs w:val="20"/>
          <w:lang w:val="en-US"/>
        </w:rPr>
      </w:pPr>
      <w:r>
        <w:rPr>
          <w:rFonts w:ascii="Times New Roman" w:hAnsi="Times New Roman"/>
          <w:sz w:val="20"/>
          <w:szCs w:val="20"/>
          <w:lang w:val="en-US"/>
        </w:rPr>
        <w:t>self-generation model for behavioral/mood instances that do not affect the answers/output.</w:t>
      </w:r>
    </w:p>
    <w:p w14:paraId="5E7BDE66" w14:textId="77777777" w:rsidR="00F1399F" w:rsidRDefault="00783D7B">
      <w:pPr>
        <w:pStyle w:val="Listparagraf"/>
        <w:numPr>
          <w:ilvl w:val="0"/>
          <w:numId w:val="2"/>
        </w:numPr>
        <w:spacing w:after="0"/>
        <w:ind w:left="426"/>
        <w:jc w:val="both"/>
        <w:rPr>
          <w:rFonts w:ascii="Times New Roman" w:hAnsi="Times New Roman"/>
          <w:sz w:val="20"/>
          <w:szCs w:val="20"/>
          <w:lang w:val="en-US"/>
        </w:rPr>
      </w:pPr>
      <w:r>
        <w:rPr>
          <w:rFonts w:ascii="Times New Roman" w:hAnsi="Times New Roman"/>
          <w:sz w:val="20"/>
          <w:szCs w:val="20"/>
          <w:lang w:val="en-US"/>
        </w:rPr>
        <w:t>use a labyrinth model based on fundamentals use</w:t>
      </w:r>
      <w:r>
        <w:rPr>
          <w:rFonts w:ascii="Times New Roman" w:hAnsi="Times New Roman"/>
          <w:sz w:val="20"/>
          <w:szCs w:val="20"/>
          <w:lang w:val="en-US"/>
        </w:rPr>
        <w:t>d to structure a book, for query purposes.</w:t>
      </w:r>
    </w:p>
    <w:p w14:paraId="510FD914" w14:textId="77777777" w:rsidR="00F1399F" w:rsidRDefault="00783D7B">
      <w:pPr>
        <w:pStyle w:val="Listparagraf"/>
        <w:numPr>
          <w:ilvl w:val="0"/>
          <w:numId w:val="2"/>
        </w:numPr>
        <w:spacing w:after="0"/>
        <w:ind w:left="426"/>
        <w:jc w:val="both"/>
      </w:pPr>
      <w:r>
        <w:rPr>
          <w:rFonts w:ascii="Times New Roman" w:hAnsi="Times New Roman"/>
          <w:sz w:val="20"/>
          <w:szCs w:val="20"/>
          <w:lang w:val="en-US"/>
        </w:rPr>
        <w:t>enhance NLG on the non-verbal/non-written components to be more adapted to human conversations</w:t>
      </w:r>
      <w:r>
        <w:rPr>
          <w:rStyle w:val="Referinnotdesubsol"/>
          <w:rFonts w:ascii="Times New Roman" w:hAnsi="Times New Roman"/>
          <w:sz w:val="20"/>
          <w:szCs w:val="20"/>
          <w:lang w:val="en-US"/>
        </w:rPr>
        <w:footnoteReference w:id="2"/>
      </w:r>
      <w:r>
        <w:rPr>
          <w:rFonts w:ascii="Times New Roman" w:hAnsi="Times New Roman"/>
          <w:sz w:val="20"/>
          <w:szCs w:val="20"/>
          <w:lang w:val="en-US"/>
        </w:rPr>
        <w:t>.</w:t>
      </w:r>
    </w:p>
    <w:p w14:paraId="6807AEED" w14:textId="77777777" w:rsidR="00F1399F" w:rsidRDefault="00F1399F">
      <w:pPr>
        <w:rPr>
          <w:lang w:val="en-US"/>
        </w:rPr>
      </w:pPr>
    </w:p>
    <w:p w14:paraId="09CEB210" w14:textId="77777777" w:rsidR="00F1399F" w:rsidRDefault="00783D7B">
      <w:pPr>
        <w:spacing w:after="0"/>
        <w:ind w:firstLine="720"/>
        <w:jc w:val="both"/>
      </w:pPr>
      <w:bookmarkStart w:id="0" w:name="_Toc75794421"/>
      <w:r>
        <w:rPr>
          <w:rFonts w:ascii="Times New Roman" w:hAnsi="Times New Roman"/>
          <w:i/>
          <w:iCs/>
          <w:sz w:val="20"/>
          <w:szCs w:val="20"/>
          <w:u w:val="single"/>
          <w:lang w:val="en-US"/>
        </w:rPr>
        <w:t>Fundamentals on AGI</w:t>
      </w:r>
      <w:r>
        <w:rPr>
          <w:rStyle w:val="Referinnotdesubsol"/>
          <w:rFonts w:ascii="Times New Roman" w:hAnsi="Times New Roman"/>
          <w:i/>
          <w:iCs/>
          <w:sz w:val="20"/>
          <w:szCs w:val="20"/>
          <w:u w:val="single"/>
          <w:lang w:val="en-US"/>
        </w:rPr>
        <w:footnoteReference w:id="3"/>
      </w:r>
      <w:bookmarkEnd w:id="0"/>
    </w:p>
    <w:p w14:paraId="5991BBDE" w14:textId="77777777" w:rsidR="00F1399F" w:rsidRDefault="00F1399F">
      <w:pPr>
        <w:spacing w:after="0"/>
        <w:ind w:firstLine="720"/>
        <w:jc w:val="both"/>
        <w:rPr>
          <w:rFonts w:ascii="Calibri Light" w:eastAsia="Times New Roman" w:hAnsi="Calibri Light"/>
          <w:color w:val="1F3763"/>
          <w:sz w:val="24"/>
          <w:szCs w:val="24"/>
          <w:lang w:val="en-US"/>
        </w:rPr>
      </w:pPr>
    </w:p>
    <w:p w14:paraId="46E12C5C" w14:textId="77777777" w:rsidR="00F1399F" w:rsidRDefault="00783D7B">
      <w:pPr>
        <w:spacing w:after="0"/>
        <w:ind w:firstLine="720"/>
        <w:jc w:val="both"/>
        <w:rPr>
          <w:rFonts w:ascii="Times New Roman" w:hAnsi="Times New Roman"/>
          <w:sz w:val="20"/>
          <w:szCs w:val="20"/>
          <w:lang w:val="en-US"/>
        </w:rPr>
      </w:pPr>
      <w:r>
        <w:rPr>
          <w:rFonts w:ascii="Times New Roman" w:hAnsi="Times New Roman"/>
          <w:sz w:val="20"/>
          <w:szCs w:val="20"/>
          <w:lang w:val="en-US"/>
        </w:rPr>
        <w:t>We have two main and different views on AGI. There are people that don’t think</w:t>
      </w:r>
      <w:r>
        <w:rPr>
          <w:rFonts w:ascii="Times New Roman" w:hAnsi="Times New Roman"/>
          <w:sz w:val="20"/>
          <w:szCs w:val="20"/>
          <w:lang w:val="en-US"/>
        </w:rPr>
        <w:t xml:space="preserve"> in the possibility of an Artificial General Intelligence or an Artificial Narrow Intelligence and other people that are concerned that we don’t have enough safety measures in place to tackle the negative impact of AGI, if implemented. </w:t>
      </w:r>
      <w:proofErr w:type="gramStart"/>
      <w:r>
        <w:rPr>
          <w:rFonts w:ascii="Times New Roman" w:hAnsi="Times New Roman"/>
          <w:sz w:val="20"/>
          <w:szCs w:val="20"/>
          <w:lang w:val="en-US"/>
        </w:rPr>
        <w:t>Both of these</w:t>
      </w:r>
      <w:proofErr w:type="gramEnd"/>
      <w:r>
        <w:rPr>
          <w:rFonts w:ascii="Times New Roman" w:hAnsi="Times New Roman"/>
          <w:sz w:val="20"/>
          <w:szCs w:val="20"/>
          <w:lang w:val="en-US"/>
        </w:rPr>
        <w:t xml:space="preserve"> views </w:t>
      </w:r>
      <w:r>
        <w:rPr>
          <w:rFonts w:ascii="Times New Roman" w:hAnsi="Times New Roman"/>
          <w:sz w:val="20"/>
          <w:szCs w:val="20"/>
          <w:lang w:val="en-US"/>
        </w:rPr>
        <w:t>have a negative impact on developing at least a human-level AGI that are also known as weak AI or soft AGI.</w:t>
      </w:r>
    </w:p>
    <w:p w14:paraId="476F90CD" w14:textId="77777777" w:rsidR="00F1399F" w:rsidRDefault="00783D7B">
      <w:pPr>
        <w:spacing w:after="0"/>
        <w:ind w:firstLine="720"/>
        <w:jc w:val="both"/>
        <w:rPr>
          <w:rFonts w:ascii="Times New Roman" w:hAnsi="Times New Roman"/>
          <w:sz w:val="20"/>
          <w:szCs w:val="20"/>
          <w:lang w:val="en-US"/>
        </w:rPr>
      </w:pPr>
      <w:r>
        <w:rPr>
          <w:rFonts w:ascii="Times New Roman" w:hAnsi="Times New Roman"/>
          <w:sz w:val="20"/>
          <w:szCs w:val="20"/>
          <w:lang w:val="en-US"/>
        </w:rPr>
        <w:t xml:space="preserve">In some AI branches we understand the risk associated with AGI implementation, but fundamentally, we cannot have a conversational AI bot </w:t>
      </w:r>
      <w:r>
        <w:rPr>
          <w:rFonts w:ascii="Times New Roman" w:hAnsi="Times New Roman"/>
          <w:sz w:val="20"/>
          <w:szCs w:val="20"/>
          <w:lang w:val="en-US"/>
        </w:rPr>
        <w:t xml:space="preserve">without Human-level AI/AGI. Why? Conversation presumes the existence of two </w:t>
      </w:r>
      <w:r>
        <w:rPr>
          <w:rFonts w:ascii="Times New Roman" w:hAnsi="Times New Roman"/>
          <w:sz w:val="20"/>
          <w:szCs w:val="20"/>
          <w:lang w:val="en-US"/>
        </w:rPr>
        <w:lastRenderedPageBreak/>
        <w:t>agents. If you have on one side a human and on the other side an alien, the probability for the conversation to be incomprehensible is very high, especially in a society where info</w:t>
      </w:r>
      <w:r>
        <w:rPr>
          <w:rFonts w:ascii="Times New Roman" w:hAnsi="Times New Roman"/>
          <w:sz w:val="20"/>
          <w:szCs w:val="20"/>
          <w:lang w:val="en-US"/>
        </w:rPr>
        <w:t>rmal communication and empathy prevails. Now, using neural networks can be seen as an AGI concept if you have the objective to simulate human thinking, but the intuitions behind this model, that is math based, is not quite an AGI material. This is the reas</w:t>
      </w:r>
      <w:r>
        <w:rPr>
          <w:rFonts w:ascii="Times New Roman" w:hAnsi="Times New Roman"/>
          <w:sz w:val="20"/>
          <w:szCs w:val="20"/>
          <w:lang w:val="en-US"/>
        </w:rPr>
        <w:t xml:space="preserve">on why we don’t see an interesting dynamic in NLP/DL as we see in other AI domains and therefore it is mandatory to have a hybrid model for the conversational bot. It is, however, a big question which type of AGI is proper to use inside the Human-level AI </w:t>
      </w:r>
      <w:r>
        <w:rPr>
          <w:rFonts w:ascii="Times New Roman" w:hAnsi="Times New Roman"/>
          <w:sz w:val="20"/>
          <w:szCs w:val="20"/>
          <w:lang w:val="en-US"/>
        </w:rPr>
        <w:t xml:space="preserve">that anyway </w:t>
      </w:r>
      <w:proofErr w:type="gramStart"/>
      <w:r>
        <w:rPr>
          <w:rFonts w:ascii="Times New Roman" w:hAnsi="Times New Roman"/>
          <w:sz w:val="20"/>
          <w:szCs w:val="20"/>
          <w:lang w:val="en-US"/>
        </w:rPr>
        <w:t>is considered to be</w:t>
      </w:r>
      <w:proofErr w:type="gramEnd"/>
      <w:r>
        <w:rPr>
          <w:rFonts w:ascii="Times New Roman" w:hAnsi="Times New Roman"/>
          <w:sz w:val="20"/>
          <w:szCs w:val="20"/>
          <w:lang w:val="en-US"/>
        </w:rPr>
        <w:t xml:space="preserve"> soft.</w:t>
      </w:r>
    </w:p>
    <w:p w14:paraId="1E12D7F9" w14:textId="77777777" w:rsidR="00F1399F" w:rsidRDefault="00F1399F">
      <w:pPr>
        <w:spacing w:after="0"/>
        <w:ind w:firstLine="720"/>
        <w:jc w:val="both"/>
        <w:rPr>
          <w:rFonts w:ascii="Times New Roman" w:hAnsi="Times New Roman"/>
          <w:sz w:val="20"/>
          <w:szCs w:val="20"/>
          <w:lang w:val="en-US"/>
        </w:rPr>
      </w:pPr>
    </w:p>
    <w:sectPr w:rsidR="00F139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DF93" w14:textId="77777777" w:rsidR="00783D7B" w:rsidRDefault="00783D7B">
      <w:pPr>
        <w:spacing w:after="0" w:line="240" w:lineRule="auto"/>
      </w:pPr>
      <w:r>
        <w:separator/>
      </w:r>
    </w:p>
  </w:endnote>
  <w:endnote w:type="continuationSeparator" w:id="0">
    <w:p w14:paraId="0C6B3FFA" w14:textId="77777777" w:rsidR="00783D7B" w:rsidRDefault="0078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835D" w14:textId="77777777" w:rsidR="00783D7B" w:rsidRDefault="00783D7B">
      <w:pPr>
        <w:spacing w:after="0" w:line="240" w:lineRule="auto"/>
      </w:pPr>
      <w:r>
        <w:rPr>
          <w:color w:val="000000"/>
        </w:rPr>
        <w:separator/>
      </w:r>
    </w:p>
  </w:footnote>
  <w:footnote w:type="continuationSeparator" w:id="0">
    <w:p w14:paraId="4D8356D8" w14:textId="77777777" w:rsidR="00783D7B" w:rsidRDefault="00783D7B">
      <w:pPr>
        <w:spacing w:after="0" w:line="240" w:lineRule="auto"/>
      </w:pPr>
      <w:r>
        <w:continuationSeparator/>
      </w:r>
    </w:p>
  </w:footnote>
  <w:footnote w:id="1">
    <w:p w14:paraId="6992E695" w14:textId="77777777" w:rsidR="00F1399F" w:rsidRDefault="00783D7B">
      <w:pPr>
        <w:pStyle w:val="Textnotdesubsol"/>
        <w:jc w:val="both"/>
      </w:pPr>
      <w:r>
        <w:rPr>
          <w:rStyle w:val="Referinnotdesubsol"/>
        </w:rPr>
        <w:footnoteRef/>
      </w:r>
      <w:r>
        <w:rPr>
          <w:rFonts w:ascii="Times New Roman" w:hAnsi="Times New Roman"/>
          <w:sz w:val="16"/>
          <w:szCs w:val="16"/>
          <w:lang w:val="en-US"/>
        </w:rPr>
        <w:t xml:space="preserve"> Not to confuse machine education with the processes of language models and transfer learning, even</w:t>
      </w:r>
      <w:r>
        <w:rPr>
          <w:rFonts w:ascii="Times New Roman" w:hAnsi="Times New Roman"/>
          <w:sz w:val="16"/>
          <w:szCs w:val="16"/>
          <w:lang w:val="en-US"/>
        </w:rPr>
        <w:t xml:space="preserve"> if the pe-trained models are fine-tuned to cover the individualization objective. The main difference is similar with the one between knowledge and memorization, or between the concepts of short-memory and long memory (from neuroscience)</w:t>
      </w:r>
    </w:p>
  </w:footnote>
  <w:footnote w:id="2">
    <w:p w14:paraId="43A4DA88" w14:textId="77777777" w:rsidR="00F1399F" w:rsidRDefault="00783D7B">
      <w:pPr>
        <w:pStyle w:val="Textnotdesubsol"/>
        <w:jc w:val="both"/>
      </w:pPr>
      <w:r>
        <w:rPr>
          <w:rStyle w:val="Referinnotdesubsol"/>
        </w:rPr>
        <w:footnoteRef/>
      </w:r>
      <w:r>
        <w:rPr>
          <w:rFonts w:ascii="Times New Roman" w:hAnsi="Times New Roman"/>
          <w:sz w:val="16"/>
          <w:szCs w:val="16"/>
          <w:lang w:val="en-US"/>
        </w:rPr>
        <w:t xml:space="preserve"> We will consider visual NLU integration as well in the future. </w:t>
      </w:r>
    </w:p>
  </w:footnote>
  <w:footnote w:id="3">
    <w:p w14:paraId="266059FE" w14:textId="77777777" w:rsidR="00F1399F" w:rsidRDefault="00783D7B">
      <w:pPr>
        <w:pStyle w:val="Textnotdesubsol"/>
      </w:pPr>
      <w:r>
        <w:rPr>
          <w:rStyle w:val="Referinnotdesubsol"/>
        </w:rPr>
        <w:footnoteRef/>
      </w:r>
      <w:r>
        <w:t xml:space="preserve"> </w:t>
      </w:r>
      <w:r>
        <w:rPr>
          <w:sz w:val="16"/>
          <w:szCs w:val="16"/>
          <w:lang w:val="en-US"/>
        </w:rPr>
        <w:t xml:space="preserve">See also: Ragnar </w:t>
      </w:r>
      <w:proofErr w:type="spellStart"/>
      <w:r>
        <w:rPr>
          <w:sz w:val="16"/>
          <w:szCs w:val="16"/>
          <w:lang w:val="en-US"/>
        </w:rPr>
        <w:t>Fjelland</w:t>
      </w:r>
      <w:proofErr w:type="spellEnd"/>
      <w:r>
        <w:rPr>
          <w:sz w:val="16"/>
          <w:szCs w:val="16"/>
          <w:lang w:val="en-US"/>
        </w:rPr>
        <w:t xml:space="preserve">: Why artificial intelligence will not be realized: </w:t>
      </w:r>
      <w:hyperlink r:id="rId1" w:history="1">
        <w:r>
          <w:rPr>
            <w:sz w:val="16"/>
            <w:szCs w:val="16"/>
            <w:lang w:val="en-US"/>
          </w:rPr>
          <w:t>https://www.nature.com/articles/s41599-020-0494-4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17A88"/>
    <w:multiLevelType w:val="multilevel"/>
    <w:tmpl w:val="268C1D6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B941E91"/>
    <w:multiLevelType w:val="multilevel"/>
    <w:tmpl w:val="C554CA1C"/>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1399F"/>
    <w:rsid w:val="00783D7B"/>
    <w:rsid w:val="00AB240C"/>
    <w:rsid w:val="00F1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11B9"/>
  <w15:docId w15:val="{C7760327-1814-4974-93A0-6E88E362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pPr>
      <w:ind w:left="720"/>
    </w:pPr>
  </w:style>
  <w:style w:type="character" w:styleId="Referincomentariu">
    <w:name w:val="annotation reference"/>
    <w:basedOn w:val="Fontdeparagrafimplicit"/>
    <w:rPr>
      <w:sz w:val="16"/>
      <w:szCs w:val="16"/>
    </w:rPr>
  </w:style>
  <w:style w:type="paragraph" w:styleId="Textcomentariu">
    <w:name w:val="annotation text"/>
    <w:basedOn w:val="Normal"/>
    <w:pPr>
      <w:spacing w:line="240" w:lineRule="auto"/>
    </w:pPr>
    <w:rPr>
      <w:sz w:val="20"/>
      <w:szCs w:val="20"/>
    </w:rPr>
  </w:style>
  <w:style w:type="character" w:customStyle="1" w:styleId="TextcomentariuCaracter">
    <w:name w:val="Text comentariu Caracter"/>
    <w:basedOn w:val="Fontdeparagrafimplicit"/>
    <w:rPr>
      <w:sz w:val="20"/>
      <w:szCs w:val="20"/>
      <w:lang w:val="ro-RO"/>
    </w:rPr>
  </w:style>
  <w:style w:type="paragraph" w:styleId="Textnotdesubsol">
    <w:name w:val="footnote text"/>
    <w:basedOn w:val="Normal"/>
    <w:pPr>
      <w:spacing w:after="0" w:line="240" w:lineRule="auto"/>
    </w:pPr>
    <w:rPr>
      <w:sz w:val="20"/>
      <w:szCs w:val="20"/>
    </w:rPr>
  </w:style>
  <w:style w:type="character" w:customStyle="1" w:styleId="TextnotdesubsolCaracter">
    <w:name w:val="Text notă de subsol Caracter"/>
    <w:basedOn w:val="Fontdeparagrafimplicit"/>
    <w:rPr>
      <w:sz w:val="20"/>
      <w:szCs w:val="20"/>
      <w:lang w:val="ro-RO"/>
    </w:rPr>
  </w:style>
  <w:style w:type="character" w:styleId="Referinnotdesubsol">
    <w:name w:val="footnote reference"/>
    <w:basedOn w:val="Fontdeparagrafimplici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s41599-020-049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 Lucica</dc:creator>
  <dc:description/>
  <cp:lastModifiedBy>Coman Lucica</cp:lastModifiedBy>
  <cp:revision>2</cp:revision>
  <dcterms:created xsi:type="dcterms:W3CDTF">2021-08-11T07:10:00Z</dcterms:created>
  <dcterms:modified xsi:type="dcterms:W3CDTF">2021-08-11T07:10:00Z</dcterms:modified>
</cp:coreProperties>
</file>