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527638</wp:posOffset>
            </wp:positionV>
            <wp:extent cx="805256" cy="904875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256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     ESCOLA POLITÉCNICA DA UNIVERSIDADE DE SÃO PAULO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Departamento de Engenharia de Sistemas Eletrônicos</w:t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PSI3471 - Fundamentos de Sistemas Eletrônicos Inteligentes</w:t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Resolução do Exercício-Programa 2023</w:t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4785"/>
        <w:gridCol w:w="2880"/>
        <w:tblGridChange w:id="0">
          <w:tblGrid>
            <w:gridCol w:w="1350"/>
            <w:gridCol w:w="4785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USP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11806980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Cezar Gabriel Moreno Almeida Lima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09/07/2023</w:t>
            </w:r>
          </w:p>
        </w:tc>
      </w:tr>
    </w:tbl>
    <w:p w:rsidR="00000000" w:rsidDel="00000000" w:rsidP="00000000" w:rsidRDefault="00000000" w:rsidRPr="00000000" w14:paraId="0000000C">
      <w:pPr>
        <w:pStyle w:val="Heading3"/>
        <w:spacing w:line="276" w:lineRule="auto"/>
        <w:rPr>
          <w:b w:val="1"/>
        </w:rPr>
      </w:pPr>
      <w:bookmarkStart w:colFirst="0" w:colLast="0" w:name="_bg2pezcgypws" w:id="0"/>
      <w:bookmarkEnd w:id="0"/>
      <w:r w:rsidDel="00000000" w:rsidR="00000000" w:rsidRPr="00000000">
        <w:rPr>
          <w:b w:val="1"/>
          <w:rtl w:val="0"/>
        </w:rPr>
        <w:t xml:space="preserve">1. Objetivo</w:t>
      </w:r>
    </w:p>
    <w:p w:rsidR="00000000" w:rsidDel="00000000" w:rsidP="00000000" w:rsidRDefault="00000000" w:rsidRPr="00000000" w14:paraId="0000000D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Este exercício-programa [1] tem como objetivo utilizar uma amostra de um banco de dados com fotografias de grãos de arroz para treinar redes neurais artificiais. No conjunto de dados, há 5 tipos de grãos, e as redes devem aprender a classificar imagens dos grãos em um desses tipos. Para realizar este estudo, a </w:t>
      </w:r>
      <w:r w:rsidDel="00000000" w:rsidR="00000000" w:rsidRPr="00000000">
        <w:rPr>
          <w:b w:val="1"/>
          <w:rtl w:val="0"/>
        </w:rPr>
        <w:t xml:space="preserve">Etapa 1</w:t>
      </w:r>
      <w:r w:rsidDel="00000000" w:rsidR="00000000" w:rsidRPr="00000000">
        <w:rPr>
          <w:rtl w:val="0"/>
        </w:rPr>
        <w:t xml:space="preserve"> do projeto consiste em alinhar os grãos horizontalmente e centralizadamente em todas as imagens, para que o posicionamento deles nas imagens seja sempre uniforme. A</w:t>
      </w:r>
      <w:r w:rsidDel="00000000" w:rsidR="00000000" w:rsidRPr="00000000">
        <w:rPr>
          <w:b w:val="1"/>
          <w:rtl w:val="0"/>
        </w:rPr>
        <w:t xml:space="preserve"> Etapa 2, </w:t>
      </w:r>
      <w:r w:rsidDel="00000000" w:rsidR="00000000" w:rsidRPr="00000000">
        <w:rPr>
          <w:rtl w:val="0"/>
        </w:rPr>
        <w:t xml:space="preserve">por sua vez, fará o método K-fold cross validation para gerar subconjuntos de teste e treino dentro das imagens alinhadas e as imagens não alinhadas. Por fim, como resultado, haverão 5 modelos de rede neural para classificar imagens não-alinhadas de grão de arroz e 5 modelos de rede neural para classificar imagens alinhadas de grão de arroz. </w:t>
      </w:r>
    </w:p>
    <w:p w:rsidR="00000000" w:rsidDel="00000000" w:rsidP="00000000" w:rsidRDefault="00000000" w:rsidRPr="00000000" w14:paraId="0000000E">
      <w:pPr>
        <w:pStyle w:val="Heading3"/>
        <w:jc w:val="both"/>
        <w:rPr/>
      </w:pPr>
      <w:bookmarkStart w:colFirst="0" w:colLast="0" w:name="_ijke8172ar3v" w:id="1"/>
      <w:bookmarkEnd w:id="1"/>
      <w:r w:rsidDel="00000000" w:rsidR="00000000" w:rsidRPr="00000000">
        <w:rPr>
          <w:b w:val="1"/>
          <w:rtl w:val="0"/>
        </w:rPr>
        <w:t xml:space="preserve">2. Técnicas utilizadas no estudo de classificação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Para solucionar o alinhamento de grãos de arroz, utilizou-se a função </w:t>
      </w:r>
      <w:r w:rsidDel="00000000" w:rsidR="00000000" w:rsidRPr="00000000">
        <w:rPr>
          <w:i w:val="1"/>
          <w:rtl w:val="0"/>
        </w:rPr>
        <w:t xml:space="preserve">Point3d findCenterAndOrientation(Mat_src) </w:t>
      </w:r>
      <w:r w:rsidDel="00000000" w:rsidR="00000000" w:rsidRPr="00000000">
        <w:rPr>
          <w:rtl w:val="0"/>
        </w:rPr>
        <w:t xml:space="preserve">[2] fornecida no enunciado, que, à partir dos cálculos de momentos do objeto </w:t>
      </w:r>
      <w:r w:rsidDel="00000000" w:rsidR="00000000" w:rsidRPr="00000000">
        <w:rPr>
          <w:b w:val="1"/>
          <w:rtl w:val="0"/>
        </w:rPr>
        <w:t xml:space="preserve">binarizado </w:t>
      </w:r>
      <w:r w:rsidDel="00000000" w:rsidR="00000000" w:rsidRPr="00000000">
        <w:rPr>
          <w:rtl w:val="0"/>
        </w:rPr>
        <w:t xml:space="preserve">na imagem, retorna o ponto central do objeto e o ângulo de inclinação. 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Etapa 1 - alinhaUmaImagem.cpp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Primeiro, lê a imagem “Jasmine (2).cpp” em duas variáveis: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(que será a versão binária) e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 (que será a versão colorida). Para transformar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utilizou-se a função</w:t>
      </w:r>
      <w:r w:rsidDel="00000000" w:rsidR="00000000" w:rsidRPr="00000000">
        <w:rPr>
          <w:i w:val="1"/>
          <w:rtl w:val="0"/>
        </w:rPr>
        <w:t xml:space="preserve"> threshold(*)</w:t>
      </w:r>
      <w:r w:rsidDel="00000000" w:rsidR="00000000" w:rsidRPr="00000000">
        <w:rPr>
          <w:rtl w:val="0"/>
        </w:rPr>
        <w:t xml:space="preserve"> do OpenCV [3] e inclusa no Cekeikon. O centro do objeto é então encontrado baseado em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, e plota-se um círculo neste centro, bem como uma linha que indica o ângulo do objeto. 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Gera-se uma matriz de rotação através da função </w:t>
      </w:r>
      <w:r w:rsidDel="00000000" w:rsidR="00000000" w:rsidRPr="00000000">
        <w:rPr>
          <w:i w:val="1"/>
          <w:rtl w:val="0"/>
        </w:rPr>
        <w:t xml:space="preserve">getRotationMatrix2D(*)</w:t>
      </w:r>
      <w:r w:rsidDel="00000000" w:rsidR="00000000" w:rsidRPr="00000000">
        <w:rPr>
          <w:rtl w:val="0"/>
        </w:rPr>
        <w:t xml:space="preserve">,  que contém elementos para rotacionar um pixel </w:t>
      </w:r>
      <w:r w:rsidDel="00000000" w:rsidR="00000000" w:rsidRPr="00000000">
        <w:rPr>
          <w:sz w:val="18"/>
          <w:szCs w:val="18"/>
          <w:rtl w:val="0"/>
        </w:rPr>
        <w:t xml:space="preserve">(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x</m:t>
            </m:r>
          </m:e>
          <m:sub>
            <m:r>
              <w:rPr>
                <w:sz w:val="18"/>
                <w:szCs w:val="18"/>
              </w:rPr>
              <m:t xml:space="preserve">B</m:t>
            </m:r>
          </m:sub>
        </m:sSub>
        <m:r>
          <w:rPr>
            <w:sz w:val="18"/>
            <w:szCs w:val="18"/>
          </w:rPr>
          <m:t xml:space="preserve">, </m:t>
        </m:r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y</m:t>
            </m:r>
          </m:e>
          <m:sub>
            <m:r>
              <w:rPr>
                <w:sz w:val="18"/>
                <w:szCs w:val="18"/>
              </w:rPr>
              <m:t xml:space="preserve">B</m:t>
            </m:r>
          </m:sub>
        </m:sSub>
      </m:oMath>
      <w:r w:rsidDel="00000000" w:rsidR="00000000" w:rsidRPr="00000000">
        <w:rPr>
          <w:sz w:val="18"/>
          <w:szCs w:val="18"/>
          <w:rtl w:val="0"/>
        </w:rPr>
        <w:t xml:space="preserve">) </w:t>
      </w:r>
      <w:r w:rsidDel="00000000" w:rsidR="00000000" w:rsidRPr="00000000">
        <w:rPr>
          <w:rtl w:val="0"/>
        </w:rPr>
        <w:t xml:space="preserve">para um pixel </w:t>
      </w:r>
      <w:r w:rsidDel="00000000" w:rsidR="00000000" w:rsidRPr="00000000">
        <w:rPr>
          <w:sz w:val="18"/>
          <w:szCs w:val="18"/>
          <w:rtl w:val="0"/>
        </w:rPr>
        <w:t xml:space="preserve">(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x</m:t>
            </m:r>
          </m:e>
          <m:sub>
            <m:r>
              <w:rPr>
                <w:sz w:val="18"/>
                <w:szCs w:val="18"/>
              </w:rPr>
              <m:t xml:space="preserve">B</m:t>
            </m:r>
          </m:sub>
        </m:sSub>
        <m:r>
          <w:rPr>
            <w:sz w:val="18"/>
            <w:szCs w:val="18"/>
          </w:rPr>
          <m:t xml:space="preserve">, </m:t>
        </m:r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y</m:t>
            </m:r>
          </m:e>
          <m:sub>
            <m:r>
              <w:rPr>
                <w:sz w:val="18"/>
                <w:szCs w:val="18"/>
              </w:rPr>
              <m:t xml:space="preserve">B</m:t>
            </m:r>
          </m:sub>
        </m:sSub>
      </m:oMath>
      <w:r w:rsidDel="00000000" w:rsidR="00000000" w:rsidRPr="00000000">
        <w:rPr>
          <w:sz w:val="18"/>
          <w:szCs w:val="18"/>
          <w:rtl w:val="0"/>
        </w:rPr>
        <w:t xml:space="preserve">). </w:t>
      </w:r>
      <w:r w:rsidDel="00000000" w:rsidR="00000000" w:rsidRPr="00000000">
        <w:rPr>
          <w:rtl w:val="0"/>
        </w:rPr>
        <w:t xml:space="preserve">Edita-se a matriz para incluir elementos que transladam o ponto </w:t>
      </w:r>
      <w:r w:rsidDel="00000000" w:rsidR="00000000" w:rsidRPr="00000000">
        <w:rPr>
          <w:sz w:val="18"/>
          <w:szCs w:val="18"/>
          <w:rtl w:val="0"/>
        </w:rPr>
        <w:t xml:space="preserve">(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x</m:t>
            </m:r>
          </m:e>
          <m:sub>
            <m:r>
              <w:rPr>
                <w:sz w:val="18"/>
                <w:szCs w:val="18"/>
              </w:rPr>
              <m:t xml:space="preserve">A</m:t>
            </m:r>
          </m:sub>
        </m:sSub>
        <m:r>
          <w:rPr>
            <w:sz w:val="18"/>
            <w:szCs w:val="18"/>
          </w:rPr>
          <m:t xml:space="preserve">, </m:t>
        </m:r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y</m:t>
            </m:r>
          </m:e>
          <m:sub>
            <m:r>
              <w:rPr>
                <w:sz w:val="18"/>
                <w:szCs w:val="18"/>
              </w:rPr>
              <m:t xml:space="preserve">A</m:t>
            </m:r>
          </m:sub>
        </m:sSub>
      </m:oMath>
      <w:r w:rsidDel="00000000" w:rsidR="00000000" w:rsidRPr="00000000">
        <w:rPr>
          <w:sz w:val="18"/>
          <w:szCs w:val="18"/>
          <w:rtl w:val="0"/>
        </w:rPr>
        <w:t xml:space="preserve">) </w:t>
      </w:r>
      <w:r w:rsidDel="00000000" w:rsidR="00000000" w:rsidRPr="00000000">
        <w:rPr>
          <w:rtl w:val="0"/>
        </w:rPr>
        <w:t xml:space="preserve">em um deslocamento de</w:t>
      </w:r>
      <w:r w:rsidDel="00000000" w:rsidR="00000000" w:rsidRPr="00000000">
        <w:rPr>
          <w:sz w:val="18"/>
          <w:szCs w:val="18"/>
          <w:rtl w:val="0"/>
        </w:rPr>
        <w:t xml:space="preserve"> (</w:t>
      </w:r>
      <m:oMath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t</m:t>
            </m:r>
          </m:e>
          <m:sub>
            <m:r>
              <w:rPr>
                <w:sz w:val="18"/>
                <w:szCs w:val="18"/>
              </w:rPr>
              <m:t xml:space="preserve">x</m:t>
            </m:r>
          </m:sub>
        </m:sSub>
        <m:r>
          <w:rPr>
            <w:sz w:val="18"/>
            <w:szCs w:val="18"/>
          </w:rPr>
          <m:t xml:space="preserve">, </m:t>
        </m:r>
        <m:sSub>
          <m:sSubPr>
            <m:ctrlPr>
              <w:rPr>
                <w:sz w:val="18"/>
                <w:szCs w:val="18"/>
              </w:rPr>
            </m:ctrlPr>
          </m:sSubPr>
          <m:e>
            <m:r>
              <w:rPr>
                <w:sz w:val="18"/>
                <w:szCs w:val="18"/>
              </w:rPr>
              <m:t xml:space="preserve">t</m:t>
            </m:r>
          </m:e>
          <m:sub>
            <m:r>
              <w:rPr>
                <w:sz w:val="18"/>
                <w:szCs w:val="18"/>
              </w:rPr>
              <m:t xml:space="preserve">y</m:t>
            </m:r>
          </m:sub>
        </m:sSub>
      </m:oMath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  <w:t xml:space="preserve">. Na aplicação do projeto, </w:t>
      </w:r>
      <w:r w:rsidDel="00000000" w:rsidR="00000000" w:rsidRPr="00000000">
        <w:rPr>
          <w:i w:val="1"/>
          <w:rtl w:val="0"/>
        </w:rPr>
        <w:t xml:space="preserve">tx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ty </w:t>
      </w:r>
      <w:r w:rsidDel="00000000" w:rsidR="00000000" w:rsidRPr="00000000">
        <w:rPr>
          <w:rtl w:val="0"/>
        </w:rPr>
        <w:t xml:space="preserve">correspondem aos deslocamentos necessarios para centralizar o centro do grão no centro da imagem. Mais informações sobre essas matrizes podem ser encontradas na apostila de transformações geométricas da disciplina [4]. A função </w:t>
      </w:r>
      <w:r w:rsidDel="00000000" w:rsidR="00000000" w:rsidRPr="00000000">
        <w:rPr>
          <w:i w:val="1"/>
          <w:rtl w:val="0"/>
        </w:rPr>
        <w:t xml:space="preserve">warpAffine(*)</w:t>
      </w:r>
      <w:r w:rsidDel="00000000" w:rsidR="00000000" w:rsidRPr="00000000">
        <w:rPr>
          <w:rtl w:val="0"/>
        </w:rPr>
        <w:t xml:space="preserve"> do openCV, por fim, aplica essas matrizes. Como ela realiza reamostragem, utilizamos uma única matriz já com a rotação e a translação.</w:t>
      </w:r>
      <w:r w:rsidDel="00000000" w:rsidR="00000000" w:rsidRPr="00000000">
        <w:rPr>
          <w:rtl w:val="0"/>
        </w:rPr>
      </w:r>
    </w:p>
    <w:tbl>
      <w:tblPr>
        <w:tblStyle w:val="Table2"/>
        <w:tblW w:w="106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6135"/>
        <w:tblGridChange w:id="0">
          <w:tblGrid>
            <w:gridCol w:w="4500"/>
            <w:gridCol w:w="61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800225" cy="305699"/>
                  <wp:effectExtent b="0" l="0" r="0" t="0"/>
                  <wp:docPr descr="{&quot;backgroundColor&quot;:&quot;#ffffff&quot;,&quot;aid&quot;:null,&quot;id&quot;:&quot;1&quot;,&quot;code&quot;:&quot;\\begin{lalign*}\n&amp;{\\begin{bmatrix}\n{x_{B}}\\\\\n{y_{B}}\\\\\n\\end{bmatrix}=\\begin{bmatrix}\n{\\cos\\left(\\theta\\right)}&amp;{-sen\\left(\\theta\\right)}\\\\\n{sen\\left(\\theta\\right)}&amp;{\\cos\\left(\\theta\\right)}\\\\\n\\end{bmatrix}\\begin{bmatrix}\n{x_{A}}\\\\\n{y_{A}}\\\\\n\\end{bmatrix}}\\\\\n\\end{lalign*}&quot;,&quot;font&quot;:{&quot;color&quot;:&quot;#000000&quot;,&quot;family&quot;:&quot;Arial&quot;,&quot;size&quot;:11},&quot;type&quot;:&quot;lalign*&quot;,&quot;ts&quot;:1688917412583,&quot;cs&quot;:&quot;O7Bt2MzFDpW1ABOlUkn71g==&quot;,&quot;size&quot;:{&quot;width&quot;:234,&quot;height&quot;:40}}" id="9" name="image9.png"/>
                  <a:graphic>
                    <a:graphicData uri="http://schemas.openxmlformats.org/drawingml/2006/picture">
                      <pic:pic>
                        <pic:nvPicPr>
                          <pic:cNvPr descr="{&quot;backgroundColor&quot;:&quot;#ffffff&quot;,&quot;aid&quot;:null,&quot;id&quot;:&quot;1&quot;,&quot;code&quot;:&quot;\\begin{lalign*}\n&amp;{\\begin{bmatrix}\n{x_{B}}\\\\\n{y_{B}}\\\\\n\\end{bmatrix}=\\begin{bmatrix}\n{\\cos\\left(\\theta\\right)}&amp;{-sen\\left(\\theta\\right)}\\\\\n{sen\\left(\\theta\\right)}&amp;{\\cos\\left(\\theta\\right)}\\\\\n\\end{bmatrix}\\begin{bmatrix}\n{x_{A}}\\\\\n{y_{A}}\\\\\n\\end{bmatrix}}\\\\\n\\end{lalign*}&quot;,&quot;font&quot;:{&quot;color&quot;:&quot;#000000&quot;,&quot;family&quot;:&quot;Arial&quot;,&quot;size&quot;:11},&quot;type&quot;:&quot;lalign*&quot;,&quot;ts&quot;:1688917412583,&quot;cs&quot;:&quot;O7Bt2MzFDpW1ABOlUkn71g==&quot;,&quot;size&quot;:{&quot;width&quot;:234,&quot;height&quot;:40}}"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05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Matriz de rotação do ponto (</w:t>
            </w:r>
            <m:oMath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x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a</m:t>
                  </m:r>
                </m:sub>
              </m:sSub>
              <m:r>
                <w:rPr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y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a</m:t>
                  </m:r>
                </m:sub>
              </m:sSub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) em um ângulo </w:t>
            </w:r>
            <m:oMath>
              <m:r>
                <m:t>θ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205362" cy="432458"/>
                  <wp:effectExtent b="0" l="0" r="0" t="0"/>
                  <wp:docPr descr="{&quot;id&quot;:&quot;2&quot;,&quot;font&quot;:{&quot;size&quot;:11,&quot;family&quot;:&quot;Arial&quot;,&quot;color&quot;:&quot;#000000&quot;},&quot;backgroundColor&quot;:&quot;#ffffff&quot;,&quot;aid&quot;:null,&quot;type&quot;:&quot;$$&quot;,&quot;code&quot;:&quot;$$\\begin{bmatrix}\n{x_{B}}\\\\\n{y_{B}}\\\\\n\\end{bmatrix}=\\begin{bmatrix}\n{1}&amp;{0}&amp;{t_{x}}\\\\\n{0}&amp;{1}&amp;{t_{y}}\\\\\n\\end{bmatrix}\\begin{bmatrix}\n{x_{A}}\\\\\n{y_{A}}\\\\\n{1}\\\\\n\\end{bmatrix}$$&quot;,&quot;ts&quot;:1688917456901,&quot;cs&quot;:&quot;painuz2cLGwBQDDINy/Hyw==&quot;,&quot;size&quot;:{&quot;width&quot;:177,&quot;height&quot;:64}}" id="8" name="image1.png"/>
                  <a:graphic>
                    <a:graphicData uri="http://schemas.openxmlformats.org/drawingml/2006/picture">
                      <pic:pic>
                        <pic:nvPicPr>
                          <pic:cNvPr descr="{&quot;id&quot;:&quot;2&quot;,&quot;font&quot;:{&quot;size&quot;:11,&quot;family&quot;:&quot;Arial&quot;,&quot;color&quot;:&quot;#000000&quot;},&quot;backgroundColor&quot;:&quot;#ffffff&quot;,&quot;aid&quot;:null,&quot;type&quot;:&quot;$$&quot;,&quot;code&quot;:&quot;$$\\begin{bmatrix}\n{x_{B}}\\\\\n{y_{B}}\\\\\n\\end{bmatrix}=\\begin{bmatrix}\n{1}&amp;{0}&amp;{t_{x}}\\\\\n{0}&amp;{1}&amp;{t_{y}}\\\\\n\\end{bmatrix}\\begin{bmatrix}\n{x_{A}}\\\\\n{y_{A}}\\\\\n{1}\\\\\n\\end{bmatrix}$$&quot;,&quot;ts&quot;:1688917456901,&quot;cs&quot;:&quot;painuz2cLGwBQDDINy/Hyw==&quot;,&quot;size&quot;:{&quot;width&quot;:177,&quot;height&quot;:64}}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362" cy="432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Matriz de translação do ponto  (</w:t>
            </w:r>
            <m:oMath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x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a</m:t>
                  </m:r>
                </m:sub>
              </m:sSub>
              <m:r>
                <w:rPr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y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a</m:t>
                  </m:r>
                </m:sub>
              </m:sSub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) por um vetor (</w:t>
            </w:r>
            <m:oMath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t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x</m:t>
                  </m:r>
                </m:sub>
              </m:sSub>
              <m:r>
                <w:rPr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sz w:val="18"/>
                      <w:szCs w:val="18"/>
                    </w:rPr>
                  </m:ctrlPr>
                </m:sSubPr>
                <m:e>
                  <m:r>
                    <w:rPr>
                      <w:sz w:val="18"/>
                      <w:szCs w:val="18"/>
                    </w:rPr>
                    <m:t xml:space="preserve">t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y</m:t>
                  </m:r>
                </m:sub>
              </m:sSub>
            </m:oMath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Etapa 1 - alinha.cpp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 algoritmo aplica as transformações para alinhamento de “alinhaUmaImagem.cpp”, mas no(s) arquivo(s) passado(s) pelos parâmetros ao rodar o código. Esta versão do algoritmo foi essencialmente útil para alinhar em lotes as 250 imagens totais do dataset deste exercício-programa. Para isto, utilizou-se a técnica de wildcard expansion [1]. Para mais informações, consulte a seção </w:t>
      </w:r>
      <w:r w:rsidDel="00000000" w:rsidR="00000000" w:rsidRPr="00000000">
        <w:rPr>
          <w:b w:val="1"/>
          <w:color w:val="434343"/>
          <w:rtl w:val="0"/>
        </w:rPr>
        <w:t xml:space="preserve">3. Instruções dos ambientes de execução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Etapa 2 - class_orig.ipynb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Esta etapa utiliza Keras para criar modelos de CNN [7], treiná-los e obter resultados. Como a quantidade de imagens disponíveis para a resolução do estudo é consideravelmente pequena, será realizado o “5-fold cross validation” [8]. Em cada fold, um dos subconjuntos Sx (x=[1,2,3,4,5]) é escolhido como conjunto de teste para validação do modelo, enquanto os 4 outros subconjuntos são utilizados para treinar o modelo em questão. 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O arquivo “rice_1to50.zip” é baixado, extraído [5] e categorizado nas pastas S1, S2, S3, S4 e S5. As imagens e seus respectivos rótulos (presente nos títulos) são carregados em matrizes numpy. Os rótulos passam pelo </w:t>
      </w:r>
      <w:r w:rsidDel="00000000" w:rsidR="00000000" w:rsidRPr="00000000">
        <w:rPr>
          <w:i w:val="1"/>
          <w:rtl w:val="0"/>
        </w:rPr>
        <w:t xml:space="preserve">one-hot encoding </w:t>
      </w:r>
      <w:r w:rsidDel="00000000" w:rsidR="00000000" w:rsidRPr="00000000">
        <w:rPr>
          <w:rtl w:val="0"/>
        </w:rPr>
        <w:t xml:space="preserve">[6], processo pelo qual a categorização passa a ser descrita por um vetor. 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53088" cy="15925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85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59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3705631</wp:posOffset>
            </wp:positionH>
            <wp:positionV relativeFrom="paragraph">
              <wp:posOffset>161925</wp:posOffset>
            </wp:positionV>
            <wp:extent cx="2070948" cy="4794976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948" cy="4794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A segunda etapa foi realizada inteiramente em Jupyter Notebooks, no ambiente Google Colab. Há dois arquivos: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class_orig</w:t>
        </w:r>
      </w:hyperlink>
      <w:r w:rsidDel="00000000" w:rsidR="00000000" w:rsidRPr="00000000">
        <w:rPr>
          <w:rtl w:val="0"/>
        </w:rPr>
        <w:t xml:space="preserve"> 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class_alin</w:t>
        </w:r>
      </w:hyperlink>
      <w:r w:rsidDel="00000000" w:rsidR="00000000" w:rsidRPr="00000000">
        <w:rPr>
          <w:rtl w:val="0"/>
        </w:rPr>
        <w:t xml:space="preserve"> que estão hospedados nos seus respectivos hyperlinks.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Todas as redes serão então treinadas e validadas para cada um dos </w:t>
      </w:r>
      <w:r w:rsidDel="00000000" w:rsidR="00000000" w:rsidRPr="00000000">
        <w:rPr>
          <w:i w:val="1"/>
          <w:rtl w:val="0"/>
        </w:rPr>
        <w:t xml:space="preserve">folds</w:t>
      </w:r>
      <w:r w:rsidDel="00000000" w:rsidR="00000000" w:rsidRPr="00000000">
        <w:rPr>
          <w:rtl w:val="0"/>
        </w:rPr>
        <w:t xml:space="preserve">. Todos os modelos de rede, apesar de serem treinadas e validadas de forma diferentes (pois diferem nos subconjuntos de treino e de validação), são constituídos pela arquitetura presente na imagem à direita. 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O fit do modelo foi feito com um batch de tamanho 100, em 15 épocas, com uma função de perda “sparse categorical crossentropy”.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Etapa 2 - class_alin.ipynb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Os arquivos de imagens de grãos alinhados obtidos na Etapa 1 foram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enviados para a nuvem</w:t>
        </w:r>
      </w:hyperlink>
      <w:r w:rsidDel="00000000" w:rsidR="00000000" w:rsidRPr="00000000">
        <w:rPr>
          <w:rtl w:val="0"/>
        </w:rPr>
        <w:t xml:space="preserve">. O arquivo class_alin carrega estas imagens, e gera mais 5 modelos de redes neurais. Desta vez, para grãos de arroz alinhados.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3. Instruções dos ambientes de execução</w:t>
      </w:r>
    </w:p>
    <w:p w:rsidR="00000000" w:rsidDel="00000000" w:rsidP="00000000" w:rsidRDefault="00000000" w:rsidRPr="00000000" w14:paraId="0000002B">
      <w:pPr>
        <w:spacing w:line="276" w:lineRule="auto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3.1. Primeira Etapa - Alinhamento de grãos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A primeira etapa (alinhamento horizontal de grãos) foi realizada em C, utilizando a biblioteca </w:t>
      </w:r>
      <w:r w:rsidDel="00000000" w:rsidR="00000000" w:rsidRPr="00000000">
        <w:rPr>
          <w:i w:val="1"/>
          <w:rtl w:val="0"/>
        </w:rPr>
        <w:t xml:space="preserve">cekeikon </w:t>
      </w:r>
      <w:r w:rsidDel="00000000" w:rsidR="00000000" w:rsidRPr="00000000">
        <w:rPr>
          <w:rtl w:val="0"/>
        </w:rPr>
        <w:t xml:space="preserve">(para mais informações e instruções de instalação, acesse o site da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biblioteca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  <w:t xml:space="preserve">Dois arquivos foram feitos para essa etapa: alinhaUmaImagem.cpp e alinha.cpp. O primeiro lê o arquivo </w:t>
      </w:r>
      <w:r w:rsidDel="00000000" w:rsidR="00000000" w:rsidRPr="00000000">
        <w:rPr>
          <w:b w:val="1"/>
          <w:rtl w:val="0"/>
        </w:rPr>
        <w:t xml:space="preserve">Jasmine(2).jpg</w:t>
      </w:r>
      <w:r w:rsidDel="00000000" w:rsidR="00000000" w:rsidRPr="00000000">
        <w:rPr>
          <w:rtl w:val="0"/>
        </w:rPr>
        <w:t xml:space="preserve"> e gera o arquivo </w:t>
      </w:r>
      <w:r w:rsidDel="00000000" w:rsidR="00000000" w:rsidRPr="00000000">
        <w:rPr>
          <w:b w:val="1"/>
          <w:rtl w:val="0"/>
        </w:rPr>
        <w:t xml:space="preserve">aComCentroELinha.jpg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Jasmine (2)_alin.png</w:t>
      </w:r>
      <w:r w:rsidDel="00000000" w:rsidR="00000000" w:rsidRPr="00000000">
        <w:rPr>
          <w:rtl w:val="0"/>
        </w:rPr>
        <w:t xml:space="preserve">. A primeira imagem gerada indica o centro e o ângulo de inclinação do grão de arroz da imagem, e a segunda a imagem alinhada ainda com os plots.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  <w:t xml:space="preserve">Para compilar e executar alinhaUmaImagem.cpp, basta abrir o CMD do Windows (com o Cekeikon instalado), navegar para a pasta de instalação do diretório do EP1 e digitar: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21.2373046875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aaaaaa"/>
                <w:highlight w:val="black"/>
                <w:rtl w:val="0"/>
              </w:rPr>
              <w:t xml:space="preserve">…\EP1&gt;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compila alinhaUmaImagem.cpp -cek &amp;&amp; alinhaUmaImagem.exe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No Windows, a navegação para o diretório do EP1 pode ser realizada da seguinte forma: abra o diretório no explorador, e depois digite “cmd” na barra do caminho de diretório.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alinha.cpp</w:t>
      </w:r>
      <w:r w:rsidDel="00000000" w:rsidR="00000000" w:rsidRPr="00000000">
        <w:rPr>
          <w:rtl w:val="0"/>
        </w:rPr>
        <w:t xml:space="preserve"> é um programa que lê imagens </w:t>
      </w:r>
      <w:r w:rsidDel="00000000" w:rsidR="00000000" w:rsidRPr="00000000">
        <w:rPr>
          <w:i w:val="1"/>
          <w:rtl w:val="0"/>
        </w:rPr>
        <w:t xml:space="preserve">.jpg</w:t>
      </w:r>
      <w:r w:rsidDel="00000000" w:rsidR="00000000" w:rsidRPr="00000000">
        <w:rPr>
          <w:rtl w:val="0"/>
        </w:rPr>
        <w:t xml:space="preserve"> passadas pelos parâmetros e gera versões </w:t>
      </w:r>
      <w:r w:rsidDel="00000000" w:rsidR="00000000" w:rsidRPr="00000000">
        <w:rPr>
          <w:i w:val="1"/>
          <w:rtl w:val="0"/>
        </w:rPr>
        <w:t xml:space="preserve">.png</w:t>
      </w:r>
      <w:r w:rsidDel="00000000" w:rsidR="00000000" w:rsidRPr="00000000">
        <w:rPr>
          <w:rtl w:val="0"/>
        </w:rPr>
        <w:t xml:space="preserve"> dessas imagens, nas quais os grãos de arroz estão alinhados horizontalmente. Para executá-la, pode-se passar cada uma das imagens para ser alinhada como parâmetro na linha de código, ou realizar </w:t>
      </w:r>
      <w:r w:rsidDel="00000000" w:rsidR="00000000" w:rsidRPr="00000000">
        <w:rPr>
          <w:i w:val="1"/>
          <w:rtl w:val="0"/>
        </w:rPr>
        <w:t xml:space="preserve">wildcard expansion</w:t>
      </w:r>
      <w:r w:rsidDel="00000000" w:rsidR="00000000" w:rsidRPr="00000000">
        <w:rPr>
          <w:rtl w:val="0"/>
        </w:rPr>
        <w:t xml:space="preserve">, que alinhará todas as imagens presentes na pasta onde o executável está. Para gerar o executável: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aaaaaa"/>
                <w:highlight w:val="black"/>
                <w:rtl w:val="0"/>
              </w:rPr>
              <w:t xml:space="preserve">…\EP1&gt;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compila alinha.cpp -cek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Agora basta mover o alinha.exe para a pasta wildcardExpansion, abrir o caminho “/EP1/wildcardExpansion” no CMD, e rodar: 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aaaaaa"/>
                <w:highlight w:val="black"/>
                <w:rtl w:val="0"/>
              </w:rPr>
              <w:t xml:space="preserve">…\EP1\wildcardExpansion&gt;</w:t>
            </w:r>
            <w:r w:rsidDel="00000000" w:rsidR="00000000" w:rsidRPr="00000000">
              <w:rPr>
                <w:rFonts w:ascii="Consolas" w:cs="Consolas" w:eastAsia="Consolas" w:hAnsi="Consolas"/>
                <w:color w:val="aaaaaa"/>
                <w:highlight w:val="black"/>
                <w:rtl w:val="0"/>
              </w:rPr>
              <w:t xml:space="preserve"> alinha.exe *.jpg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line="276" w:lineRule="auto"/>
        <w:jc w:val="left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left"/>
        <w:rPr>
          <w:sz w:val="18"/>
          <w:szCs w:val="18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3.2. Segunda etapa - Aprendizado de máquina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Para executar um dos notebooks, primeiro vá em “Ambiente de Execução” &gt; “Alterar o tipo de ambiente de execução” e mude o Acelerador de Hardware para “GPU”. Salve e utilize “Ctrl + F9” para executar todo o notebook sequencialmente.</w:t>
      </w:r>
    </w:p>
    <w:p w:rsidR="00000000" w:rsidDel="00000000" w:rsidP="00000000" w:rsidRDefault="00000000" w:rsidRPr="00000000" w14:paraId="0000003A">
      <w:pPr>
        <w:spacing w:line="276" w:lineRule="auto"/>
        <w:jc w:val="left"/>
        <w:rPr/>
      </w:pPr>
      <w:r w:rsidDel="00000000" w:rsidR="00000000" w:rsidRPr="00000000">
        <w:rPr>
          <w:rtl w:val="0"/>
        </w:rPr>
        <w:t xml:space="preserve">As imagens não precisam ser inseridas no site, ambos os notebooks baixam automáticamente e extraem os arquivos necessários.</w:t>
      </w:r>
    </w:p>
    <w:p w:rsidR="00000000" w:rsidDel="00000000" w:rsidP="00000000" w:rsidRDefault="00000000" w:rsidRPr="00000000" w14:paraId="0000003B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Cada célula de treino de rede (para cada um dos casos </w:t>
      </w:r>
      <w:r w:rsidDel="00000000" w:rsidR="00000000" w:rsidRPr="00000000">
        <w:rPr>
          <w:i w:val="1"/>
          <w:rtl w:val="0"/>
        </w:rPr>
        <w:t xml:space="preserve">Sx</w:t>
      </w:r>
      <w:r w:rsidDel="00000000" w:rsidR="00000000" w:rsidRPr="00000000">
        <w:rPr>
          <w:rtl w:val="0"/>
        </w:rPr>
        <w:t xml:space="preserve">) pode ser executada individualmente para re-treinar e obter uma acurácia de teste nova.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4. Resultados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 resultado do processo alinhamento dos grãos pode ser visto na sequência de imagens abaixo, utilizando como exemplo a segunda imagem dos grãos Jasmine. Este mesmo procedimento foi aplicado para todas as 250 imagens por wildcard expansion e salvas na pasta wildcardExpansion.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34343"/>
                <w:sz w:val="28"/>
                <w:szCs w:val="28"/>
              </w:rPr>
              <w:drawing>
                <wp:inline distB="114300" distT="114300" distL="114300" distR="114300">
                  <wp:extent cx="1085850" cy="1085850"/>
                  <wp:effectExtent b="0" l="0" r="0" t="0"/>
                  <wp:docPr id="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Jasmine(2).jpg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</w:rPr>
              <w:drawing>
                <wp:inline distB="114300" distT="114300" distL="114300" distR="114300">
                  <wp:extent cx="1085850" cy="108585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aComCentroELinha.jpg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</w:rPr>
              <w:drawing>
                <wp:inline distB="114300" distT="114300" distL="114300" distR="114300">
                  <wp:extent cx="1114425" cy="111442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Jasmine(2)_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centroELinha.png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434343"/>
                <w:sz w:val="18"/>
                <w:szCs w:val="18"/>
              </w:rPr>
              <w:drawing>
                <wp:inline distB="114300" distT="114300" distL="114300" distR="114300">
                  <wp:extent cx="1109663" cy="1109663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1109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Jasmine(2).png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 resultado dos diferentes modelos de CNN treinados para cada um dos folds pode ser visto na tabela abaixo.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680.000000000002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0.0000000000002"/>
        <w:gridCol w:w="1780.0000000000002"/>
        <w:gridCol w:w="1780.0000000000002"/>
        <w:gridCol w:w="1780.0000000000002"/>
        <w:gridCol w:w="1780.0000000000002"/>
        <w:gridCol w:w="1780.0000000000002"/>
        <w:tblGridChange w:id="0">
          <w:tblGrid>
            <w:gridCol w:w="1780.0000000000002"/>
            <w:gridCol w:w="1780.0000000000002"/>
            <w:gridCol w:w="1780.0000000000002"/>
            <w:gridCol w:w="1780.0000000000002"/>
            <w:gridCol w:w="1780.0000000000002"/>
            <w:gridCol w:w="1780.0000000000002"/>
          </w:tblGrid>
        </w:tblGridChange>
      </w:tblGrid>
      <w:tr>
        <w:trPr>
          <w:cantSplit w:val="0"/>
          <w:trHeight w:val="720.628913844025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Conjunto de teste no Fold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Acurácia (%)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Média da Acurácia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Desvio-padrão (σ)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da Acurácia</w:t>
            </w:r>
          </w:p>
        </w:tc>
        <w:tc>
          <w:tcPr>
            <w:shd w:fill="274e1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color w:val="ffffff"/>
                <w:sz w:val="16"/>
                <w:szCs w:val="16"/>
                <w:rtl w:val="0"/>
              </w:rPr>
              <w:t xml:space="preserve">Tempo de treino (s) / Tempo de predição (s)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restart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Imagens de grãos de arroz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não-alinhados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93.60%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2.332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5.88 / 0.19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94.00%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6.39 / 0.20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5.99 / 0.17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92.00%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6.38 / 0.18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90.00%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5.91 / 0.16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Imagens de grãos de arroz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alinhados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1.2649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21.57 / 0.42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98.00%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5.14 / 0.20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5.20 / 0.18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94.00%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5.86 / 0.17</w:t>
            </w:r>
          </w:p>
        </w:tc>
      </w:tr>
      <w:tr>
        <w:trPr>
          <w:cantSplit w:val="0"/>
          <w:trHeight w:val="372.6167961155974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96.00%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6.12 /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0.17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Poucos erros foram encontrados, como na S3-alin.cnn, que contém apenas 3 erros de classificação.</w:t>
      </w:r>
    </w:p>
    <w:p w:rsidR="00000000" w:rsidDel="00000000" w:rsidP="00000000" w:rsidRDefault="00000000" w:rsidRPr="00000000" w14:paraId="0000009F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5. Conclusões</w:t>
      </w:r>
    </w:p>
    <w:p w:rsidR="00000000" w:rsidDel="00000000" w:rsidP="00000000" w:rsidRDefault="00000000" w:rsidRPr="00000000" w14:paraId="000000A1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Realizar o alinhamento das imagens aumentou significativamente a acurácia final registrada. A diferença obtida só não foi maior porque o conjunto de teste é de apenas 50 imagens e, portanto, 1 único erro de classificação pode reduzir o </w:t>
      </w:r>
      <w:r w:rsidDel="00000000" w:rsidR="00000000" w:rsidRPr="00000000">
        <w:rPr>
          <w:i w:val="1"/>
          <w:color w:val="434343"/>
          <w:rtl w:val="0"/>
        </w:rPr>
        <w:t xml:space="preserve">score </w:t>
      </w:r>
      <w:r w:rsidDel="00000000" w:rsidR="00000000" w:rsidRPr="00000000">
        <w:rPr>
          <w:color w:val="434343"/>
          <w:rtl w:val="0"/>
        </w:rPr>
        <w:t xml:space="preserve">em 2%. Porém, ao realizar vários treinamentos para testar os diferentes modelos, foi possível constatar que os modelos de grãos alinhados são mais robustos. Praticamente sempre alcançam uma acurácia maior que 90%, enquanto os modelos para grãos alinhados chegaram a alcançar até ~70%. </w:t>
      </w:r>
    </w:p>
    <w:p w:rsidR="00000000" w:rsidDel="00000000" w:rsidP="00000000" w:rsidRDefault="00000000" w:rsidRPr="00000000" w14:paraId="000000A2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 tempo de treino e predição permaneceram bem semelhantes entre os 2 tipos de alinhamentos de grãos, então caso se tratasse de uma aplicação em tempo real, o tempo gasto para alinhar os grãos talvez não fosse interessante.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6. Referências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[1] 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PSI-3471: Fundamentos de Sistemas Eletrônicos Inteligentes Primeiro semestre de 2023 Exercício-programa Prof. Hae Data de entr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[2] </w:t>
      </w: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Binary Image Orientation - Stack Overflow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[3] </w:t>
      </w: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Image Thresholding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[4] </w:t>
      </w: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Transformações geométricas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[5] </w:t>
      </w:r>
      <w:hyperlink r:id="rId2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how to download zip file from google Drive to colab - Stack Overflow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[6] </w:t>
      </w:r>
      <w:hyperlink r:id="rId2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One-hot-encoding, o que é? | 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[7] </w:t>
      </w:r>
      <w:hyperlink r:id="rId2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Rede neural convolucional (CNN) em Tensorflow/Keras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[8] </w:t>
      </w:r>
      <w:hyperlink r:id="rId2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Cross Validation: Avaliando seu modelo de Machine Learning | by Eduardo Braz Rabello | 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0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ckoverflow.com/questions/14720722/binary-image-orientation" TargetMode="External"/><Relationship Id="rId22" Type="http://schemas.openxmlformats.org/officeDocument/2006/relationships/hyperlink" Target="http://www.lps.usp.br/hae/apostila/transgeo-ead.pdf" TargetMode="External"/><Relationship Id="rId21" Type="http://schemas.openxmlformats.org/officeDocument/2006/relationships/hyperlink" Target="https://docs.opencv.org/4.x/d7/d4d/tutorial_py_thresholding.html" TargetMode="External"/><Relationship Id="rId24" Type="http://schemas.openxmlformats.org/officeDocument/2006/relationships/hyperlink" Target="https://arthurlambletvaz.medium.com/one-hot-encoding-o-que-%C3%A9-cd2e8d302ae0" TargetMode="External"/><Relationship Id="rId23" Type="http://schemas.openxmlformats.org/officeDocument/2006/relationships/hyperlink" Target="https://stackoverflow.com/questions/73372733/how-to-download-zip-file-from-google-drive-to-cola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medium.com/@edubrazrabello/cross-validation-avaliando-seu-modelo-de-machine-learning-1fb70df15b78" TargetMode="External"/><Relationship Id="rId25" Type="http://schemas.openxmlformats.org/officeDocument/2006/relationships/hyperlink" Target="http://www.lps.usp.br/hae/apostila/convkeras-ead.pdf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11" Type="http://schemas.openxmlformats.org/officeDocument/2006/relationships/hyperlink" Target="https://colab.research.google.com/drive/11X2EUFx5Am3aqYTG1ChW-wBVcmUfneHc#scrollTo=ts20aiZh_1vb" TargetMode="External"/><Relationship Id="rId10" Type="http://schemas.openxmlformats.org/officeDocument/2006/relationships/image" Target="media/image8.png"/><Relationship Id="rId13" Type="http://schemas.openxmlformats.org/officeDocument/2006/relationships/hyperlink" Target="https://drive.google.com/uc?export=download&amp;id=1oJbH7442_bJxtO1KO0iz7NqBbqYxk7B6" TargetMode="External"/><Relationship Id="rId12" Type="http://schemas.openxmlformats.org/officeDocument/2006/relationships/hyperlink" Target="https://colab.research.google.com/drive/1u5u5b2_G9R-PCUa_cdI3KMkm-jARkQGt#scrollTo=ts20aiZh_1vb&amp;uniqifier=3" TargetMode="External"/><Relationship Id="rId15" Type="http://schemas.openxmlformats.org/officeDocument/2006/relationships/image" Target="media/image6.jpg"/><Relationship Id="rId14" Type="http://schemas.openxmlformats.org/officeDocument/2006/relationships/hyperlink" Target="http://www.lps.usp.br/hae/software/cekeikon56.html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hyperlink" Target="http://www.lps.usp.br/hae/psi3471/ep1-2023/ep.pdf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