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b/>
          <w:color w:val="1D3557"/>
          <w:sz w:val="32"/>
        </w:rPr>
        <w:t>CONTRACT DE PRESTĂRI SERVICII</w:t>
        <w:br/>
        <w:t>Nr. 2 / 14.08.2026</w:t>
      </w:r>
    </w:p>
    <w:p>
      <w:pPr>
        <w:keepNext/>
        <w:spacing w:before="280" w:after="120"/>
      </w:pPr>
      <w:r>
        <w:rPr>
          <w:b/>
          <w:color w:val="1D3557"/>
          <w:sz w:val="24"/>
        </w:rPr>
        <w:t>I. Părțile contractante</w:t>
      </w:r>
    </w:p>
    <w:p>
      <w:pPr>
        <w:spacing w:after="80"/>
      </w:pPr>
      <w:r>
        <w:rPr>
          <w:b/>
        </w:rPr>
        <w:t xml:space="preserve">Prestator: </w:t>
      </w:r>
      <w:r>
        <w:t>TURLIU CEZAR-MIHAI, persoană fizică, domiciliat în Constanța, identificat cu CNP 5041015133911, denumit în continuare „Prestator”.</w:t>
      </w:r>
    </w:p>
    <w:p>
      <w:pPr>
        <w:spacing w:after="160"/>
      </w:pPr>
      <w:r>
        <w:rPr>
          <w:b/>
        </w:rPr>
        <w:t xml:space="preserve">Beneficiar: </w:t>
      </w:r>
      <w:r>
        <w:t>[Nume / Denumire Beneficiar]</w:t>
      </w:r>
    </w:p>
    <w:p>
      <w:pPr>
        <w:keepNext/>
        <w:spacing w:before="280" w:after="120"/>
      </w:pPr>
      <w:r>
        <w:rPr>
          <w:b/>
          <w:color w:val="1D3557"/>
          <w:sz w:val="24"/>
        </w:rPr>
        <w:t>II. Obiectul contractului</w:t>
      </w:r>
    </w:p>
    <w:p>
      <w:pPr>
        <w:spacing w:after="160"/>
      </w:pPr>
      <w:r>
        <w:t>Obiectul contractului îl constituie prestarea de servicii de dezvoltare software, respectiv publicarea dashboardului sub formă de aplicație mobilă folosind Capacitor.</w:t>
      </w:r>
    </w:p>
    <w:p>
      <w:pPr>
        <w:keepNext/>
        <w:spacing w:before="280" w:after="120"/>
      </w:pPr>
      <w:r>
        <w:rPr>
          <w:b/>
          <w:color w:val="1D3557"/>
          <w:sz w:val="24"/>
        </w:rPr>
        <w:t>III. Durata contractului</w:t>
      </w:r>
    </w:p>
    <w:p>
      <w:pPr>
        <w:spacing w:after="80"/>
      </w:pPr>
      <w:r>
        <w:t xml:space="preserve">Contractul se încheie pentru perioada </w:t>
      </w:r>
      <w:r>
        <w:rPr>
          <w:b/>
        </w:rPr>
        <w:t>14.08.2026 – 21.08.2026</w:t>
      </w:r>
      <w:r>
        <w:t>.</w:t>
      </w:r>
    </w:p>
    <w:p>
      <w:pPr>
        <w:spacing w:after="160"/>
      </w:pPr>
      <w:r>
        <w:t>Contractul poate fi prelungit prin acordul scris al ambelor părți.</w:t>
      </w:r>
    </w:p>
    <w:p>
      <w:pPr>
        <w:keepNext/>
        <w:spacing w:before="280" w:after="120"/>
      </w:pPr>
      <w:r>
        <w:rPr>
          <w:b/>
          <w:color w:val="1D3557"/>
          <w:sz w:val="24"/>
        </w:rPr>
        <w:t>IV. Prețul contractului și modalitatea de plată</w:t>
      </w:r>
    </w:p>
    <w:p>
      <w:pPr>
        <w:spacing w:after="80"/>
      </w:pPr>
      <w:r>
        <w:rPr>
          <w:b/>
        </w:rPr>
        <w:t xml:space="preserve">4.1. </w:t>
      </w:r>
      <w:r>
        <w:t>Serviciile prestate și tarifele aferente sunt următoarele:</w:t>
      </w:r>
    </w:p>
    <w:p>
      <w:pPr>
        <w:pStyle w:val="ListBullet"/>
        <w:spacing w:after="40"/>
      </w:pPr>
      <w:r>
        <w:t>Publicarea dashboardului sub formă de aplicație mobilă folosind Capacitor – plată într-o singură tranșă.</w:t>
      </w:r>
    </w:p>
    <w:p>
      <w:pPr>
        <w:pStyle w:val="ListBullet"/>
        <w:spacing w:after="120"/>
      </w:pPr>
      <w:r>
        <w:rPr>
          <w:b/>
        </w:rPr>
        <w:t>Total: 100 euro (sumă brută)</w:t>
      </w:r>
    </w:p>
    <w:p>
      <w:pPr>
        <w:spacing w:after="80"/>
      </w:pPr>
      <w:r>
        <w:rPr>
          <w:b/>
        </w:rPr>
        <w:t xml:space="preserve">4.2. </w:t>
      </w:r>
      <w:r>
        <w:t>Plata se va efectua în lei, prin transfer bancar în contul Prestatorului.</w:t>
      </w:r>
    </w:p>
    <w:p>
      <w:pPr>
        <w:spacing w:after="160"/>
      </w:pPr>
      <w:r>
        <w:rPr>
          <w:b/>
        </w:rPr>
        <w:t xml:space="preserve">4.3. </w:t>
      </w:r>
      <w:r>
        <w:t>Conversia din euro în lei se va face la cursul de schimb BNR din ziua efectuării plății.</w:t>
      </w:r>
    </w:p>
    <w:p>
      <w:pPr>
        <w:keepNext/>
        <w:spacing w:before="280" w:after="120"/>
      </w:pPr>
      <w:r>
        <w:rPr>
          <w:b/>
          <w:color w:val="1D3557"/>
          <w:sz w:val="24"/>
        </w:rPr>
        <w:t>V. Obligațiile Prestatorului</w:t>
      </w:r>
    </w:p>
    <w:p>
      <w:pPr>
        <w:pStyle w:val="ListBullet"/>
        <w:spacing w:after="40"/>
      </w:pPr>
      <w:r>
        <w:t>să presteze serviciile conform cerințelor Beneficiarului</w:t>
      </w:r>
    </w:p>
    <w:p>
      <w:pPr>
        <w:pStyle w:val="ListBullet"/>
        <w:spacing w:after="40"/>
      </w:pPr>
      <w:r>
        <w:t>să respecte termenele stabilite de comun acord</w:t>
      </w:r>
    </w:p>
    <w:p>
      <w:pPr>
        <w:pStyle w:val="ListBullet"/>
        <w:spacing w:after="40"/>
      </w:pPr>
      <w:r>
        <w:t>să predea rezultatul muncii (cod, aplicație, update-uri etc.)</w:t>
      </w:r>
    </w:p>
    <w:p>
      <w:pPr>
        <w:pStyle w:val="ListBullet"/>
        <w:spacing w:after="40"/>
      </w:pPr>
      <w:r>
        <w:t>să păstreze confidențialitatea informațiilor primite</w:t>
      </w:r>
    </w:p>
    <w:p>
      <w:pPr>
        <w:keepNext/>
        <w:spacing w:before="280" w:after="120"/>
      </w:pPr>
      <w:r>
        <w:rPr>
          <w:b/>
          <w:color w:val="1D3557"/>
          <w:sz w:val="24"/>
        </w:rPr>
        <w:t>VI. Obligațiile Beneficiarului</w:t>
      </w:r>
    </w:p>
    <w:p>
      <w:pPr>
        <w:pStyle w:val="ListBullet"/>
        <w:spacing w:after="40"/>
      </w:pPr>
      <w:r>
        <w:t>să pună la dispoziție informațiile necesare realizării proiectului</w:t>
      </w:r>
    </w:p>
    <w:p>
      <w:pPr>
        <w:pStyle w:val="ListBullet"/>
        <w:spacing w:after="40"/>
      </w:pPr>
      <w:r>
        <w:t>să achite contravaloarea serviciilor conform contractului</w:t>
      </w:r>
    </w:p>
    <w:p>
      <w:pPr>
        <w:pStyle w:val="ListBullet"/>
        <w:spacing w:after="40"/>
      </w:pPr>
      <w:r>
        <w:t>să rețină și să vireze impozitul conform legii</w:t>
      </w:r>
    </w:p>
    <w:p>
      <w:pPr>
        <w:keepNext/>
        <w:spacing w:before="280" w:after="120"/>
      </w:pPr>
      <w:r>
        <w:rPr>
          <w:b/>
          <w:color w:val="1D3557"/>
          <w:sz w:val="24"/>
        </w:rPr>
        <w:t>VII. Confidențialitate</w:t>
      </w:r>
    </w:p>
    <w:p>
      <w:pPr>
        <w:spacing w:after="160"/>
      </w:pPr>
      <w:r>
        <w:t>Părțile se obligă să păstreze confidențialitatea asupra tuturor informațiilor și datelor la care au acces pe durata contractului și după încetarea acestuia.</w:t>
      </w:r>
    </w:p>
    <w:p>
      <w:pPr>
        <w:keepNext/>
        <w:spacing w:before="280" w:after="120"/>
      </w:pPr>
      <w:r>
        <w:rPr>
          <w:b/>
          <w:color w:val="1D3557"/>
          <w:sz w:val="24"/>
        </w:rPr>
        <w:t>VIII. Încetarea contractului</w:t>
      </w:r>
    </w:p>
    <w:p>
      <w:pPr>
        <w:spacing w:after="80"/>
      </w:pPr>
      <w:r>
        <w:t>Contractul poate înceta:</w:t>
      </w:r>
    </w:p>
    <w:p>
      <w:pPr>
        <w:pStyle w:val="ListBullet"/>
        <w:spacing w:after="40"/>
      </w:pPr>
      <w:r>
        <w:t>prin acordul părților</w:t>
      </w:r>
    </w:p>
    <w:p>
      <w:pPr>
        <w:pStyle w:val="ListBullet"/>
        <w:spacing w:after="40"/>
      </w:pPr>
      <w:r>
        <w:t>la expirarea duratei</w:t>
      </w:r>
    </w:p>
    <w:p>
      <w:pPr>
        <w:pStyle w:val="ListBullet"/>
        <w:spacing w:after="40"/>
      </w:pPr>
      <w:r>
        <w:t>unilateral, cu notificare scrisă transmisă cu 15 zile înainte</w:t>
      </w:r>
    </w:p>
    <w:p>
      <w:pPr>
        <w:keepNext/>
        <w:spacing w:before="280" w:after="120"/>
      </w:pPr>
      <w:r>
        <w:rPr>
          <w:b/>
          <w:color w:val="1D3557"/>
          <w:sz w:val="24"/>
        </w:rPr>
        <w:t>IX. Litigii</w:t>
      </w:r>
    </w:p>
    <w:p>
      <w:pPr>
        <w:spacing w:after="160"/>
      </w:pPr>
      <w:r>
        <w:t>Eventualele litigii vor fi soluționate pe cale amiabilă, iar în caz contrar de către instanțele competente din România.</w:t>
      </w:r>
    </w:p>
    <w:p>
      <w:pPr>
        <w:keepNext/>
        <w:spacing w:before="280" w:after="120"/>
      </w:pPr>
      <w:r>
        <w:rPr>
          <w:b/>
          <w:color w:val="1D3557"/>
          <w:sz w:val="24"/>
        </w:rPr>
        <w:t>X. Drepturi de autor și cesiunea drepturilor</w:t>
      </w:r>
    </w:p>
    <w:p>
      <w:pPr>
        <w:spacing w:after="80"/>
      </w:pPr>
      <w:r>
        <w:rPr>
          <w:b/>
        </w:rPr>
        <w:t xml:space="preserve">10.1. </w:t>
      </w:r>
      <w:r>
        <w:t>Prestatorul declară că toate materialele realizate (inclusiv cod sursă, funcționalități, baze de date, interfețe și documentație) sunt originale și nu încalcă drepturile unor terți.</w:t>
      </w:r>
    </w:p>
    <w:p>
      <w:pPr>
        <w:spacing w:after="80"/>
      </w:pPr>
      <w:r>
        <w:rPr>
          <w:b/>
        </w:rPr>
        <w:t xml:space="preserve">10.2. </w:t>
      </w:r>
      <w:r>
        <w:t>Prestatorul cesionează către Beneficiar, în mod exclusiv, toate drepturile patrimoniale de autor asupra lucrărilor realizate în baza prezentului contract.</w:t>
      </w:r>
    </w:p>
    <w:p>
      <w:pPr>
        <w:spacing w:after="80"/>
      </w:pPr>
      <w:r>
        <w:rPr>
          <w:b/>
        </w:rPr>
        <w:t xml:space="preserve">10.3. </w:t>
      </w:r>
      <w:r>
        <w:t>Cesiunea include dreptul de utilizare, modificare, distribuire, publicare, comercializare și integrare în alte produse sau servicii.</w:t>
      </w:r>
    </w:p>
    <w:p>
      <w:pPr>
        <w:spacing w:after="80"/>
      </w:pPr>
      <w:r>
        <w:rPr>
          <w:b/>
        </w:rPr>
        <w:t xml:space="preserve">10.4. </w:t>
      </w:r>
      <w:r>
        <w:t>Cesiunea este exclusivă, nelimitată teritorial și pe toată durata de protecție a drepturilor de autor.</w:t>
      </w:r>
    </w:p>
    <w:p>
      <w:pPr>
        <w:spacing w:after="80"/>
      </w:pPr>
      <w:r>
        <w:rPr>
          <w:b/>
        </w:rPr>
        <w:t xml:space="preserve">10.5. </w:t>
      </w:r>
      <w:r>
        <w:t>Drepturile se transferă către Beneficiar la data achitării integrale a contravalorii serviciilor.</w:t>
      </w:r>
    </w:p>
    <w:p>
      <w:pPr>
        <w:spacing w:after="80"/>
      </w:pPr>
      <w:r>
        <w:rPr>
          <w:b/>
        </w:rPr>
        <w:t xml:space="preserve">10.6. </w:t>
      </w:r>
      <w:r>
        <w:t>Prestatorul renunță la orice pretenții ulterioare privind utilizarea sau comercializarea aplicației.</w:t>
      </w:r>
    </w:p>
    <w:p>
      <w:pPr>
        <w:spacing w:after="80"/>
      </w:pPr>
      <w:r>
        <w:rPr>
          <w:b/>
        </w:rPr>
        <w:t xml:space="preserve">10.7. </w:t>
      </w:r>
      <w:r>
        <w:t>Prestatorul poate menționa proiectul în portofoliu, fără a divulga informații confidențiale.</w:t>
      </w:r>
    </w:p>
    <w:p>
      <w:pPr>
        <w:spacing w:after="80"/>
      </w:pPr>
      <w:r>
        <w:rPr>
          <w:b/>
        </w:rPr>
        <w:t xml:space="preserve">10.8. </w:t>
      </w:r>
      <w:r>
        <w:t>Remunerația pentru cesiunea drepturilor este inclusă în prețul total al contractului.</w:t>
      </w:r>
    </w:p>
    <w:p>
      <w:pPr>
        <w:keepNext/>
        <w:spacing w:before="280" w:after="120"/>
      </w:pPr>
      <w:r>
        <w:rPr>
          <w:b/>
          <w:color w:val="1D3557"/>
          <w:sz w:val="24"/>
        </w:rPr>
        <w:t>XI. Dispoziții finale</w:t>
      </w:r>
    </w:p>
    <w:p>
      <w:pPr>
        <w:spacing w:after="400"/>
      </w:pPr>
      <w:r>
        <w:t>Prezentul contract a fost încheiat astăzi, 14.08.2026, în două exemplare, câte unul pentru fiecare parte.</w:t>
      </w:r>
    </w:p>
    <w:p>
      <w:pPr>
        <w:keepNext/>
        <w:spacing w:before="4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</w:tcPr>
          <w:p>
            <w:r>
              <w:rPr>
                <w:b/>
              </w:rPr>
              <w:t>Beneficiar:</w:t>
              <w:br/>
            </w:r>
            <w:r>
              <w:t>[Nume / Denumire Beneficiar]</w:t>
              <w:br/>
              <w:br/>
              <w:t>Semnătură: ___________________</w:t>
            </w:r>
          </w:p>
        </w:tc>
        <w:tc>
          <w:tcPr>
            <w:tcW w:type="dxa" w:w="4608"/>
          </w:tcPr>
          <w:p>
            <w:r>
              <w:rPr>
                <w:b/>
              </w:rPr>
              <w:t>Prestator:</w:t>
              <w:br/>
            </w:r>
            <w:r>
              <w:t>TURLIU CEZAR-MIHAI</w:t>
              <w:br/>
              <w:br/>
              <w:t>Semnătură: ___________________</w:t>
            </w:r>
          </w:p>
        </w:tc>
      </w:tr>
      <w:tr>
        <w:tc>
          <w:tcPr>
            <w:tcW w:type="dxa" w:w="4608"/>
          </w:tcPr>
          <w:p/>
        </w:tc>
        <w:tc>
          <w:tcPr>
            <w:tcW w:type="dxa" w:w="4608"/>
          </w:tcPr>
          <w:p/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D4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