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05pt;height:169.9pt" o:ole="">
            <v:imagedata r:id="rId8" o:title=""/>
          </v:shape>
          <o:OLEObject Type="Embed" ProgID="Visio.Drawing.15" ShapeID="_x0000_i1025" DrawAspect="Content" ObjectID="_1536315884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790C40" w:rsidRDefault="00790C40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A65A79" w:rsidRDefault="00A24525" w:rsidP="00790C40">
      <w:pPr>
        <w:spacing w:after="0"/>
        <w:jc w:val="right"/>
        <w:rPr>
          <w:sz w:val="32"/>
          <w:szCs w:val="32"/>
        </w:rPr>
      </w:pPr>
      <w:r w:rsidRPr="00A65A79">
        <w:rPr>
          <w:sz w:val="32"/>
          <w:szCs w:val="32"/>
        </w:rPr>
        <w:t>Дробанов А.Ф.</w:t>
      </w:r>
    </w:p>
    <w:p w:rsidR="00ED3F4B" w:rsidRPr="00A65A79" w:rsidRDefault="00790C40" w:rsidP="00A24525">
      <w:pPr>
        <w:jc w:val="right"/>
        <w:rPr>
          <w:b/>
          <w:i/>
          <w:sz w:val="28"/>
          <w:szCs w:val="32"/>
        </w:rPr>
      </w:pPr>
      <w:bookmarkStart w:id="0" w:name="_GoBack"/>
      <w:bookmarkEnd w:id="0"/>
      <w:r w:rsidRPr="00A65A79">
        <w:rPr>
          <w:b/>
          <w:i/>
          <w:sz w:val="28"/>
          <w:szCs w:val="32"/>
        </w:rPr>
        <w:t>25</w:t>
      </w:r>
      <w:r w:rsidR="00ED3F4B" w:rsidRPr="00A65A79">
        <w:rPr>
          <w:b/>
          <w:i/>
          <w:sz w:val="28"/>
          <w:szCs w:val="32"/>
        </w:rPr>
        <w:t>.09.2016</w:t>
      </w:r>
    </w:p>
    <w:p w:rsidR="00A24525" w:rsidRPr="00A65A79" w:rsidRDefault="00A24525" w:rsidP="00A24525">
      <w:pPr>
        <w:jc w:val="center"/>
      </w:pPr>
    </w:p>
    <w:p w:rsidR="000A55D0" w:rsidRPr="00A65A79" w:rsidRDefault="000A55D0" w:rsidP="00A24525">
      <w:pPr>
        <w:jc w:val="center"/>
      </w:pPr>
    </w:p>
    <w:p w:rsidR="00CC0054" w:rsidRPr="00A65A79" w:rsidRDefault="00CC0054" w:rsidP="00A24525">
      <w:pPr>
        <w:jc w:val="center"/>
      </w:pPr>
    </w:p>
    <w:p w:rsidR="00FE4653" w:rsidRPr="00A65A79" w:rsidRDefault="00FE4653" w:rsidP="00A24525">
      <w:pPr>
        <w:jc w:val="center"/>
      </w:pPr>
    </w:p>
    <w:p w:rsidR="00A24525" w:rsidRPr="00A65A79" w:rsidRDefault="00A24525" w:rsidP="00A24525">
      <w:pPr>
        <w:jc w:val="center"/>
      </w:pPr>
    </w:p>
    <w:p w:rsidR="00EC6917" w:rsidRPr="00A65A79" w:rsidRDefault="00981D9F" w:rsidP="00EC6917">
      <w:pPr>
        <w:spacing w:after="0" w:line="240" w:lineRule="auto"/>
        <w:jc w:val="center"/>
        <w:rPr>
          <w:b/>
          <w:sz w:val="32"/>
          <w:szCs w:val="32"/>
        </w:rPr>
      </w:pPr>
      <w:r w:rsidRPr="00A65A79">
        <w:rPr>
          <w:b/>
          <w:sz w:val="32"/>
          <w:szCs w:val="32"/>
        </w:rPr>
        <w:t xml:space="preserve">г. </w:t>
      </w:r>
      <w:r w:rsidR="00EC6917" w:rsidRPr="00A65A79">
        <w:rPr>
          <w:b/>
          <w:sz w:val="32"/>
          <w:szCs w:val="32"/>
        </w:rPr>
        <w:t>Череповец</w:t>
      </w:r>
    </w:p>
    <w:p w:rsidR="00966A51" w:rsidRPr="00A65A79" w:rsidRDefault="00EC6917" w:rsidP="00966A51">
      <w:pPr>
        <w:spacing w:after="0" w:line="240" w:lineRule="auto"/>
        <w:jc w:val="center"/>
        <w:rPr>
          <w:b/>
          <w:sz w:val="32"/>
          <w:szCs w:val="32"/>
        </w:rPr>
      </w:pPr>
      <w:r w:rsidRPr="00A65A79">
        <w:rPr>
          <w:b/>
          <w:sz w:val="32"/>
          <w:szCs w:val="32"/>
        </w:rPr>
        <w:t>2016</w:t>
      </w:r>
    </w:p>
    <w:p w:rsidR="009A1D95" w:rsidRPr="009A1D95" w:rsidRDefault="009A1D95" w:rsidP="009A1D95"/>
    <w:p w:rsidR="009F2924" w:rsidRDefault="0061497D" w:rsidP="00762514">
      <w:pPr>
        <w:ind w:left="426"/>
        <w:jc w:val="center"/>
        <w:rPr>
          <w:sz w:val="32"/>
          <w:szCs w:val="32"/>
        </w:rPr>
      </w:pPr>
      <w:r>
        <w:object w:dxaOrig="8910" w:dyaOrig="5985">
          <v:shape id="_x0000_i1026" type="#_x0000_t75" style="width:385.9pt;height:259.2pt" o:ole="">
            <v:imagedata r:id="rId10" o:title=""/>
          </v:shape>
          <o:OLEObject Type="Embed" ProgID="Visio.Drawing.15" ShapeID="_x0000_i1026" DrawAspect="Content" ObjectID="_1536315885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  <w:r w:rsidRPr="0062240A">
        <w:rPr>
          <w:sz w:val="24"/>
          <w:szCs w:val="24"/>
        </w:rPr>
        <w:t>.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7" type="#_x0000_t75" style="width:351.95pt;height:358.25pt" o:ole="">
            <v:imagedata r:id="rId12" o:title=""/>
          </v:shape>
          <o:OLEObject Type="Embed" ProgID="Visio.Drawing.15" ShapeID="_x0000_i1027" DrawAspect="Content" ObjectID="_1536315886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  <w:r w:rsidRPr="0062240A">
        <w:rPr>
          <w:sz w:val="24"/>
          <w:szCs w:val="24"/>
        </w:rPr>
        <w:t>.</w:t>
      </w:r>
    </w:p>
    <w:p w:rsidR="00C004BA" w:rsidRPr="008D4C74" w:rsidRDefault="007F6A3E" w:rsidP="00C004BA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1 </w:t>
      </w:r>
      <w:r w:rsidR="00C004BA" w:rsidRPr="008D4C74">
        <w:rPr>
          <w:b/>
          <w:sz w:val="28"/>
          <w:szCs w:val="28"/>
        </w:rPr>
        <w:t>Этапы обработки сигнала</w:t>
      </w:r>
    </w:p>
    <w:p w:rsidR="00C004BA" w:rsidRDefault="00C004BA" w:rsidP="00025E09">
      <w:pPr>
        <w:pStyle w:val="3"/>
        <w:rPr>
          <w:b/>
        </w:rPr>
      </w:pP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1.1 </w:t>
      </w:r>
      <w:r w:rsidR="00015E11" w:rsidRPr="00BC1D88">
        <w:rPr>
          <w:b/>
          <w:color w:val="2E74B5" w:themeColor="accent1" w:themeShade="BF"/>
        </w:rPr>
        <w:t>Генератор синуса</w:t>
      </w:r>
    </w:p>
    <w:p w:rsidR="00566CDE" w:rsidRPr="00566CDE" w:rsidRDefault="00566CDE" w:rsidP="0002284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частотой синуса 21 кГц, который выводится звуковым устройством на колонки и формирует в области расположения микрофона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1.2 </w:t>
      </w:r>
      <w:r w:rsidR="00015E11" w:rsidRPr="00BC1D88">
        <w:rPr>
          <w:b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BC1D88" w:rsidRDefault="00C004BA" w:rsidP="00B975A6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1.3 </w:t>
      </w:r>
      <w:r w:rsidR="00015E11" w:rsidRPr="00BC1D88">
        <w:rPr>
          <w:b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BC1D88" w:rsidRDefault="00C004BA" w:rsidP="0031014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1.4 </w:t>
      </w:r>
      <w:r w:rsidR="00015E11" w:rsidRPr="00BC1D88">
        <w:rPr>
          <w:b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BC1D88" w:rsidRDefault="00C004BA" w:rsidP="0073653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1.5 </w:t>
      </w:r>
      <w:r w:rsidR="00736535" w:rsidRPr="00BC1D88">
        <w:rPr>
          <w:b/>
          <w:color w:val="2E74B5" w:themeColor="accent1" w:themeShade="BF"/>
        </w:rPr>
        <w:t>Усиление</w:t>
      </w:r>
      <w:r w:rsidR="00015E11" w:rsidRPr="00BC1D88">
        <w:rPr>
          <w:b/>
          <w:color w:val="2E74B5" w:themeColor="accent1" w:themeShade="BF"/>
        </w:rPr>
        <w:t xml:space="preserve"> с АРУ + вычисление порога шума</w:t>
      </w:r>
    </w:p>
    <w:p w:rsidR="008135F2" w:rsidRDefault="00736535" w:rsidP="00022848">
      <w:pPr>
        <w:spacing w:before="120"/>
        <w:ind w:firstLine="709"/>
        <w:jc w:val="both"/>
      </w:pPr>
      <w:r>
        <w:t xml:space="preserve">В центральной частоте («несущая»)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proofErr w:type="gramStart"/>
      <w:r w:rsidR="005A1DF5" w:rsidRPr="00B66A39">
        <w:rPr>
          <w:lang w:val="en-US"/>
        </w:rPr>
        <w:t>MAX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BC1D88" w:rsidRDefault="00802556" w:rsidP="00DD4268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1.6 </w:t>
      </w:r>
      <w:r w:rsidR="00DD4268" w:rsidRPr="00BC1D88">
        <w:rPr>
          <w:b/>
          <w:color w:val="2E74B5" w:themeColor="accent1" w:themeShade="BF"/>
        </w:rPr>
        <w:t>Шумоподавление с пе</w:t>
      </w:r>
      <w:r w:rsidR="00015E11" w:rsidRPr="00BC1D88">
        <w:rPr>
          <w:b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>Данные переводятся в формат «</w:t>
      </w:r>
      <w:r>
        <w:rPr>
          <w:lang w:val="en-US"/>
        </w:rPr>
        <w:t>dB</w:t>
      </w:r>
      <w:r>
        <w:t xml:space="preserve">», на основе передаваемого уровня «0 </w:t>
      </w:r>
      <w:r>
        <w:rPr>
          <w:lang w:val="en-US"/>
        </w:rPr>
        <w:t>dB</w:t>
      </w:r>
      <w:r>
        <w:t xml:space="preserve">», значения ниже порога заменяются значением </w:t>
      </w:r>
      <w:r>
        <w:rPr>
          <w:lang w:val="en-US"/>
        </w:rPr>
        <w:t>Double</w:t>
      </w:r>
      <w:r>
        <w:t>, численно соответствующим «–∞».</w:t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A52FAC" w:rsidRDefault="000E4404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  <w:r w:rsidRPr="00A52FAC">
        <w:rPr>
          <w:b/>
          <w:color w:val="2E74B5" w:themeColor="accent1" w:themeShade="BF"/>
          <w:sz w:val="24"/>
          <w:szCs w:val="24"/>
        </w:rPr>
        <w:lastRenderedPageBreak/>
        <w:t xml:space="preserve">1.7 </w:t>
      </w:r>
      <w:r w:rsidR="007D2BE3" w:rsidRPr="00A52FAC">
        <w:rPr>
          <w:b/>
          <w:color w:val="2E74B5" w:themeColor="accent1" w:themeShade="BF"/>
          <w:sz w:val="24"/>
          <w:szCs w:val="24"/>
        </w:rPr>
        <w:t>Доплер</w:t>
      </w:r>
      <w:r w:rsidR="00345810" w:rsidRPr="00A52FAC">
        <w:rPr>
          <w:b/>
          <w:color w:val="2E74B5" w:themeColor="accent1" w:themeShade="BF"/>
          <w:sz w:val="24"/>
          <w:szCs w:val="24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«торможения». То есть 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низкой энергии. Для предотвращения случайного отсечения полезного сигнала алгоритм фильтрации допускает </w:t>
      </w:r>
      <w:r w:rsidR="00F30530">
        <w:t>определенное количество низких</w:t>
      </w:r>
      <w:r w:rsidR="00F648E0">
        <w:t xml:space="preserve"> </w:t>
      </w:r>
      <w:r w:rsidR="00F30530">
        <w:t xml:space="preserve">по уровню </w:t>
      </w:r>
      <w:r w:rsidR="00F648E0">
        <w:t>атомарных значений на пути от «ствола»</w:t>
      </w:r>
      <w:r w:rsidR="00596C0D">
        <w:t xml:space="preserve"> к «ветке»</w:t>
      </w:r>
      <w:r w:rsidR="001C4AA1">
        <w:t xml:space="preserve"> («низкие» атомарные значения формируются участками подавленного на предыдущем этапе обработки шума)</w:t>
      </w:r>
      <w:r w:rsidR="00F648E0">
        <w:t>.</w:t>
      </w:r>
    </w:p>
    <w:p w:rsidR="007D2BE3" w:rsidRPr="00BC1D88" w:rsidRDefault="000E4404" w:rsidP="007D2BE3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1.8 </w:t>
      </w:r>
      <w:r w:rsidR="00AF731D" w:rsidRPr="00BC1D88">
        <w:rPr>
          <w:b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980060" w:rsidRPr="00980060" w:rsidRDefault="00980060" w:rsidP="007C3FF9">
      <w:pPr>
        <w:jc w:val="both"/>
      </w:pPr>
      <w:r w:rsidRPr="00A00EBE">
        <w:tab/>
      </w:r>
      <w:r>
        <w:t>При необходим</w:t>
      </w:r>
      <w:r w:rsidR="000C74A1">
        <w:t xml:space="preserve">ости визуального представления </w:t>
      </w:r>
      <w:r>
        <w:t>«водопад» раскрашивается в соответствии с выбранной палитрой, формируется «разметка» границ, по левой и правой границам «водопада» отображаются временные участки обнаружения «доплеровских» всплесков.</w:t>
      </w:r>
    </w:p>
    <w:p w:rsidR="003F5F27" w:rsidRDefault="003F5F27" w:rsidP="007C3FF9">
      <w:pPr>
        <w:jc w:val="both"/>
      </w:pPr>
      <w:r>
        <w:tab/>
        <w:t xml:space="preserve">При необходимости </w:t>
      </w:r>
      <w:proofErr w:type="spellStart"/>
      <w:r>
        <w:t>аудиопредставления</w:t>
      </w:r>
      <w:proofErr w:type="spellEnd"/>
      <w:r>
        <w:t xml:space="preserve"> доплеровских всплесков, полоса детектирования переносится в область НЧ, с подавлением «слепой» области. Т.к. </w:t>
      </w:r>
      <w:proofErr w:type="spellStart"/>
      <w:r>
        <w:t>магнитудное</w:t>
      </w:r>
      <w:proofErr w:type="spellEnd"/>
      <w:r>
        <w:t xml:space="preserve"> представление сигнала (без учета фаз) не может обеспечить «сшивание» пространственных представлений разных окон, при преобразовании «водопада» в звук не производится компенсация взвешивающих окон, и сигнал представлен хорошо разделяемыми по амплитудному признаку «пачками». Каждой «пачке» соответствует одна строка </w:t>
      </w:r>
      <w:proofErr w:type="spellStart"/>
      <w:r>
        <w:t>сонограммы</w:t>
      </w:r>
      <w:proofErr w:type="spellEnd"/>
      <w:r>
        <w:t xml:space="preserve">, что позволит однозначно соотносить изображение «водопада» и </w:t>
      </w:r>
      <w:proofErr w:type="spellStart"/>
      <w:r>
        <w:t>аудиопотока</w:t>
      </w:r>
      <w:proofErr w:type="spellEnd"/>
      <w:r>
        <w:t xml:space="preserve">, инвариантно </w:t>
      </w:r>
      <w:proofErr w:type="spellStart"/>
      <w:r>
        <w:t>джиттеру</w:t>
      </w:r>
      <w:proofErr w:type="spellEnd"/>
      <w:r>
        <w:t xml:space="preserve"> частот дискретизации ЦАП</w:t>
      </w:r>
      <w:r w:rsidRPr="003F5F27">
        <w:t>/</w:t>
      </w:r>
      <w:r>
        <w:t>АЦП.</w:t>
      </w:r>
      <w:r w:rsidR="001C5A75">
        <w:t xml:space="preserve"> Доплеровская полоса переносится без измене</w:t>
      </w:r>
      <w:r w:rsidR="00A41985">
        <w:t>ния масштаба, и привязывается к нижней частоте «</w:t>
      </w:r>
      <w:proofErr w:type="spellStart"/>
      <w:r w:rsidR="00A41985" w:rsidRPr="00113D24">
        <w:t>minFreq</w:t>
      </w:r>
      <w:proofErr w:type="spellEnd"/>
      <w:r w:rsidR="00A41985">
        <w:t>»</w:t>
      </w:r>
      <w:r w:rsidR="001C5A75">
        <w:t>.</w:t>
      </w:r>
    </w:p>
    <w:p w:rsidR="00B374F5" w:rsidRDefault="00B374F5" w:rsidP="003F5F27">
      <w:pPr>
        <w:pStyle w:val="2"/>
      </w:pPr>
    </w:p>
    <w:p w:rsidR="003F5F27" w:rsidRPr="008D4C74" w:rsidRDefault="007F6A3E" w:rsidP="00A966BC">
      <w:pPr>
        <w:pStyle w:val="2"/>
        <w:spacing w:before="0" w:after="120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t>2</w:t>
      </w:r>
      <w:r w:rsidR="00A9333E" w:rsidRPr="008D4C74">
        <w:rPr>
          <w:b/>
          <w:sz w:val="28"/>
          <w:szCs w:val="28"/>
        </w:rPr>
        <w:t xml:space="preserve"> </w:t>
      </w:r>
      <w:r w:rsidR="003F5F27" w:rsidRPr="008D4C74">
        <w:rPr>
          <w:b/>
          <w:sz w:val="28"/>
          <w:szCs w:val="28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004BA" w:rsidRDefault="00C004BA" w:rsidP="00C004BA">
      <w:pPr>
        <w:pStyle w:val="2"/>
        <w:rPr>
          <w:b/>
        </w:rPr>
      </w:pPr>
    </w:p>
    <w:p w:rsidR="00712D7A" w:rsidRDefault="00712D7A">
      <w:r>
        <w:br w:type="page"/>
      </w:r>
    </w:p>
    <w:p w:rsidR="00C004BA" w:rsidRPr="008731D6" w:rsidRDefault="00EC5C83" w:rsidP="00C120BE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3 </w:t>
      </w:r>
      <w:r w:rsidR="00C004BA" w:rsidRPr="008D4C74">
        <w:rPr>
          <w:b/>
          <w:sz w:val="28"/>
          <w:szCs w:val="28"/>
        </w:rPr>
        <w:t xml:space="preserve">Настройка </w:t>
      </w:r>
      <w:r w:rsidR="008731D6">
        <w:rPr>
          <w:b/>
          <w:sz w:val="28"/>
          <w:szCs w:val="28"/>
        </w:rPr>
        <w:t>звукового ввода-вывода</w:t>
      </w:r>
    </w:p>
    <w:p w:rsidR="00C004BA" w:rsidRDefault="00C004BA" w:rsidP="00A548D6">
      <w:pPr>
        <w:spacing w:before="120"/>
        <w:jc w:val="both"/>
      </w:pPr>
      <w:r>
        <w:tab/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Default="0054478C" w:rsidP="003E5CA6">
      <w:pPr>
        <w:ind w:firstLine="708"/>
        <w:jc w:val="both"/>
      </w:pPr>
      <w:r>
        <w:t xml:space="preserve">Не во всех случаях нужен </w:t>
      </w:r>
      <w:r w:rsidR="00E53057">
        <w:t>максимальный уровень громкости</w:t>
      </w:r>
      <w:r>
        <w:t xml:space="preserve"> (как программного микшера, так и акустической системы)</w:t>
      </w:r>
      <w:r w:rsidR="00E53057">
        <w:t>! Наилучшие результаты достигаются при уровнях, на которых излучается достаточно много звуковой энергии, но при этом не происходит перегрузки усилителя низкой частоты и самих излучателей.</w:t>
      </w:r>
    </w:p>
    <w:p w:rsidR="00E53057" w:rsidRPr="009D268B" w:rsidRDefault="00E53057" w:rsidP="003E5CA6">
      <w:pPr>
        <w:ind w:firstLine="708"/>
        <w:jc w:val="both"/>
      </w:pP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  <w:r w:rsidR="00B75C24">
        <w:rPr>
          <w:noProof/>
          <w:lang w:eastAsia="ru-RU"/>
        </w:rPr>
        <w:t>.</w:t>
      </w:r>
    </w:p>
    <w:p w:rsidR="00BF77E4" w:rsidRPr="006E16C0" w:rsidRDefault="00685ED1" w:rsidP="002B263B">
      <w:r>
        <w:br w:type="page"/>
      </w:r>
      <w:r w:rsidR="005728AF">
        <w:lastRenderedPageBreak/>
        <w:t>Пример обнаружения</w:t>
      </w:r>
      <w:r w:rsidR="006E16C0" w:rsidRPr="00C004BA">
        <w:t xml:space="preserve"> </w:t>
      </w:r>
      <w:r w:rsidR="006E16C0">
        <w:t>движения</w:t>
      </w:r>
    </w:p>
    <w:p w:rsidR="00AE2F46" w:rsidRDefault="00AE2F46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99835" cy="28892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Default="002B263B" w:rsidP="005F3D1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5F3D14" w:rsidRPr="0062240A">
        <w:rPr>
          <w:sz w:val="24"/>
          <w:szCs w:val="24"/>
        </w:rPr>
        <w:t xml:space="preserve"> – </w:t>
      </w:r>
      <w:r w:rsidR="005F3D14">
        <w:rPr>
          <w:sz w:val="24"/>
          <w:szCs w:val="24"/>
        </w:rPr>
        <w:t>Пример обнаружения движений</w:t>
      </w:r>
      <w:r w:rsidR="005F3D14" w:rsidRPr="0062240A">
        <w:rPr>
          <w:sz w:val="24"/>
          <w:szCs w:val="24"/>
        </w:rPr>
        <w:t>.</w:t>
      </w:r>
    </w:p>
    <w:p w:rsidR="000D4836" w:rsidRDefault="000D4836" w:rsidP="005B2954">
      <w:pPr>
        <w:rPr>
          <w:sz w:val="24"/>
          <w:szCs w:val="24"/>
        </w:rPr>
      </w:pPr>
    </w:p>
    <w:p w:rsidR="00F765DB" w:rsidRPr="00113D24" w:rsidRDefault="002B263B" w:rsidP="00D30262">
      <w:pPr>
        <w:jc w:val="both"/>
      </w:pPr>
      <w:r>
        <w:t>На рисунке 4</w:t>
      </w:r>
      <w:r w:rsidR="00F765DB" w:rsidRPr="00113D24">
        <w:t>, на левой части изображения, показано PCM и частотно-временное представление доплеровской полосы, перенесенной в НЧ-область (</w:t>
      </w:r>
      <w:r w:rsidR="005B2954" w:rsidRPr="00113D24">
        <w:t xml:space="preserve">с подавлением области </w:t>
      </w:r>
      <w:r w:rsidR="00355D56" w:rsidRPr="00113D24">
        <w:t>«</w:t>
      </w:r>
      <w:r w:rsidR="005B2954" w:rsidRPr="00113D24">
        <w:t>несущей</w:t>
      </w:r>
      <w:r w:rsidR="00355D56" w:rsidRPr="00113D24">
        <w:t>»</w:t>
      </w:r>
      <w:r w:rsidR="00F765DB" w:rsidRPr="00113D24">
        <w:t>).</w:t>
      </w:r>
      <w:r w:rsidR="005B2954" w:rsidRPr="00113D24">
        <w:t xml:space="preserve"> На</w:t>
      </w:r>
      <w:r>
        <w:t xml:space="preserve"> правой части рисунка 4</w:t>
      </w:r>
      <w:r w:rsidR="000D4836" w:rsidRPr="00113D24">
        <w:t xml:space="preserve"> показан повернутый</w:t>
      </w:r>
      <w:r w:rsidR="005B2954" w:rsidRPr="00113D24">
        <w:t xml:space="preserve"> </w:t>
      </w:r>
      <w:r w:rsidR="000D4836" w:rsidRPr="00113D24">
        <w:t>на 90 градусов влево «водопад»</w:t>
      </w:r>
      <w:r w:rsidR="009234EE" w:rsidRPr="00113D24">
        <w:t xml:space="preserve">, так, чтобы соответствовать отображению сигнала из </w:t>
      </w:r>
      <w:proofErr w:type="spellStart"/>
      <w:r w:rsidR="009234EE" w:rsidRPr="00113D24">
        <w:t>аудиоредактора</w:t>
      </w:r>
      <w:proofErr w:type="spellEnd"/>
      <w:r w:rsidR="000D4836" w:rsidRPr="00113D24">
        <w:t>.</w:t>
      </w:r>
    </w:p>
    <w:p w:rsidR="00BF77E4" w:rsidRDefault="00BF77E4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49638" cy="3109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21" cy="31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Pr="0062240A" w:rsidRDefault="00215963" w:rsidP="0079734F">
      <w:pPr>
        <w:ind w:left="1560" w:hanging="1276"/>
        <w:rPr>
          <w:sz w:val="24"/>
          <w:szCs w:val="24"/>
        </w:rPr>
      </w:pPr>
      <w:r>
        <w:rPr>
          <w:sz w:val="24"/>
          <w:szCs w:val="24"/>
        </w:rPr>
        <w:t>Рисунок 5</w:t>
      </w:r>
      <w:r w:rsidR="005F3D14" w:rsidRPr="0062240A">
        <w:rPr>
          <w:sz w:val="24"/>
          <w:szCs w:val="24"/>
        </w:rPr>
        <w:t xml:space="preserve"> –</w:t>
      </w:r>
      <w:r w:rsidR="005F3D14">
        <w:rPr>
          <w:sz w:val="24"/>
          <w:szCs w:val="24"/>
        </w:rPr>
        <w:t xml:space="preserve"> «</w:t>
      </w:r>
      <w:proofErr w:type="gramStart"/>
      <w:r w:rsidR="00D94224">
        <w:rPr>
          <w:sz w:val="24"/>
          <w:szCs w:val="24"/>
        </w:rPr>
        <w:t>По</w:t>
      </w:r>
      <w:r w:rsidR="005F3D14">
        <w:rPr>
          <w:sz w:val="24"/>
          <w:szCs w:val="24"/>
        </w:rPr>
        <w:t>кадровая»</w:t>
      </w:r>
      <w:r w:rsidR="00D94224" w:rsidRPr="00D94224">
        <w:rPr>
          <w:sz w:val="24"/>
          <w:szCs w:val="24"/>
        </w:rPr>
        <w:t>/</w:t>
      </w:r>
      <w:proofErr w:type="gramEnd"/>
      <w:r w:rsidR="00D94224">
        <w:rPr>
          <w:sz w:val="24"/>
          <w:szCs w:val="24"/>
          <w:lang w:val="en-US"/>
        </w:rPr>
        <w:t>FFT</w:t>
      </w:r>
      <w:r w:rsidR="005F3D14">
        <w:rPr>
          <w:sz w:val="24"/>
          <w:szCs w:val="24"/>
        </w:rPr>
        <w:t xml:space="preserve"> </w:t>
      </w:r>
      <w:r w:rsidR="00D94224">
        <w:rPr>
          <w:sz w:val="24"/>
          <w:szCs w:val="24"/>
        </w:rPr>
        <w:t>(«построчная»</w:t>
      </w:r>
      <w:r w:rsidR="00D94224" w:rsidRPr="00D94224">
        <w:rPr>
          <w:sz w:val="24"/>
          <w:szCs w:val="24"/>
        </w:rPr>
        <w:t>/</w:t>
      </w:r>
      <w:r w:rsidR="00D94224">
        <w:rPr>
          <w:sz w:val="24"/>
          <w:szCs w:val="24"/>
        </w:rPr>
        <w:t xml:space="preserve">«водопад») </w:t>
      </w:r>
      <w:r w:rsidR="005F3D14">
        <w:rPr>
          <w:sz w:val="24"/>
          <w:szCs w:val="24"/>
        </w:rPr>
        <w:t>структура доплеровской полосы, перенесенной в НЧ-область</w:t>
      </w:r>
      <w:r w:rsidR="005F3D14" w:rsidRPr="0062240A">
        <w:rPr>
          <w:sz w:val="24"/>
          <w:szCs w:val="24"/>
        </w:rPr>
        <w:t>.</w:t>
      </w:r>
    </w:p>
    <w:p w:rsidR="0070375C" w:rsidRDefault="00215963" w:rsidP="00F32210">
      <w:pPr>
        <w:jc w:val="both"/>
      </w:pPr>
      <w:r>
        <w:t>На рисунке 5</w:t>
      </w:r>
      <w:r w:rsidR="00F32210">
        <w:t xml:space="preserve"> видна «покадровая» структура доплеровского сигнала в НЧ-области. Частотное заполнение кадров соответствует доплеровскому сдвигу относительно «несущей» 21 кГц.</w:t>
      </w:r>
    </w:p>
    <w:p w:rsidR="008127F2" w:rsidRPr="00ED5FD6" w:rsidRDefault="003F3188" w:rsidP="003F3188">
      <w:pPr>
        <w:pStyle w:val="2"/>
        <w:rPr>
          <w:b/>
          <w:i/>
        </w:rPr>
      </w:pPr>
      <w:r w:rsidRPr="00ED5FD6">
        <w:rPr>
          <w:b/>
          <w:i/>
          <w:sz w:val="32"/>
        </w:rPr>
        <w:lastRenderedPageBreak/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9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E964F3">
      <w:pPr>
        <w:pStyle w:val="2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AA2B89" w:rsidRPr="002E700F">
        <w:rPr>
          <w:b/>
          <w:sz w:val="28"/>
          <w:szCs w:val="28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790C40">
        <w:rPr>
          <w:rFonts w:ascii="Consolas" w:hAnsi="Consolas"/>
          <w:sz w:val="20"/>
          <w:szCs w:val="20"/>
        </w:rPr>
        <w:t xml:space="preserve">   </w:t>
      </w:r>
      <w:r w:rsidR="00E2714C" w:rsidRPr="00790C40">
        <w:rPr>
          <w:rFonts w:ascii="Consolas" w:hAnsi="Consolas"/>
          <w:sz w:val="20"/>
          <w:szCs w:val="20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20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2C" w:rsidRDefault="00F6162C" w:rsidP="00342118">
      <w:pPr>
        <w:spacing w:after="0" w:line="240" w:lineRule="auto"/>
      </w:pPr>
      <w:r>
        <w:separator/>
      </w:r>
    </w:p>
  </w:endnote>
  <w:endnote w:type="continuationSeparator" w:id="0">
    <w:p w:rsidR="00F6162C" w:rsidRDefault="00F6162C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2C" w:rsidRDefault="00F6162C" w:rsidP="00342118">
      <w:pPr>
        <w:spacing w:after="0" w:line="240" w:lineRule="auto"/>
      </w:pPr>
      <w:r>
        <w:separator/>
      </w:r>
    </w:p>
  </w:footnote>
  <w:footnote w:type="continuationSeparator" w:id="0">
    <w:p w:rsidR="00F6162C" w:rsidRDefault="00F6162C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>0.7 с, что соответствует длительности жеста или компоненты движения человеческого тела.</w:t>
      </w:r>
    </w:p>
  </w:footnote>
  <w:footnote w:id="3">
    <w:p w:rsidR="00342118" w:rsidRPr="003C555F" w:rsidRDefault="00342118" w:rsidP="0060610D">
      <w:pPr>
        <w:pStyle w:val="ae"/>
        <w:jc w:val="both"/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Pr="003B3198">
        <w:rPr>
          <w:sz w:val="16"/>
          <w:szCs w:val="16"/>
        </w:rPr>
        <w:t xml:space="preserve">исходя из опыта декодирования </w:t>
      </w:r>
      <w:r w:rsidRPr="003B3198">
        <w:rPr>
          <w:sz w:val="16"/>
          <w:szCs w:val="16"/>
          <w:lang w:val="en-US"/>
        </w:rPr>
        <w:t>SDR</w:t>
      </w:r>
      <w:r w:rsidRPr="003B3198">
        <w:rPr>
          <w:sz w:val="16"/>
          <w:szCs w:val="16"/>
        </w:rPr>
        <w:t xml:space="preserve">-потока при помощи </w:t>
      </w:r>
      <w:r w:rsidRPr="003B3198">
        <w:rPr>
          <w:sz w:val="16"/>
          <w:szCs w:val="16"/>
          <w:lang w:val="en-US"/>
        </w:rPr>
        <w:t>STFT</w:t>
      </w:r>
      <w:r w:rsidRPr="003B3198">
        <w:rPr>
          <w:sz w:val="16"/>
          <w:szCs w:val="16"/>
        </w:rPr>
        <w:t xml:space="preserve"> (при шаге окна в 1/3 его размера обеспечивается корректная частотно-временная развертка потока)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>–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т.е. </w:t>
      </w:r>
      <w:r w:rsidR="006F4E81">
        <w:rPr>
          <w:sz w:val="16"/>
          <w:szCs w:val="16"/>
        </w:rPr>
        <w:t xml:space="preserve">для построения </w:t>
      </w:r>
      <w:proofErr w:type="spellStart"/>
      <w:r w:rsidR="006F4E81">
        <w:rPr>
          <w:sz w:val="16"/>
          <w:szCs w:val="16"/>
        </w:rPr>
        <w:t>сонограммы</w:t>
      </w:r>
      <w:proofErr w:type="spellEnd"/>
      <w:r w:rsidR="006F4E81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был выбран </w:t>
      </w:r>
      <w:r w:rsidR="006F4E81">
        <w:rPr>
          <w:sz w:val="16"/>
          <w:szCs w:val="16"/>
        </w:rPr>
        <w:t xml:space="preserve">шаг </w:t>
      </w:r>
      <w:r w:rsidR="003C555F">
        <w:rPr>
          <w:sz w:val="16"/>
          <w:szCs w:val="16"/>
        </w:rPr>
        <w:t xml:space="preserve">в знаменателе кратный </w:t>
      </w:r>
      <w:r w:rsidR="003C555F" w:rsidRPr="003C555F">
        <w:rPr>
          <w:sz w:val="16"/>
          <w:szCs w:val="16"/>
        </w:rPr>
        <w:t>3</w:t>
      </w:r>
      <w:r w:rsidR="003C555F">
        <w:rPr>
          <w:sz w:val="16"/>
          <w:szCs w:val="16"/>
        </w:rPr>
        <w:t xml:space="preserve"> (дополнительно умноженный на 1.5 для достижения нужной скорости прохождения выборки).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72CD4"/>
    <w:rsid w:val="0009579B"/>
    <w:rsid w:val="000A11E4"/>
    <w:rsid w:val="000A55D0"/>
    <w:rsid w:val="000C74A1"/>
    <w:rsid w:val="000D4836"/>
    <w:rsid w:val="000E4404"/>
    <w:rsid w:val="00101E29"/>
    <w:rsid w:val="001032A6"/>
    <w:rsid w:val="00113D24"/>
    <w:rsid w:val="0012059C"/>
    <w:rsid w:val="00180E4E"/>
    <w:rsid w:val="001C4AA1"/>
    <w:rsid w:val="001C5A75"/>
    <w:rsid w:val="002007C7"/>
    <w:rsid w:val="00215963"/>
    <w:rsid w:val="002B263B"/>
    <w:rsid w:val="002C0078"/>
    <w:rsid w:val="002E700F"/>
    <w:rsid w:val="002F1064"/>
    <w:rsid w:val="002F45B1"/>
    <w:rsid w:val="00310145"/>
    <w:rsid w:val="00342118"/>
    <w:rsid w:val="00345810"/>
    <w:rsid w:val="00355D56"/>
    <w:rsid w:val="00377F43"/>
    <w:rsid w:val="003B3198"/>
    <w:rsid w:val="003C3A84"/>
    <w:rsid w:val="003C555F"/>
    <w:rsid w:val="003D260B"/>
    <w:rsid w:val="003E3FAE"/>
    <w:rsid w:val="003E5CA6"/>
    <w:rsid w:val="003F1D5C"/>
    <w:rsid w:val="003F3188"/>
    <w:rsid w:val="003F5F27"/>
    <w:rsid w:val="004B6C0A"/>
    <w:rsid w:val="004D55DD"/>
    <w:rsid w:val="004F39ED"/>
    <w:rsid w:val="004F76E1"/>
    <w:rsid w:val="00501587"/>
    <w:rsid w:val="0051053A"/>
    <w:rsid w:val="005217C6"/>
    <w:rsid w:val="00530035"/>
    <w:rsid w:val="0054478C"/>
    <w:rsid w:val="00566CDE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F3D14"/>
    <w:rsid w:val="0060610D"/>
    <w:rsid w:val="0061497D"/>
    <w:rsid w:val="0062240A"/>
    <w:rsid w:val="0063369F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62514"/>
    <w:rsid w:val="00784875"/>
    <w:rsid w:val="00790C40"/>
    <w:rsid w:val="0079734F"/>
    <w:rsid w:val="007C1D7A"/>
    <w:rsid w:val="007C3FF9"/>
    <w:rsid w:val="007D2BE3"/>
    <w:rsid w:val="007F6A3E"/>
    <w:rsid w:val="00802556"/>
    <w:rsid w:val="008127F2"/>
    <w:rsid w:val="008135F2"/>
    <w:rsid w:val="00822CB7"/>
    <w:rsid w:val="008731D6"/>
    <w:rsid w:val="00875169"/>
    <w:rsid w:val="00892952"/>
    <w:rsid w:val="00892C7C"/>
    <w:rsid w:val="008D4C74"/>
    <w:rsid w:val="008E5BB1"/>
    <w:rsid w:val="0090424D"/>
    <w:rsid w:val="009234EE"/>
    <w:rsid w:val="00947A10"/>
    <w:rsid w:val="00953C8D"/>
    <w:rsid w:val="009545D7"/>
    <w:rsid w:val="00966A51"/>
    <w:rsid w:val="00966E28"/>
    <w:rsid w:val="00980060"/>
    <w:rsid w:val="00981D9F"/>
    <w:rsid w:val="0098418E"/>
    <w:rsid w:val="009A1064"/>
    <w:rsid w:val="009A1D95"/>
    <w:rsid w:val="009B1DE6"/>
    <w:rsid w:val="009D268B"/>
    <w:rsid w:val="009F2924"/>
    <w:rsid w:val="00A00EBE"/>
    <w:rsid w:val="00A041E6"/>
    <w:rsid w:val="00A220E1"/>
    <w:rsid w:val="00A24525"/>
    <w:rsid w:val="00A41985"/>
    <w:rsid w:val="00A44445"/>
    <w:rsid w:val="00A52FAC"/>
    <w:rsid w:val="00A548D6"/>
    <w:rsid w:val="00A65A79"/>
    <w:rsid w:val="00A9192D"/>
    <w:rsid w:val="00A9333E"/>
    <w:rsid w:val="00A966BC"/>
    <w:rsid w:val="00AA0FC7"/>
    <w:rsid w:val="00AA2B89"/>
    <w:rsid w:val="00AB2E51"/>
    <w:rsid w:val="00AE2F46"/>
    <w:rsid w:val="00AF459F"/>
    <w:rsid w:val="00AF731D"/>
    <w:rsid w:val="00B17404"/>
    <w:rsid w:val="00B22A4B"/>
    <w:rsid w:val="00B244F7"/>
    <w:rsid w:val="00B374F5"/>
    <w:rsid w:val="00B66A39"/>
    <w:rsid w:val="00B75C24"/>
    <w:rsid w:val="00B7758C"/>
    <w:rsid w:val="00B926F3"/>
    <w:rsid w:val="00B975A6"/>
    <w:rsid w:val="00BA13D6"/>
    <w:rsid w:val="00BA2419"/>
    <w:rsid w:val="00BC1D88"/>
    <w:rsid w:val="00BC3451"/>
    <w:rsid w:val="00BF2223"/>
    <w:rsid w:val="00BF55DC"/>
    <w:rsid w:val="00BF6DEF"/>
    <w:rsid w:val="00BF77E4"/>
    <w:rsid w:val="00C004BA"/>
    <w:rsid w:val="00C120BE"/>
    <w:rsid w:val="00C40868"/>
    <w:rsid w:val="00C4791F"/>
    <w:rsid w:val="00C602BE"/>
    <w:rsid w:val="00C97361"/>
    <w:rsid w:val="00CB08D5"/>
    <w:rsid w:val="00CC0054"/>
    <w:rsid w:val="00CD1C7A"/>
    <w:rsid w:val="00D14D5F"/>
    <w:rsid w:val="00D202BE"/>
    <w:rsid w:val="00D27B39"/>
    <w:rsid w:val="00D30262"/>
    <w:rsid w:val="00D94224"/>
    <w:rsid w:val="00DD4268"/>
    <w:rsid w:val="00DF2C65"/>
    <w:rsid w:val="00E021E1"/>
    <w:rsid w:val="00E06260"/>
    <w:rsid w:val="00E2714C"/>
    <w:rsid w:val="00E53057"/>
    <w:rsid w:val="00E7624E"/>
    <w:rsid w:val="00E906BE"/>
    <w:rsid w:val="00E95DF5"/>
    <w:rsid w:val="00E964F3"/>
    <w:rsid w:val="00EC4E7E"/>
    <w:rsid w:val="00EC5C83"/>
    <w:rsid w:val="00EC6917"/>
    <w:rsid w:val="00ED3F4B"/>
    <w:rsid w:val="00ED5FD6"/>
    <w:rsid w:val="00EF3977"/>
    <w:rsid w:val="00F23B37"/>
    <w:rsid w:val="00F30530"/>
    <w:rsid w:val="00F32210"/>
    <w:rsid w:val="00F3317E"/>
    <w:rsid w:val="00F6162C"/>
    <w:rsid w:val="00F648E0"/>
    <w:rsid w:val="00F654C0"/>
    <w:rsid w:val="00F765DB"/>
    <w:rsid w:val="00F95C94"/>
    <w:rsid w:val="00FA5621"/>
    <w:rsid w:val="00FB2F97"/>
    <w:rsid w:val="00FD7BD6"/>
    <w:rsid w:val="00FE4653"/>
    <w:rsid w:val="00FE7FE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opensource.org/licenses/MS-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hyperlink" Target="https://github.com/art-drobanov/ExactDoppler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C6AE-691C-4076-A1FE-CAA97799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6</cp:revision>
  <dcterms:created xsi:type="dcterms:W3CDTF">2016-09-25T10:31:00Z</dcterms:created>
  <dcterms:modified xsi:type="dcterms:W3CDTF">2016-09-25T10:38:00Z</dcterms:modified>
</cp:coreProperties>
</file>