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838A7" w14:textId="77777777" w:rsidR="00DE37C4" w:rsidRPr="00DE37C4" w:rsidRDefault="00DE37C4" w:rsidP="00DE37C4">
      <w:pPr>
        <w:rPr>
          <w:b/>
          <w:bCs/>
          <w:sz w:val="22"/>
          <w:szCs w:val="22"/>
        </w:rPr>
      </w:pPr>
      <w:r w:rsidRPr="00DE37C4">
        <w:rPr>
          <w:b/>
          <w:bCs/>
          <w:sz w:val="22"/>
          <w:szCs w:val="22"/>
        </w:rPr>
        <w:t>Executive Summary</w:t>
      </w:r>
    </w:p>
    <w:p w14:paraId="4212216E" w14:textId="77777777" w:rsidR="00DE37C4" w:rsidRPr="00DE37C4" w:rsidRDefault="00DE37C4" w:rsidP="00DE37C4">
      <w:pPr>
        <w:rPr>
          <w:b/>
          <w:bCs/>
          <w:sz w:val="22"/>
          <w:szCs w:val="22"/>
        </w:rPr>
      </w:pPr>
      <w:r w:rsidRPr="00DE37C4">
        <w:rPr>
          <w:b/>
          <w:bCs/>
          <w:sz w:val="22"/>
          <w:szCs w:val="22"/>
        </w:rPr>
        <w:t>6 Elm Street, Norwalk, CT 06850</w:t>
      </w:r>
    </w:p>
    <w:p w14:paraId="4C994CBB" w14:textId="77777777" w:rsidR="00DE37C4" w:rsidRPr="00DE37C4" w:rsidRDefault="00DE37C4" w:rsidP="00DE37C4">
      <w:pPr>
        <w:rPr>
          <w:sz w:val="22"/>
          <w:szCs w:val="22"/>
        </w:rPr>
      </w:pPr>
      <w:r w:rsidRPr="00DE37C4">
        <w:rPr>
          <w:sz w:val="22"/>
          <w:szCs w:val="22"/>
        </w:rPr>
        <w:t>Northeast Private Client Group is pleased to exclusively present the opportunity to acquire 6 Elm Street, a 12-unit value-add multifamily investment located in Norwalk, Connecticut — one of Fairfield County's most active and historically resilient rental markets. The offering comprises three residential buildings totaling 12 apartments across 12,085 rentable square feet on a 0.5-acre lot, now operating as an all-residential property following the recent conversion of two former commercial-zoned units to legal residential apartments.</w:t>
      </w:r>
    </w:p>
    <w:p w14:paraId="7C1976CB" w14:textId="77777777" w:rsidR="00DE37C4" w:rsidRDefault="00DE37C4" w:rsidP="00DE37C4">
      <w:pPr>
        <w:rPr>
          <w:sz w:val="22"/>
          <w:szCs w:val="22"/>
        </w:rPr>
      </w:pPr>
      <w:r w:rsidRPr="00DE37C4">
        <w:rPr>
          <w:sz w:val="22"/>
          <w:szCs w:val="22"/>
        </w:rPr>
        <w:t>Built in 1967 and extensively improved through a comprehensive capital program, 6 Elm Street has been substantially de-risked for incoming ownership. Completed capital expenditures include five fully renovated apartments; the conversion of two commercial-zoned units to legal residential apartments; a new parking lot, storm drains, siding, flashing, and vinyl windows; new HVAC units, ductwork, and piping along with a dedicated owner's electric meter in the rear building; a new furnace and commercial hot water heater in the middle building; full brick repointing across the property; new basement sump pumps; and partial gutter replacement. With the major capital systems already addressed, a new owner can focus on lighter cosmetic and curb-appeal improvements — a lower-cost, lower-risk path to driving rents and unlocking the property's remaining upside.</w:t>
      </w:r>
    </w:p>
    <w:p w14:paraId="100367B1" w14:textId="53BC5BC5" w:rsidR="00DE37C4" w:rsidRPr="00DE37C4" w:rsidRDefault="00DE37C4" w:rsidP="00DE37C4">
      <w:pPr>
        <w:rPr>
          <w:sz w:val="22"/>
          <w:szCs w:val="22"/>
        </w:rPr>
      </w:pPr>
      <w:r w:rsidRPr="00DE37C4">
        <w:rPr>
          <w:sz w:val="22"/>
          <w:szCs w:val="22"/>
        </w:rPr>
        <w:t>The property is defined by its large, family-oriented floor plans — 10 of the 12 units are two-, three-, or four-bedroom layouts, a configuration that is increasingly scarce in the submarket and commands premium rents and longer tenancies. In-unit washers and dryers are installed in all renovated units plus the two rear-building apartments, and the rear building features central air conditioning. Utility structures vary by building: the six front-building units are individually metered with fully tenant-paid electric heat, hot water, and cooking; the four middle-building units are tenant-paid electric with landlord-provided gas heat and hot water; and the two rear-building units are fully tenant-paid.</w:t>
      </w:r>
    </w:p>
    <w:p w14:paraId="6DADA12D" w14:textId="6CDE9709" w:rsidR="00DE37C4" w:rsidRPr="00DE37C4" w:rsidRDefault="00DE37C4" w:rsidP="00DE37C4">
      <w:pPr>
        <w:rPr>
          <w:sz w:val="22"/>
          <w:szCs w:val="22"/>
        </w:rPr>
      </w:pPr>
      <w:r w:rsidRPr="00DE37C4">
        <w:rPr>
          <w:sz w:val="22"/>
          <w:szCs w:val="22"/>
        </w:rPr>
        <w:t>Located in Norwalk, a core Fairfield County rental market with a long track record of high occupancy, the property benefits from strong, consistent tenant demand and the area's broader economic momentum. Residents enjoy convenient access to Metro-North's New Haven Line, with direct service to New York City</w:t>
      </w:r>
      <w:r>
        <w:rPr>
          <w:sz w:val="22"/>
          <w:szCs w:val="22"/>
        </w:rPr>
        <w:t>’s Grand Central Station</w:t>
      </w:r>
      <w:r w:rsidRPr="00DE37C4">
        <w:rPr>
          <w:sz w:val="22"/>
          <w:szCs w:val="22"/>
        </w:rPr>
        <w:t>, as well as I-95 and Route 7, connecting them to the region's major employment centers and lifestyle amenities.</w:t>
      </w:r>
    </w:p>
    <w:p w14:paraId="390D3E2C" w14:textId="77777777" w:rsidR="00DE37C4" w:rsidRPr="00DE37C4" w:rsidRDefault="00DE37C4" w:rsidP="00DE37C4">
      <w:pPr>
        <w:rPr>
          <w:sz w:val="22"/>
          <w:szCs w:val="22"/>
        </w:rPr>
      </w:pPr>
      <w:r w:rsidRPr="00DE37C4">
        <w:rPr>
          <w:sz w:val="22"/>
          <w:szCs w:val="22"/>
        </w:rPr>
        <w:t xml:space="preserve">6 Elm Street represents a rare opportunity to acquire a recently improved, </w:t>
      </w:r>
      <w:proofErr w:type="gramStart"/>
      <w:r w:rsidRPr="00DE37C4">
        <w:rPr>
          <w:sz w:val="22"/>
          <w:szCs w:val="22"/>
        </w:rPr>
        <w:t>large-unit</w:t>
      </w:r>
      <w:proofErr w:type="gramEnd"/>
      <w:r w:rsidRPr="00DE37C4">
        <w:rPr>
          <w:sz w:val="22"/>
          <w:szCs w:val="22"/>
        </w:rPr>
        <w:t xml:space="preserve"> asset in an established Fairfield County market. Priced at $3,275,000 — or approximately $273,000 per unit and $271 per square foot — the property delivers a 6.50% going-in cap rate on current income.</w:t>
      </w:r>
    </w:p>
    <w:p w14:paraId="4C16FD84" w14:textId="6CE7E3B7" w:rsidR="00DE37C4" w:rsidRPr="00DE37C4" w:rsidRDefault="00DE37C4" w:rsidP="00DE37C4">
      <w:pPr>
        <w:rPr>
          <w:sz w:val="22"/>
          <w:szCs w:val="22"/>
        </w:rPr>
      </w:pPr>
      <w:r w:rsidRPr="00DE37C4">
        <w:rPr>
          <w:sz w:val="22"/>
          <w:szCs w:val="22"/>
        </w:rPr>
        <w:t xml:space="preserve">A new owner stands to benefit from meaningful embedded upside. In-place rents currently sit roughly $54,000 below market, and a disciplined mark-to-market and revenue-management strategy — executed through natural lease turnover with minimal remaining capital expenditure — is projected to grow net operating income from approximately $213,000 to $262,000, a gain of </w:t>
      </w:r>
      <w:r w:rsidRPr="00DE37C4">
        <w:rPr>
          <w:sz w:val="22"/>
          <w:szCs w:val="22"/>
        </w:rPr>
        <w:lastRenderedPageBreak/>
        <w:t xml:space="preserve">roughly 23%. That operational upside expands the cap rate from a 6.50% going-in yield to </w:t>
      </w:r>
      <w:r>
        <w:rPr>
          <w:sz w:val="22"/>
          <w:szCs w:val="22"/>
        </w:rPr>
        <w:t>8.00</w:t>
      </w:r>
      <w:r w:rsidRPr="00DE37C4">
        <w:rPr>
          <w:sz w:val="22"/>
          <w:szCs w:val="22"/>
        </w:rPr>
        <w:t xml:space="preserve">% pro </w:t>
      </w:r>
      <w:proofErr w:type="gramStart"/>
      <w:r w:rsidRPr="00DE37C4">
        <w:rPr>
          <w:sz w:val="22"/>
          <w:szCs w:val="22"/>
        </w:rPr>
        <w:t>forma</w:t>
      </w:r>
      <w:proofErr w:type="gramEnd"/>
      <w:r w:rsidRPr="00DE37C4">
        <w:rPr>
          <w:sz w:val="22"/>
          <w:szCs w:val="22"/>
        </w:rPr>
        <w:t>, on a stabilized, historically high-occupancy asset.</w:t>
      </w:r>
    </w:p>
    <w:p w14:paraId="2908A17F" w14:textId="77777777" w:rsidR="00DE37C4" w:rsidRPr="00DE37C4" w:rsidRDefault="00DE37C4" w:rsidP="00DE37C4">
      <w:pPr>
        <w:rPr>
          <w:sz w:val="22"/>
          <w:szCs w:val="22"/>
        </w:rPr>
      </w:pPr>
      <w:r w:rsidRPr="00DE37C4">
        <w:rPr>
          <w:sz w:val="22"/>
          <w:szCs w:val="22"/>
        </w:rPr>
        <w:pict w14:anchorId="7341034B">
          <v:rect id="_x0000_i1031" style="width:0;height:1.5pt" o:hralign="center" o:hrstd="t" o:hr="t" fillcolor="#a0a0a0" stroked="f"/>
        </w:pict>
      </w:r>
    </w:p>
    <w:p w14:paraId="4B28583B" w14:textId="77777777" w:rsidR="00DE37C4" w:rsidRPr="00DE37C4" w:rsidRDefault="00DE37C4" w:rsidP="00DE37C4">
      <w:pPr>
        <w:rPr>
          <w:b/>
          <w:bCs/>
          <w:sz w:val="22"/>
          <w:szCs w:val="22"/>
        </w:rPr>
      </w:pPr>
      <w:r w:rsidRPr="00DE37C4">
        <w:rPr>
          <w:b/>
          <w:bCs/>
          <w:sz w:val="22"/>
          <w:szCs w:val="22"/>
        </w:rPr>
        <w:t>Investment Highlights</w:t>
      </w:r>
    </w:p>
    <w:p w14:paraId="65CDBA21" w14:textId="77777777" w:rsidR="00DE37C4" w:rsidRPr="00DE37C4" w:rsidRDefault="00DE37C4" w:rsidP="00DE37C4">
      <w:pPr>
        <w:numPr>
          <w:ilvl w:val="0"/>
          <w:numId w:val="1"/>
        </w:numPr>
        <w:rPr>
          <w:sz w:val="22"/>
          <w:szCs w:val="22"/>
        </w:rPr>
      </w:pPr>
      <w:r w:rsidRPr="00DE37C4">
        <w:rPr>
          <w:b/>
          <w:bCs/>
          <w:sz w:val="22"/>
          <w:szCs w:val="22"/>
        </w:rPr>
        <w:t>Completed Capital Program:</w:t>
      </w:r>
      <w:r w:rsidRPr="00DE37C4">
        <w:rPr>
          <w:sz w:val="22"/>
          <w:szCs w:val="22"/>
        </w:rPr>
        <w:t xml:space="preserve"> Five renovated apartments plus new parking lot, siding, vinyl windows, HVAC, furnace, commercial hot water heater, brick repointing, storm drains, and more — major capex already behind the asset</w:t>
      </w:r>
    </w:p>
    <w:p w14:paraId="206A7701" w14:textId="77777777" w:rsidR="00DE37C4" w:rsidRPr="00DE37C4" w:rsidRDefault="00DE37C4" w:rsidP="00DE37C4">
      <w:pPr>
        <w:numPr>
          <w:ilvl w:val="0"/>
          <w:numId w:val="1"/>
        </w:numPr>
        <w:rPr>
          <w:sz w:val="22"/>
          <w:szCs w:val="22"/>
        </w:rPr>
      </w:pPr>
      <w:r w:rsidRPr="00DE37C4">
        <w:rPr>
          <w:b/>
          <w:bCs/>
          <w:sz w:val="22"/>
          <w:szCs w:val="22"/>
        </w:rPr>
        <w:t>Two Units Added:</w:t>
      </w:r>
      <w:r w:rsidRPr="00DE37C4">
        <w:rPr>
          <w:sz w:val="22"/>
          <w:szCs w:val="22"/>
        </w:rPr>
        <w:t xml:space="preserve"> Conversion of two commercial-zoned units to legal residential apartments expands the income base</w:t>
      </w:r>
    </w:p>
    <w:p w14:paraId="2F64343C" w14:textId="77777777" w:rsidR="00DE37C4" w:rsidRPr="00DE37C4" w:rsidRDefault="00DE37C4" w:rsidP="00DE37C4">
      <w:pPr>
        <w:numPr>
          <w:ilvl w:val="0"/>
          <w:numId w:val="1"/>
        </w:numPr>
        <w:rPr>
          <w:sz w:val="22"/>
          <w:szCs w:val="22"/>
        </w:rPr>
      </w:pPr>
      <w:r w:rsidRPr="00DE37C4">
        <w:rPr>
          <w:b/>
          <w:bCs/>
          <w:sz w:val="22"/>
          <w:szCs w:val="22"/>
        </w:rPr>
        <w:t>Large Floor Plans:</w:t>
      </w:r>
      <w:r w:rsidRPr="00DE37C4">
        <w:rPr>
          <w:sz w:val="22"/>
          <w:szCs w:val="22"/>
        </w:rPr>
        <w:t xml:space="preserve"> 10 of 12 units are 2BR, 3BR, or 4BR layouts — an increasingly scarce configuration that drives premium rents and tenant retention</w:t>
      </w:r>
    </w:p>
    <w:p w14:paraId="3234B797" w14:textId="77777777" w:rsidR="00DE37C4" w:rsidRPr="00DE37C4" w:rsidRDefault="00DE37C4" w:rsidP="00DE37C4">
      <w:pPr>
        <w:numPr>
          <w:ilvl w:val="0"/>
          <w:numId w:val="1"/>
        </w:numPr>
        <w:rPr>
          <w:sz w:val="22"/>
          <w:szCs w:val="22"/>
        </w:rPr>
      </w:pPr>
      <w:r w:rsidRPr="00DE37C4">
        <w:rPr>
          <w:b/>
          <w:bCs/>
          <w:sz w:val="22"/>
          <w:szCs w:val="22"/>
        </w:rPr>
        <w:t>Embedded Rent Upside:</w:t>
      </w:r>
      <w:r w:rsidRPr="00DE37C4">
        <w:rPr>
          <w:sz w:val="22"/>
          <w:szCs w:val="22"/>
        </w:rPr>
        <w:t xml:space="preserve"> Approximately $54,000 in below-market rents (~15%); average in-place rent of $2,211 versus $2,588 pro forma</w:t>
      </w:r>
    </w:p>
    <w:p w14:paraId="2B73F4DF" w14:textId="77777777" w:rsidR="00DE37C4" w:rsidRPr="00DE37C4" w:rsidRDefault="00DE37C4" w:rsidP="00DE37C4">
      <w:pPr>
        <w:numPr>
          <w:ilvl w:val="0"/>
          <w:numId w:val="1"/>
        </w:numPr>
        <w:rPr>
          <w:sz w:val="22"/>
          <w:szCs w:val="22"/>
        </w:rPr>
      </w:pPr>
      <w:r w:rsidRPr="00DE37C4">
        <w:rPr>
          <w:b/>
          <w:bCs/>
          <w:sz w:val="22"/>
          <w:szCs w:val="22"/>
        </w:rPr>
        <w:t>Operational Upside:</w:t>
      </w:r>
      <w:r w:rsidRPr="00DE37C4">
        <w:rPr>
          <w:sz w:val="22"/>
          <w:szCs w:val="22"/>
        </w:rPr>
        <w:t xml:space="preserve"> ~23% NOI growth (from ~$213,000 to ~$262,000) achievable through lease turnover with minimal remaining capital expenditure</w:t>
      </w:r>
    </w:p>
    <w:p w14:paraId="1A85E0C3" w14:textId="77777777" w:rsidR="00DE37C4" w:rsidRPr="00DE37C4" w:rsidRDefault="00DE37C4" w:rsidP="00DE37C4">
      <w:pPr>
        <w:numPr>
          <w:ilvl w:val="0"/>
          <w:numId w:val="1"/>
        </w:numPr>
        <w:rPr>
          <w:sz w:val="22"/>
          <w:szCs w:val="22"/>
        </w:rPr>
      </w:pPr>
      <w:r w:rsidRPr="00DE37C4">
        <w:rPr>
          <w:b/>
          <w:bCs/>
          <w:sz w:val="22"/>
          <w:szCs w:val="22"/>
        </w:rPr>
        <w:t>In-Unit Laundry:</w:t>
      </w:r>
      <w:r w:rsidRPr="00DE37C4">
        <w:rPr>
          <w:sz w:val="22"/>
          <w:szCs w:val="22"/>
        </w:rPr>
        <w:t xml:space="preserve"> Washer and dryer in all renovated units plus both rear-building apartments</w:t>
      </w:r>
    </w:p>
    <w:p w14:paraId="7CD2A5D8" w14:textId="77777777" w:rsidR="00DE37C4" w:rsidRPr="00DE37C4" w:rsidRDefault="00DE37C4" w:rsidP="00DE37C4">
      <w:pPr>
        <w:numPr>
          <w:ilvl w:val="0"/>
          <w:numId w:val="1"/>
        </w:numPr>
        <w:rPr>
          <w:sz w:val="22"/>
          <w:szCs w:val="22"/>
        </w:rPr>
      </w:pPr>
      <w:r w:rsidRPr="00DE37C4">
        <w:rPr>
          <w:b/>
          <w:bCs/>
          <w:sz w:val="22"/>
          <w:szCs w:val="22"/>
        </w:rPr>
        <w:t>Individually Metered Front Building:</w:t>
      </w:r>
      <w:r w:rsidRPr="00DE37C4">
        <w:rPr>
          <w:sz w:val="22"/>
          <w:szCs w:val="22"/>
        </w:rPr>
        <w:t xml:space="preserve"> Six front-building units carry fully tenant-paid electric heat, hot water, and cooking, limiting owner expense exposure</w:t>
      </w:r>
    </w:p>
    <w:p w14:paraId="383141F6" w14:textId="77777777" w:rsidR="00DE37C4" w:rsidRPr="00DE37C4" w:rsidRDefault="00DE37C4" w:rsidP="00DE37C4">
      <w:pPr>
        <w:numPr>
          <w:ilvl w:val="0"/>
          <w:numId w:val="1"/>
        </w:numPr>
        <w:rPr>
          <w:sz w:val="22"/>
          <w:szCs w:val="22"/>
        </w:rPr>
      </w:pPr>
      <w:r w:rsidRPr="00DE37C4">
        <w:rPr>
          <w:b/>
          <w:bCs/>
          <w:sz w:val="22"/>
          <w:szCs w:val="22"/>
        </w:rPr>
        <w:t>Desirable Rental Market:</w:t>
      </w:r>
      <w:r w:rsidRPr="00DE37C4">
        <w:rPr>
          <w:sz w:val="22"/>
          <w:szCs w:val="22"/>
        </w:rPr>
        <w:t xml:space="preserve"> Norwalk's established, high-demand rental market with a history of strong occupancy</w:t>
      </w:r>
    </w:p>
    <w:p w14:paraId="5498D4DA" w14:textId="77777777" w:rsidR="00DE37C4" w:rsidRPr="00DE37C4" w:rsidRDefault="00DE37C4" w:rsidP="00DE37C4">
      <w:pPr>
        <w:numPr>
          <w:ilvl w:val="0"/>
          <w:numId w:val="1"/>
        </w:numPr>
        <w:rPr>
          <w:sz w:val="22"/>
          <w:szCs w:val="22"/>
        </w:rPr>
      </w:pPr>
      <w:r w:rsidRPr="00DE37C4">
        <w:rPr>
          <w:b/>
          <w:bCs/>
          <w:sz w:val="22"/>
          <w:szCs w:val="22"/>
        </w:rPr>
        <w:t>Strong Going-In Yield:</w:t>
      </w:r>
      <w:r w:rsidRPr="00DE37C4">
        <w:rPr>
          <w:sz w:val="22"/>
          <w:szCs w:val="22"/>
        </w:rPr>
        <w:t xml:space="preserve"> 6.50% current cap rate / 7.99% pro </w:t>
      </w:r>
      <w:proofErr w:type="gramStart"/>
      <w:r w:rsidRPr="00DE37C4">
        <w:rPr>
          <w:sz w:val="22"/>
          <w:szCs w:val="22"/>
        </w:rPr>
        <w:t>forma</w:t>
      </w:r>
      <w:proofErr w:type="gramEnd"/>
    </w:p>
    <w:p w14:paraId="34229E1E" w14:textId="77777777" w:rsidR="00C02111" w:rsidRDefault="00C02111"/>
    <w:sectPr w:rsidR="00C02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120EF"/>
    <w:multiLevelType w:val="multilevel"/>
    <w:tmpl w:val="61DA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591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26E"/>
    <w:rsid w:val="002E675B"/>
    <w:rsid w:val="0059426E"/>
    <w:rsid w:val="00862243"/>
    <w:rsid w:val="00C02111"/>
    <w:rsid w:val="00DE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DAC8"/>
  <w15:chartTrackingRefBased/>
  <w15:docId w15:val="{FA15C2F8-D4D6-4677-9561-900CF3DBA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2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690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 Edwards</dc:creator>
  <cp:keywords/>
  <dc:description/>
  <cp:lastModifiedBy>Rich Edwards</cp:lastModifiedBy>
  <cp:revision>2</cp:revision>
  <dcterms:created xsi:type="dcterms:W3CDTF">2026-06-22T17:39:00Z</dcterms:created>
  <dcterms:modified xsi:type="dcterms:W3CDTF">2026-06-22T17:48:00Z</dcterms:modified>
</cp:coreProperties>
</file>