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2022-10-14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7"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5"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what these type of training methods really lack are standards, leading to inconsistencies across the field.</w:t>
      </w:r>
      <w:r>
        <w:rPr>
          <w:rStyle w:val="FootnoteReference"/>
        </w:rPr>
        <w:footnoteReference w:id="23"/>
      </w:r>
    </w:p>
    <w:bookmarkEnd w:id="25"/>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6"/>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7"/>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9"/>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journey,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31"/>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data management,</w:t>
      </w:r>
      <w:r>
        <w:rPr>
          <w:rStyle w:val="FootnoteReference"/>
        </w:rPr>
        <w:footnoteReference w:id="34"/>
      </w:r>
      <w:r>
        <w:t xml:space="preserve"> the field of education has yet to develop agreed upon rules for things such as data documentation or data formats. With this lack of standards, researchers are left to create practices that work for their team, leading to inconsistent data management practices across the field.</w:t>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Center for Open Science,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3" w:name="about-this-book"/>
    <w:p>
      <w:pPr>
        <w:pStyle w:val="Heading2"/>
      </w:pPr>
      <w:r>
        <w:rPr>
          <w:rStyle w:val="SectionNumber"/>
        </w:rPr>
        <w:t xml:space="preserve">1.3</w:t>
      </w:r>
      <w:r>
        <w:tab/>
      </w:r>
      <w:r>
        <w:t xml:space="preserve">About this book</w:t>
      </w:r>
    </w:p>
    <w:p>
      <w:pPr>
        <w:pStyle w:val="FirstParagraph"/>
      </w:pPr>
      <w:r>
        <w:t xml:space="preserve">My hope is that this book can be a foundation to help researchers think through how to build a consistent and standardized data management workflow that works for their team and their projects. While the field as a whole may not have agreed upon rules for data management, there are still best practices that are proven to result in more reproducible, reliable, and secure data. While this book cannot remove barriers to implementing good data management practices, such as the complexity of your project or the novelty of the technology you are using</w:t>
      </w:r>
      <w:r>
        <w:rPr>
          <w:rStyle w:val="FootnoteReference"/>
        </w:rPr>
        <w:footnoteReference w:id="49"/>
      </w:r>
      <w:r>
        <w:t xml:space="preserve"> </w:t>
      </w:r>
      <w:r>
        <w:t xml:space="preserve">it hopefully provides you the knowledge and skills necessary to work in these complex environments.</w:t>
      </w:r>
    </w:p>
    <w:p>
      <w:pPr>
        <w:pStyle w:val="BodyText"/>
      </w:pPr>
      <w:r>
        <w:t xml:space="preserve">This book should be viewed as a handbook to be referred to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51"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51"/>
    <w:bookmarkStart w:id="52"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removal of legitimate outliers, or calculating analysis specific variables. This book is written from the perspective of a data manager, and that perspective is to implement practices that keep data in its most complete and true, but usable form, for any future researcher to analyze in a way that works best for them.</w:t>
      </w:r>
    </w:p>
    <w:bookmarkEnd w:id="52"/>
    <w:bookmarkEnd w:id="53"/>
    <w:bookmarkStart w:id="54"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4"/>
    <w:bookmarkStart w:id="55"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and implement the practices that work for you and your team, and that may be just a few of the suggestions mentioned or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5"/>
    <w:bookmarkStart w:id="56"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6"/>
    <w:bookmarkEnd w:id="57"/>
    <w:bookmarkStart w:id="88" w:name="research-data-management"/>
    <w:p>
      <w:pPr>
        <w:pStyle w:val="Heading1"/>
      </w:pPr>
      <w:r>
        <w:rPr>
          <w:rStyle w:val="SectionNumber"/>
        </w:rPr>
        <w:t xml:space="preserve">2</w:t>
      </w:r>
      <w:r>
        <w:tab/>
      </w:r>
      <w:r>
        <w:t xml:space="preserve">Research Data Management</w:t>
      </w:r>
    </w:p>
    <w:bookmarkStart w:id="65"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organization, storage, preservation, and dissemination of research study data.</w:t>
      </w:r>
      <w:r>
        <w:rPr>
          <w:rStyle w:val="FootnoteReference"/>
        </w:rPr>
        <w:footnoteReference w:id="58"/>
      </w:r>
      <w:r>
        <w:t xml:space="preserve"> The practices of managing data begin long before data is ever collected, during the planning phase, and continue well after a research project ends during the archiving phase.</w:t>
      </w:r>
    </w:p>
    <w:p>
      <w:pPr>
        <w:pStyle w:val="BodyText"/>
      </w:pPr>
      <w:r>
        <w:t xml:space="preserve">While organizations like Data Documentation Initiative and Dublin Core have developed metadata standards for fields to adopt, it is common knowledge that there are no agreed-upon norms for managing data within and across disciplines in the field of education. The rules for how data should be collected, organized, stored, described, and shared is often left up to each individual team, as long as external requirements of the IRB and funders are met.</w:t>
      </w:r>
      <w:r>
        <w:rPr>
          <w:rStyle w:val="FootnoteReference"/>
        </w:rPr>
        <w:footnoteReference w:id="60"/>
      </w:r>
      <w:r>
        <w:t xml:space="preserve"> With a growing interest in open science practices and expanding requirements for federally funded research to make data publicly available,</w:t>
      </w:r>
      <w:r>
        <w:rPr>
          <w:rStyle w:val="FootnoteReference"/>
        </w:rPr>
        <w:footnoteReference w:id="62"/>
      </w:r>
      <w:r>
        <w:t xml:space="preserve"> data repositories will most likely begin to play a stronger role in promoting standards for many data management practices around data formats and documentation.</w:t>
      </w:r>
      <w:r>
        <w:rPr>
          <w:rStyle w:val="FootnoteReference"/>
        </w:rPr>
        <w:footnoteReference w:id="64"/>
      </w:r>
    </w:p>
    <w:bookmarkEnd w:id="65"/>
    <w:bookmarkStart w:id="84" w:name="why-care-about-research-data-management"/>
    <w:p>
      <w:pPr>
        <w:pStyle w:val="Heading2"/>
      </w:pPr>
      <w:r>
        <w:rPr>
          <w:rStyle w:val="SectionNumber"/>
        </w:rPr>
        <w:t xml:space="preserve">2.2</w:t>
      </w:r>
      <w:r>
        <w:tab/>
      </w:r>
      <w:r>
        <w:t xml:space="preserve">Why care about research data management?</w:t>
      </w:r>
    </w:p>
    <w:p>
      <w:pPr>
        <w:pStyle w:val="FirstParagraph"/>
      </w:pPr>
      <w:r>
        <w:t xml:space="preserve">Without current agreed-upon standards in the field, it is important for research teams to develop their own data management standards that apply within and across all of their projects. There are both external pressures and personal reasons to care about developing research data management standards.</w:t>
      </w:r>
    </w:p>
    <w:bookmarkStart w:id="75" w:name="external-reasons"/>
    <w:p>
      <w:pPr>
        <w:pStyle w:val="Heading3"/>
      </w:pPr>
      <w:r>
        <w:rPr>
          <w:rStyle w:val="SectionNumber"/>
        </w:rPr>
        <w:t xml:space="preserve">2.2.1</w:t>
      </w:r>
      <w:r>
        <w:tab/>
      </w:r>
      <w:r>
        <w:t xml:space="preserve">External Reasons</w:t>
      </w:r>
    </w:p>
    <w:p>
      <w:pPr>
        <w:numPr>
          <w:ilvl w:val="0"/>
          <w:numId w:val="1001"/>
        </w:numPr>
      </w:pPr>
      <w:r>
        <w:rPr>
          <w:bCs/>
          <w:b/>
        </w:rPr>
        <w:t xml:space="preserve">Funder compliance</w:t>
      </w:r>
      <w:r>
        <w:t xml:space="preserve">: 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66"/>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68"/>
      </w:r>
      <w:r>
        <w:t xml:space="preserve"> Along with this mandatory data sharing policy, comes the incentive to manage your data for the purposes of data sharing.</w:t>
      </w:r>
      <w:r>
        <w:rPr>
          <w:rStyle w:val="FootnoteReference"/>
        </w:rPr>
        <w:footnoteReference w:id="69"/>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w:t>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70"/>
      </w:r>
      <w:r>
        <w:t xml:space="preserve"> Sharing data that has been managed in a reproducible way also allows others to learn from your work, validate your results to strengthen evidence, as well as potentially catch errors in your work, preventing decisions being made based on incorrect data.</w:t>
      </w:r>
      <w:r>
        <w:rPr>
          <w:rStyle w:val="FootnoteReference"/>
        </w:rPr>
        <w:footnoteReference w:id="71"/>
      </w:r>
      <w:r>
        <w:t xml:space="preserve"> Well-managed data with sufficient documentation can also lead to more collaboration and greater impact as collaborators are able to access and understand your data with ease.</w:t>
      </w:r>
      <w:r>
        <w:rPr>
          <w:rStyle w:val="FootnoteReference"/>
        </w:rPr>
        <w:footnoteReference w:id="72"/>
      </w:r>
    </w:p>
    <w:bookmarkEnd w:id="75"/>
    <w:bookmarkStart w:id="83" w:name="personal-reasons"/>
    <w:p>
      <w:pPr>
        <w:pStyle w:val="Heading3"/>
      </w:pPr>
      <w:r>
        <w:rPr>
          <w:rStyle w:val="SectionNumber"/>
        </w:rPr>
        <w:t xml:space="preserve">2.2.2</w:t>
      </w:r>
      <w:r>
        <w:tab/>
      </w:r>
      <w:r>
        <w:t xml:space="preserve">Personal reasons</w:t>
      </w:r>
    </w:p>
    <w:p>
      <w:pPr>
        <w:pStyle w:val="FirstParagraph"/>
      </w:pPr>
      <w:r>
        <w:t xml:space="preserve">Even if you never plan to share your data outside of your research group, there are still many compelling reasons to manage your data.</w:t>
      </w:r>
    </w:p>
    <w:p>
      <w:pPr>
        <w:numPr>
          <w:ilvl w:val="0"/>
          <w:numId w:val="1002"/>
        </w:numPr>
      </w:pPr>
      <w:r>
        <w:rPr>
          <w:bCs/>
          <w:b/>
        </w:rPr>
        <w:t xml:space="preserve">Contributes to reproducibility</w:t>
      </w:r>
      <w:r>
        <w:t xml:space="preserve">: Reproducible research</w:t>
      </w:r>
      <w:r>
        <w:t xml:space="preserve"> </w:t>
      </w:r>
      <w:r>
        <w:t xml:space="preserve">“</w:t>
      </w:r>
      <w:r>
        <w:t xml:space="preserve">is a by-product of careful attention to detail throughout the research process</w:t>
      </w:r>
      <w:r>
        <w:t xml:space="preserve">”</w:t>
      </w:r>
      <w:r>
        <w:t xml:space="preserve"> </w:t>
      </w:r>
      <w:r>
        <w:t xml:space="preserve">(Alston &amp; Rick, 2021, p.2).</w:t>
      </w:r>
      <w:r>
        <w:rPr>
          <w:rStyle w:val="FootnoteReference"/>
        </w:rPr>
        <w:footnoteReference w:id="76"/>
      </w:r>
      <w:r>
        <w:t xml:space="preserve"> Even if you are not concerned with others being able to reproduce your work (which is unlikely), you most likely want you and your team members to be able to reproduce each others work, ensuring you can trust your results.</w:t>
      </w:r>
    </w:p>
    <w:p>
      <w:pPr>
        <w:numPr>
          <w:ilvl w:val="0"/>
          <w:numId w:val="1002"/>
        </w:numPr>
      </w:pPr>
      <w:r>
        <w:rPr>
          <w:bCs/>
          <w:b/>
        </w:rPr>
        <w:t xml:space="preserve">Improve continuity</w:t>
      </w:r>
      <w:r>
        <w:t xml:space="preserve">: Implementing reproducible practices ensures project continuity through staff turnover. Having developed thorough protocols allows new staff to pick up right where the project left off and implement the project with fidelity.</w:t>
      </w:r>
      <w:r>
        <w:rPr>
          <w:rStyle w:val="FootnoteReference"/>
        </w:rPr>
        <w:footnoteReference w:id="77"/>
      </w:r>
      <w:r>
        <w:t xml:space="preserve"> Furthermore, having documented your data cleaning steps and transformations along the way also allows your collaborators to easily continue an analysis project that you have started.</w:t>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burden and saves time, energy, and resources</w:t>
      </w:r>
      <w:r>
        <w:t xml:space="preserve">: Taking the time to implement quality data management through the entire research study reduces data curation debt caused by suboptimal data management practices.</w:t>
      </w:r>
      <w:r>
        <w:rPr>
          <w:rStyle w:val="FootnoteReference"/>
        </w:rPr>
        <w:footnoteReference w:id="79"/>
      </w:r>
      <w:r>
        <w:t xml:space="preserve"> Having poorly managed or documented data may make your data unusable, either permanently or until errors are corrected. Decreasing or removing this debt reduces the time, energy, and resources spent at the end of your study scrambling to fix errors made in poorly designed data collection instruments, gathering duplicate data that was lost, or documenting efforts long after most information has been forgotten.</w:t>
      </w:r>
    </w:p>
    <w:p>
      <w:pPr>
        <w:numPr>
          <w:ilvl w:val="0"/>
          <w:numId w:val="1002"/>
        </w:numPr>
      </w:pPr>
      <w:r>
        <w:rPr>
          <w:bCs/>
          <w:b/>
        </w:rPr>
        <w:t xml:space="preserve">Shortens publication time</w:t>
      </w:r>
      <w:r>
        <w:t xml:space="preserve">: Being able to find and understand your data when you need it is a huge benefit. It allows for the easy use and re-use of your data, and hastens efforts like the publication process.</w:t>
      </w:r>
      <w:r>
        <w:rPr>
          <w:rStyle w:val="FootnoteReference"/>
        </w:rPr>
        <w:footnoteReference w:id="81"/>
      </w:r>
      <w:r>
        <w:t xml:space="preserve"> Not having to search around for numbers of consented participants or asking which version of the data you should use allows you to spend more time analyzing and writing and less time playing detective.</w:t>
      </w:r>
    </w:p>
    <w:p>
      <w:pPr>
        <w:numPr>
          <w:ilvl w:val="0"/>
          <w:numId w:val="1002"/>
        </w:numPr>
      </w:pPr>
      <w:r>
        <w:rPr>
          <w:bCs/>
          <w:b/>
        </w:rPr>
        <w:t xml:space="preserve">Increases reliability</w:t>
      </w:r>
      <w:r>
        <w:t xml:space="preserve">: Errors come in many forms, from both humans and technology. We’ve seen evidence of this in the papers cited as being retracted for</w:t>
      </w:r>
      <w:r>
        <w:t xml:space="preserve"> </w:t>
      </w:r>
      <w:r>
        <w:t xml:space="preserve">“</w:t>
      </w:r>
      <w:r>
        <w:t xml:space="preserve">unreliable data</w:t>
      </w:r>
      <w:r>
        <w:t xml:space="preserve">”</w:t>
      </w:r>
      <w:r>
        <w:t xml:space="preserve"> </w:t>
      </w:r>
      <w:r>
        <w:t xml:space="preserve">in the blog</w:t>
      </w:r>
      <w:r>
        <w:t xml:space="preserve"> </w:t>
      </w:r>
      <w:hyperlink r:id="rId82">
        <w:r>
          <w:rPr>
            <w:rStyle w:val="Hyperlink"/>
          </w:rPr>
          <w:t xml:space="preserve">Retraction Watch</w:t>
        </w:r>
      </w:hyperlink>
      <w:r>
        <w:t xml:space="preserve">. Implementing quality control procedures reduces the chances of errors occurring and allows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83"/>
    <w:bookmarkEnd w:id="84"/>
    <w:bookmarkStart w:id="85" w:name="existing-frameworks"/>
    <w:p>
      <w:pPr>
        <w:pStyle w:val="Heading2"/>
      </w:pPr>
      <w:r>
        <w:rPr>
          <w:rStyle w:val="SectionNumber"/>
        </w:rPr>
        <w:t xml:space="preserve">2.3</w:t>
      </w:r>
      <w:r>
        <w:tab/>
      </w:r>
      <w:r>
        <w:t xml:space="preserve">Existing Frameworks</w:t>
      </w:r>
    </w:p>
    <w:bookmarkEnd w:id="85"/>
    <w:bookmarkStart w:id="86" w:name="terminology"/>
    <w:p>
      <w:pPr>
        <w:pStyle w:val="Heading2"/>
      </w:pPr>
      <w:r>
        <w:rPr>
          <w:rStyle w:val="SectionNumber"/>
        </w:rPr>
        <w:t xml:space="preserve">2.4</w:t>
      </w:r>
      <w:r>
        <w:tab/>
      </w:r>
      <w:r>
        <w:t xml:space="preserve">Terminology</w:t>
      </w:r>
    </w:p>
    <w:bookmarkEnd w:id="86"/>
    <w:bookmarkStart w:id="87" w:name="the-research-life-cycle"/>
    <w:p>
      <w:pPr>
        <w:pStyle w:val="Heading2"/>
      </w:pPr>
      <w:r>
        <w:rPr>
          <w:rStyle w:val="SectionNumber"/>
        </w:rPr>
        <w:t xml:space="preserve">2.5</w:t>
      </w:r>
      <w:r>
        <w:tab/>
      </w:r>
      <w:r>
        <w:t xml:space="preserve">The Research Life Cycle</w:t>
      </w:r>
    </w:p>
    <w:bookmarkEnd w:id="87"/>
    <w:bookmarkEnd w:id="88"/>
    <w:bookmarkStart w:id="95" w:name="dmp"/>
    <w:p>
      <w:pPr>
        <w:pStyle w:val="Heading1"/>
      </w:pPr>
      <w:r>
        <w:rPr>
          <w:rStyle w:val="SectionNumber"/>
        </w:rPr>
        <w:t xml:space="preserve">3</w:t>
      </w:r>
      <w:r>
        <w:tab/>
      </w:r>
      <w:r>
        <w:t xml:space="preserve">Data Management Plan</w:t>
      </w:r>
    </w:p>
    <w:bookmarkStart w:id="89" w:name="history-and-purpose"/>
    <w:p>
      <w:pPr>
        <w:pStyle w:val="Heading2"/>
      </w:pPr>
      <w:r>
        <w:rPr>
          <w:rStyle w:val="SectionNumber"/>
        </w:rPr>
        <w:t xml:space="preserve">3.1</w:t>
      </w:r>
      <w:r>
        <w:tab/>
      </w:r>
      <w:r>
        <w:t xml:space="preserve">History and purpose</w:t>
      </w:r>
    </w:p>
    <w:bookmarkEnd w:id="89"/>
    <w:bookmarkStart w:id="90" w:name="what-is-it"/>
    <w:p>
      <w:pPr>
        <w:pStyle w:val="Heading2"/>
      </w:pPr>
      <w:r>
        <w:rPr>
          <w:rStyle w:val="SectionNumber"/>
        </w:rPr>
        <w:t xml:space="preserve">3.2</w:t>
      </w:r>
      <w:r>
        <w:tab/>
      </w:r>
      <w:r>
        <w:t xml:space="preserve">What is it?</w:t>
      </w:r>
    </w:p>
    <w:bookmarkEnd w:id="90"/>
    <w:bookmarkStart w:id="91" w:name="why-are-dmps-important"/>
    <w:p>
      <w:pPr>
        <w:pStyle w:val="Heading2"/>
      </w:pPr>
      <w:r>
        <w:rPr>
          <w:rStyle w:val="SectionNumber"/>
        </w:rPr>
        <w:t xml:space="preserve">3.3</w:t>
      </w:r>
      <w:r>
        <w:tab/>
      </w:r>
      <w:r>
        <w:t xml:space="preserve">Why are DMPs important?</w:t>
      </w:r>
    </w:p>
    <w:bookmarkEnd w:id="91"/>
    <w:bookmarkStart w:id="92" w:name="what-to-include"/>
    <w:p>
      <w:pPr>
        <w:pStyle w:val="Heading2"/>
      </w:pPr>
      <w:r>
        <w:rPr>
          <w:rStyle w:val="SectionNumber"/>
        </w:rPr>
        <w:t xml:space="preserve">3.4</w:t>
      </w:r>
      <w:r>
        <w:tab/>
      </w:r>
      <w:r>
        <w:t xml:space="preserve">What to include?</w:t>
      </w:r>
    </w:p>
    <w:bookmarkEnd w:id="92"/>
    <w:bookmarkStart w:id="93" w:name="getting-help"/>
    <w:p>
      <w:pPr>
        <w:pStyle w:val="Heading2"/>
      </w:pPr>
      <w:r>
        <w:rPr>
          <w:rStyle w:val="SectionNumber"/>
        </w:rPr>
        <w:t xml:space="preserve">3.5</w:t>
      </w:r>
      <w:r>
        <w:tab/>
      </w:r>
      <w:r>
        <w:t xml:space="preserve">Getting help</w:t>
      </w:r>
    </w:p>
    <w:bookmarkEnd w:id="93"/>
    <w:bookmarkStart w:id="94" w:name="budgeting"/>
    <w:p>
      <w:pPr>
        <w:pStyle w:val="Heading2"/>
      </w:pPr>
      <w:r>
        <w:rPr>
          <w:rStyle w:val="SectionNumber"/>
        </w:rPr>
        <w:t xml:space="preserve">3.6</w:t>
      </w:r>
      <w:r>
        <w:tab/>
      </w:r>
      <w:r>
        <w:t xml:space="preserve">Budgeting</w:t>
      </w:r>
    </w:p>
    <w:bookmarkEnd w:id="94"/>
    <w:bookmarkEnd w:id="95"/>
    <w:bookmarkStart w:id="99" w:name="planning-data-management"/>
    <w:p>
      <w:pPr>
        <w:pStyle w:val="Heading1"/>
      </w:pPr>
      <w:r>
        <w:rPr>
          <w:rStyle w:val="SectionNumber"/>
        </w:rPr>
        <w:t xml:space="preserve">4</w:t>
      </w:r>
      <w:r>
        <w:tab/>
      </w:r>
      <w:r>
        <w:t xml:space="preserve">Planning Data Management</w:t>
      </w:r>
    </w:p>
    <w:bookmarkStart w:id="96" w:name="why-spend-time-on-planning"/>
    <w:p>
      <w:pPr>
        <w:pStyle w:val="Heading2"/>
      </w:pPr>
      <w:r>
        <w:rPr>
          <w:rStyle w:val="SectionNumber"/>
        </w:rPr>
        <w:t xml:space="preserve">4.1</w:t>
      </w:r>
      <w:r>
        <w:tab/>
      </w:r>
      <w:r>
        <w:t xml:space="preserve">Why spend time on planning?</w:t>
      </w:r>
    </w:p>
    <w:bookmarkEnd w:id="96"/>
    <w:bookmarkStart w:id="97" w:name="planning-checklists"/>
    <w:p>
      <w:pPr>
        <w:pStyle w:val="Heading2"/>
      </w:pPr>
      <w:r>
        <w:rPr>
          <w:rStyle w:val="SectionNumber"/>
        </w:rPr>
        <w:t xml:space="preserve">4.2</w:t>
      </w:r>
      <w:r>
        <w:tab/>
      </w:r>
      <w:r>
        <w:t xml:space="preserve">Planning checklists</w:t>
      </w:r>
    </w:p>
    <w:bookmarkEnd w:id="97"/>
    <w:bookmarkStart w:id="98" w:name="Xa9919daac3eba710de2b00f4002d97e0f65480e"/>
    <w:p>
      <w:pPr>
        <w:pStyle w:val="Heading2"/>
      </w:pPr>
      <w:r>
        <w:rPr>
          <w:rStyle w:val="SectionNumber"/>
        </w:rPr>
        <w:t xml:space="preserve">4.3</w:t>
      </w:r>
      <w:r>
        <w:tab/>
      </w:r>
      <w:r>
        <w:t xml:space="preserve">How to move from a planning checklist to a workflow</w:t>
      </w:r>
    </w:p>
    <w:bookmarkEnd w:id="98"/>
    <w:bookmarkEnd w:id="99"/>
    <w:bookmarkStart w:id="102" w:name="project-roles-and-responsibilities"/>
    <w:p>
      <w:pPr>
        <w:pStyle w:val="Heading1"/>
      </w:pPr>
      <w:r>
        <w:rPr>
          <w:rStyle w:val="SectionNumber"/>
        </w:rPr>
        <w:t xml:space="preserve">5</w:t>
      </w:r>
      <w:r>
        <w:tab/>
      </w:r>
      <w:r>
        <w:t xml:space="preserve">Project Roles and Responsibilities</w:t>
      </w:r>
    </w:p>
    <w:bookmarkStart w:id="100" w:name="why-its-important-to-assign-roles"/>
    <w:p>
      <w:pPr>
        <w:pStyle w:val="Heading2"/>
      </w:pPr>
      <w:r>
        <w:rPr>
          <w:rStyle w:val="SectionNumber"/>
        </w:rPr>
        <w:t xml:space="preserve">5.1</w:t>
      </w:r>
      <w:r>
        <w:tab/>
      </w:r>
      <w:r>
        <w:t xml:space="preserve">Why it’s important to assign roles</w:t>
      </w:r>
    </w:p>
    <w:bookmarkEnd w:id="100"/>
    <w:bookmarkStart w:id="101" w:name="typical-roles-in-a-research-project"/>
    <w:p>
      <w:pPr>
        <w:pStyle w:val="Heading2"/>
      </w:pPr>
      <w:r>
        <w:rPr>
          <w:rStyle w:val="SectionNumber"/>
        </w:rPr>
        <w:t xml:space="preserve">5.2</w:t>
      </w:r>
      <w:r>
        <w:tab/>
      </w:r>
      <w:r>
        <w:t xml:space="preserve">Typical roles in a research project</w:t>
      </w:r>
    </w:p>
    <w:bookmarkEnd w:id="101"/>
    <w:bookmarkEnd w:id="102"/>
    <w:bookmarkStart w:id="109" w:name="documentation"/>
    <w:p>
      <w:pPr>
        <w:pStyle w:val="Heading1"/>
      </w:pPr>
      <w:r>
        <w:rPr>
          <w:rStyle w:val="SectionNumber"/>
        </w:rPr>
        <w:t xml:space="preserve">6</w:t>
      </w:r>
      <w:r>
        <w:tab/>
      </w:r>
      <w:r>
        <w:t xml:space="preserve">Documentation</w:t>
      </w:r>
    </w:p>
    <w:bookmarkStart w:id="103" w:name="what-is-documentation"/>
    <w:p>
      <w:pPr>
        <w:pStyle w:val="Heading2"/>
      </w:pPr>
      <w:r>
        <w:rPr>
          <w:rStyle w:val="SectionNumber"/>
        </w:rPr>
        <w:t xml:space="preserve">6.1</w:t>
      </w:r>
      <w:r>
        <w:tab/>
      </w:r>
      <w:r>
        <w:t xml:space="preserve">What is documentation?</w:t>
      </w:r>
    </w:p>
    <w:bookmarkEnd w:id="103"/>
    <w:bookmarkStart w:id="104" w:name="why-is-documentation-important"/>
    <w:p>
      <w:pPr>
        <w:pStyle w:val="Heading2"/>
      </w:pPr>
      <w:r>
        <w:rPr>
          <w:rStyle w:val="SectionNumber"/>
        </w:rPr>
        <w:t xml:space="preserve">6.2</w:t>
      </w:r>
      <w:r>
        <w:tab/>
      </w:r>
      <w:r>
        <w:t xml:space="preserve">Why is documentation important?</w:t>
      </w:r>
    </w:p>
    <w:bookmarkEnd w:id="104"/>
    <w:bookmarkStart w:id="105" w:name="team-level"/>
    <w:p>
      <w:pPr>
        <w:pStyle w:val="Heading2"/>
      </w:pPr>
      <w:r>
        <w:rPr>
          <w:rStyle w:val="SectionNumber"/>
        </w:rPr>
        <w:t xml:space="preserve">6.3</w:t>
      </w:r>
      <w:r>
        <w:tab/>
      </w:r>
      <w:r>
        <w:t xml:space="preserve">Team Level</w:t>
      </w:r>
    </w:p>
    <w:bookmarkEnd w:id="105"/>
    <w:bookmarkStart w:id="106" w:name="project-level"/>
    <w:p>
      <w:pPr>
        <w:pStyle w:val="Heading2"/>
      </w:pPr>
      <w:r>
        <w:rPr>
          <w:rStyle w:val="SectionNumber"/>
        </w:rPr>
        <w:t xml:space="preserve">6.4</w:t>
      </w:r>
      <w:r>
        <w:tab/>
      </w:r>
      <w:r>
        <w:t xml:space="preserve">Project Level</w:t>
      </w:r>
    </w:p>
    <w:bookmarkEnd w:id="106"/>
    <w:bookmarkStart w:id="107" w:name="dataset-level"/>
    <w:p>
      <w:pPr>
        <w:pStyle w:val="Heading2"/>
      </w:pPr>
      <w:r>
        <w:rPr>
          <w:rStyle w:val="SectionNumber"/>
        </w:rPr>
        <w:t xml:space="preserve">6.5</w:t>
      </w:r>
      <w:r>
        <w:tab/>
      </w:r>
      <w:r>
        <w:t xml:space="preserve">Dataset Level</w:t>
      </w:r>
    </w:p>
    <w:bookmarkEnd w:id="107"/>
    <w:bookmarkStart w:id="108" w:name="variable-level"/>
    <w:p>
      <w:pPr>
        <w:pStyle w:val="Heading2"/>
      </w:pPr>
      <w:r>
        <w:rPr>
          <w:rStyle w:val="SectionNumber"/>
        </w:rPr>
        <w:t xml:space="preserve">6.6</w:t>
      </w:r>
      <w:r>
        <w:tab/>
      </w:r>
      <w:r>
        <w:t xml:space="preserve">Variable Level</w:t>
      </w:r>
    </w:p>
    <w:bookmarkEnd w:id="108"/>
    <w:bookmarkEnd w:id="109"/>
    <w:bookmarkStart w:id="115" w:name="data-collection"/>
    <w:p>
      <w:pPr>
        <w:pStyle w:val="Heading1"/>
      </w:pPr>
      <w:r>
        <w:rPr>
          <w:rStyle w:val="SectionNumber"/>
        </w:rPr>
        <w:t xml:space="preserve">7</w:t>
      </w:r>
      <w:r>
        <w:tab/>
      </w:r>
      <w:r>
        <w:t xml:space="preserve">Data Collection</w:t>
      </w:r>
    </w:p>
    <w:bookmarkStart w:id="110" w:name="Xbc8506d1182cf1426d832e6ab42eeb02f5268c0"/>
    <w:p>
      <w:pPr>
        <w:pStyle w:val="Heading2"/>
      </w:pPr>
      <w:r>
        <w:rPr>
          <w:rStyle w:val="SectionNumber"/>
        </w:rPr>
        <w:t xml:space="preserve">7.1</w:t>
      </w:r>
      <w:r>
        <w:tab/>
      </w:r>
      <w:r>
        <w:t xml:space="preserve">Why consider data management in data collection?</w:t>
      </w:r>
    </w:p>
    <w:bookmarkEnd w:id="110"/>
    <w:bookmarkStart w:id="111" w:name="consents"/>
    <w:p>
      <w:pPr>
        <w:pStyle w:val="Heading2"/>
      </w:pPr>
      <w:r>
        <w:rPr>
          <w:rStyle w:val="SectionNumber"/>
        </w:rPr>
        <w:t xml:space="preserve">7.2</w:t>
      </w:r>
      <w:r>
        <w:tab/>
      </w:r>
      <w:r>
        <w:t xml:space="preserve">Consents</w:t>
      </w:r>
    </w:p>
    <w:bookmarkEnd w:id="111"/>
    <w:bookmarkStart w:id="112" w:name="electronic-data-collection-instruments"/>
    <w:p>
      <w:pPr>
        <w:pStyle w:val="Heading2"/>
      </w:pPr>
      <w:r>
        <w:rPr>
          <w:rStyle w:val="SectionNumber"/>
        </w:rPr>
        <w:t xml:space="preserve">7.3</w:t>
      </w:r>
      <w:r>
        <w:tab/>
      </w:r>
      <w:r>
        <w:t xml:space="preserve">Electronic data collection instruments</w:t>
      </w:r>
    </w:p>
    <w:bookmarkEnd w:id="112"/>
    <w:bookmarkStart w:id="113" w:name="paper-data-collection-instruments"/>
    <w:p>
      <w:pPr>
        <w:pStyle w:val="Heading2"/>
      </w:pPr>
      <w:r>
        <w:rPr>
          <w:rStyle w:val="SectionNumber"/>
        </w:rPr>
        <w:t xml:space="preserve">7.4</w:t>
      </w:r>
      <w:r>
        <w:tab/>
      </w:r>
      <w:r>
        <w:t xml:space="preserve">Paper data collection instruments</w:t>
      </w:r>
    </w:p>
    <w:bookmarkEnd w:id="113"/>
    <w:bookmarkStart w:id="114" w:name="interviewscocus-groups"/>
    <w:p>
      <w:pPr>
        <w:pStyle w:val="Heading2"/>
      </w:pPr>
      <w:r>
        <w:rPr>
          <w:rStyle w:val="SectionNumber"/>
        </w:rPr>
        <w:t xml:space="preserve">7.5</w:t>
      </w:r>
      <w:r>
        <w:tab/>
      </w:r>
      <w:r>
        <w:t xml:space="preserve">Interviews/cocus groups</w:t>
      </w:r>
    </w:p>
    <w:bookmarkEnd w:id="114"/>
    <w:bookmarkEnd w:id="115"/>
    <w:bookmarkStart w:id="119" w:name="data-capture"/>
    <w:p>
      <w:pPr>
        <w:pStyle w:val="Heading1"/>
      </w:pPr>
      <w:r>
        <w:rPr>
          <w:rStyle w:val="SectionNumber"/>
        </w:rPr>
        <w:t xml:space="preserve">8</w:t>
      </w:r>
      <w:r>
        <w:tab/>
      </w:r>
      <w:r>
        <w:t xml:space="preserve">Data Capture</w:t>
      </w:r>
    </w:p>
    <w:bookmarkStart w:id="116" w:name="electronic-data-capture"/>
    <w:p>
      <w:pPr>
        <w:pStyle w:val="Heading2"/>
      </w:pPr>
      <w:r>
        <w:rPr>
          <w:rStyle w:val="SectionNumber"/>
        </w:rPr>
        <w:t xml:space="preserve">8.1</w:t>
      </w:r>
      <w:r>
        <w:tab/>
      </w:r>
      <w:r>
        <w:t xml:space="preserve">Electronic data capture</w:t>
      </w:r>
    </w:p>
    <w:bookmarkEnd w:id="116"/>
    <w:bookmarkStart w:id="117" w:name="paper-data-capture"/>
    <w:p>
      <w:pPr>
        <w:pStyle w:val="Heading2"/>
      </w:pPr>
      <w:r>
        <w:rPr>
          <w:rStyle w:val="SectionNumber"/>
        </w:rPr>
        <w:t xml:space="preserve">8.2</w:t>
      </w:r>
      <w:r>
        <w:tab/>
      </w:r>
      <w:r>
        <w:t xml:space="preserve">Paper data capture</w:t>
      </w:r>
    </w:p>
    <w:bookmarkEnd w:id="117"/>
    <w:bookmarkStart w:id="118" w:name="extant-data"/>
    <w:p>
      <w:pPr>
        <w:pStyle w:val="Heading2"/>
      </w:pPr>
      <w:r>
        <w:rPr>
          <w:rStyle w:val="SectionNumber"/>
        </w:rPr>
        <w:t xml:space="preserve">8.3</w:t>
      </w:r>
      <w:r>
        <w:tab/>
      </w:r>
      <w:r>
        <w:t xml:space="preserve">Extant data</w:t>
      </w:r>
    </w:p>
    <w:bookmarkEnd w:id="118"/>
    <w:bookmarkEnd w:id="119"/>
    <w:bookmarkStart w:id="128" w:name="data-storage-and-security"/>
    <w:p>
      <w:pPr>
        <w:pStyle w:val="Heading1"/>
      </w:pPr>
      <w:r>
        <w:rPr>
          <w:rStyle w:val="SectionNumber"/>
        </w:rPr>
        <w:t xml:space="preserve">9</w:t>
      </w:r>
      <w:r>
        <w:tab/>
      </w:r>
      <w:r>
        <w:t xml:space="preserve">Data Storage and Security</w:t>
      </w:r>
    </w:p>
    <w:bookmarkStart w:id="120" w:name="types-of-data-youll-be-storing"/>
    <w:p>
      <w:pPr>
        <w:pStyle w:val="Heading2"/>
      </w:pPr>
      <w:r>
        <w:rPr>
          <w:rStyle w:val="SectionNumber"/>
        </w:rPr>
        <w:t xml:space="preserve">9.1</w:t>
      </w:r>
      <w:r>
        <w:tab/>
      </w:r>
      <w:r>
        <w:t xml:space="preserve">Types of data you’ll be storing</w:t>
      </w:r>
    </w:p>
    <w:bookmarkEnd w:id="120"/>
    <w:bookmarkStart w:id="121" w:name="general-security-rules"/>
    <w:p>
      <w:pPr>
        <w:pStyle w:val="Heading2"/>
      </w:pPr>
      <w:r>
        <w:rPr>
          <w:rStyle w:val="SectionNumber"/>
        </w:rPr>
        <w:t xml:space="preserve">9.2</w:t>
      </w:r>
      <w:r>
        <w:tab/>
      </w:r>
      <w:r>
        <w:t xml:space="preserve">General security rules</w:t>
      </w:r>
    </w:p>
    <w:bookmarkEnd w:id="121"/>
    <w:bookmarkStart w:id="122" w:name="participant-tracking-database"/>
    <w:p>
      <w:pPr>
        <w:pStyle w:val="Heading2"/>
      </w:pPr>
      <w:r>
        <w:rPr>
          <w:rStyle w:val="SectionNumber"/>
        </w:rPr>
        <w:t xml:space="preserve">9.3</w:t>
      </w:r>
      <w:r>
        <w:tab/>
      </w:r>
      <w:r>
        <w:t xml:space="preserve">Participant tracking database</w:t>
      </w:r>
    </w:p>
    <w:bookmarkEnd w:id="122"/>
    <w:bookmarkStart w:id="123" w:name="electronic-data"/>
    <w:p>
      <w:pPr>
        <w:pStyle w:val="Heading2"/>
      </w:pPr>
      <w:r>
        <w:rPr>
          <w:rStyle w:val="SectionNumber"/>
        </w:rPr>
        <w:t xml:space="preserve">9.4</w:t>
      </w:r>
      <w:r>
        <w:tab/>
      </w:r>
      <w:r>
        <w:t xml:space="preserve">Electronic data</w:t>
      </w:r>
    </w:p>
    <w:bookmarkEnd w:id="123"/>
    <w:bookmarkStart w:id="124" w:name="detachable-media"/>
    <w:p>
      <w:pPr>
        <w:pStyle w:val="Heading2"/>
      </w:pPr>
      <w:r>
        <w:rPr>
          <w:rStyle w:val="SectionNumber"/>
        </w:rPr>
        <w:t xml:space="preserve">9.5</w:t>
      </w:r>
      <w:r>
        <w:tab/>
      </w:r>
      <w:r>
        <w:t xml:space="preserve">Detachable media</w:t>
      </w:r>
    </w:p>
    <w:bookmarkEnd w:id="124"/>
    <w:bookmarkStart w:id="125" w:name="audiovisual-data"/>
    <w:p>
      <w:pPr>
        <w:pStyle w:val="Heading2"/>
      </w:pPr>
      <w:r>
        <w:rPr>
          <w:rStyle w:val="SectionNumber"/>
        </w:rPr>
        <w:t xml:space="preserve">9.6</w:t>
      </w:r>
      <w:r>
        <w:tab/>
      </w:r>
      <w:r>
        <w:t xml:space="preserve">Audio/visual data</w:t>
      </w:r>
    </w:p>
    <w:bookmarkEnd w:id="125"/>
    <w:bookmarkStart w:id="126" w:name="paper-data"/>
    <w:p>
      <w:pPr>
        <w:pStyle w:val="Heading2"/>
      </w:pPr>
      <w:r>
        <w:rPr>
          <w:rStyle w:val="SectionNumber"/>
        </w:rPr>
        <w:t xml:space="preserve">9.7</w:t>
      </w:r>
      <w:r>
        <w:tab/>
      </w:r>
      <w:r>
        <w:t xml:space="preserve">Paper data</w:t>
      </w:r>
    </w:p>
    <w:bookmarkEnd w:id="126"/>
    <w:bookmarkStart w:id="127" w:name="sharing-data"/>
    <w:p>
      <w:pPr>
        <w:pStyle w:val="Heading2"/>
      </w:pPr>
      <w:r>
        <w:rPr>
          <w:rStyle w:val="SectionNumber"/>
        </w:rPr>
        <w:t xml:space="preserve">9.8</w:t>
      </w:r>
      <w:r>
        <w:tab/>
      </w:r>
      <w:r>
        <w:t xml:space="preserve">Sharing data</w:t>
      </w:r>
    </w:p>
    <w:bookmarkEnd w:id="127"/>
    <w:bookmarkEnd w:id="128"/>
    <w:bookmarkStart w:id="134" w:name="data-cleaning"/>
    <w:p>
      <w:pPr>
        <w:pStyle w:val="Heading1"/>
      </w:pPr>
      <w:r>
        <w:rPr>
          <w:rStyle w:val="SectionNumber"/>
        </w:rPr>
        <w:t xml:space="preserve">10</w:t>
      </w:r>
      <w:r>
        <w:tab/>
      </w:r>
      <w:r>
        <w:t xml:space="preserve">Data Cleaning</w:t>
      </w:r>
    </w:p>
    <w:bookmarkStart w:id="129" w:name="foundational-knowledge"/>
    <w:p>
      <w:pPr>
        <w:pStyle w:val="Heading2"/>
      </w:pPr>
      <w:r>
        <w:rPr>
          <w:rStyle w:val="SectionNumber"/>
        </w:rPr>
        <w:t xml:space="preserve">10.1</w:t>
      </w:r>
      <w:r>
        <w:tab/>
      </w:r>
      <w:r>
        <w:t xml:space="preserve">Foundational knowledge</w:t>
      </w:r>
    </w:p>
    <w:bookmarkEnd w:id="129"/>
    <w:bookmarkStart w:id="130" w:name="data-structure"/>
    <w:p>
      <w:pPr>
        <w:pStyle w:val="Heading2"/>
      </w:pPr>
      <w:r>
        <w:rPr>
          <w:rStyle w:val="SectionNumber"/>
        </w:rPr>
        <w:t xml:space="preserve">10.2</w:t>
      </w:r>
      <w:r>
        <w:tab/>
      </w:r>
      <w:r>
        <w:t xml:space="preserve">Data structure</w:t>
      </w:r>
    </w:p>
    <w:bookmarkEnd w:id="130"/>
    <w:bookmarkStart w:id="131" w:name="data-cleaning-plan"/>
    <w:p>
      <w:pPr>
        <w:pStyle w:val="Heading2"/>
      </w:pPr>
      <w:r>
        <w:rPr>
          <w:rStyle w:val="SectionNumber"/>
        </w:rPr>
        <w:t xml:space="preserve">10.3</w:t>
      </w:r>
      <w:r>
        <w:tab/>
      </w:r>
      <w:r>
        <w:t xml:space="preserve">Data cleaning plan</w:t>
      </w:r>
    </w:p>
    <w:bookmarkEnd w:id="131"/>
    <w:bookmarkStart w:id="132" w:name="data-validation"/>
    <w:p>
      <w:pPr>
        <w:pStyle w:val="Heading2"/>
      </w:pPr>
      <w:r>
        <w:rPr>
          <w:rStyle w:val="SectionNumber"/>
        </w:rPr>
        <w:t xml:space="preserve">10.4</w:t>
      </w:r>
      <w:r>
        <w:tab/>
      </w:r>
      <w:r>
        <w:t xml:space="preserve">Data validation</w:t>
      </w:r>
    </w:p>
    <w:bookmarkEnd w:id="132"/>
    <w:bookmarkStart w:id="133" w:name="why-use-code"/>
    <w:p>
      <w:pPr>
        <w:pStyle w:val="Heading2"/>
      </w:pPr>
      <w:r>
        <w:rPr>
          <w:rStyle w:val="SectionNumber"/>
        </w:rPr>
        <w:t xml:space="preserve">10.5</w:t>
      </w:r>
      <w:r>
        <w:tab/>
      </w:r>
      <w:r>
        <w:t xml:space="preserve">Why use code?</w:t>
      </w:r>
    </w:p>
    <w:bookmarkEnd w:id="133"/>
    <w:bookmarkEnd w:id="134"/>
    <w:bookmarkStart w:id="139" w:name="data-sharing"/>
    <w:p>
      <w:pPr>
        <w:pStyle w:val="Heading1"/>
      </w:pPr>
      <w:r>
        <w:rPr>
          <w:rStyle w:val="SectionNumber"/>
        </w:rPr>
        <w:t xml:space="preserve">11</w:t>
      </w:r>
      <w:r>
        <w:tab/>
      </w:r>
      <w:r>
        <w:t xml:space="preserve">Data Sharing</w:t>
      </w:r>
    </w:p>
    <w:bookmarkStart w:id="135" w:name="why-share-your-data"/>
    <w:p>
      <w:pPr>
        <w:pStyle w:val="Heading2"/>
      </w:pPr>
      <w:r>
        <w:rPr>
          <w:rStyle w:val="SectionNumber"/>
        </w:rPr>
        <w:t xml:space="preserve">11.1</w:t>
      </w:r>
      <w:r>
        <w:tab/>
      </w:r>
      <w:r>
        <w:t xml:space="preserve">Why share your data?</w:t>
      </w:r>
    </w:p>
    <w:bookmarkEnd w:id="135"/>
    <w:bookmarkStart w:id="136" w:name="considering-fair-principles"/>
    <w:p>
      <w:pPr>
        <w:pStyle w:val="Heading2"/>
      </w:pPr>
      <w:r>
        <w:rPr>
          <w:rStyle w:val="SectionNumber"/>
        </w:rPr>
        <w:t xml:space="preserve">11.2</w:t>
      </w:r>
      <w:r>
        <w:tab/>
      </w:r>
      <w:r>
        <w:t xml:space="preserve">Considering FAIR principles</w:t>
      </w:r>
    </w:p>
    <w:bookmarkEnd w:id="136"/>
    <w:bookmarkStart w:id="137" w:name="best-practices"/>
    <w:p>
      <w:pPr>
        <w:pStyle w:val="Heading2"/>
      </w:pPr>
      <w:r>
        <w:rPr>
          <w:rStyle w:val="SectionNumber"/>
        </w:rPr>
        <w:t xml:space="preserve">11.3</w:t>
      </w:r>
      <w:r>
        <w:tab/>
      </w:r>
      <w:r>
        <w:t xml:space="preserve">Best practices</w:t>
      </w:r>
    </w:p>
    <w:bookmarkEnd w:id="137"/>
    <w:bookmarkStart w:id="138" w:name="retractions-and-revisions"/>
    <w:p>
      <w:pPr>
        <w:pStyle w:val="Heading2"/>
      </w:pPr>
      <w:r>
        <w:rPr>
          <w:rStyle w:val="SectionNumber"/>
        </w:rPr>
        <w:t xml:space="preserve">11.4</w:t>
      </w:r>
      <w:r>
        <w:tab/>
      </w:r>
      <w:r>
        <w:t xml:space="preserve">Retractions and revisions</w:t>
      </w:r>
    </w:p>
    <w:bookmarkEnd w:id="138"/>
    <w:bookmarkEnd w:id="139"/>
    <w:bookmarkStart w:id="142" w:name="wrapping-it-up"/>
    <w:p>
      <w:pPr>
        <w:pStyle w:val="Heading1"/>
      </w:pPr>
      <w:r>
        <w:rPr>
          <w:rStyle w:val="SectionNumber"/>
        </w:rPr>
        <w:t xml:space="preserve">12</w:t>
      </w:r>
      <w:r>
        <w:tab/>
      </w:r>
      <w:r>
        <w:t xml:space="preserve">Wrapping It Up</w:t>
      </w:r>
    </w:p>
    <w:bookmarkStart w:id="140" w:name="connecting-practices-to-outcomes"/>
    <w:p>
      <w:pPr>
        <w:pStyle w:val="Heading2"/>
      </w:pPr>
      <w:r>
        <w:rPr>
          <w:rStyle w:val="SectionNumber"/>
        </w:rPr>
        <w:t xml:space="preserve">12.1</w:t>
      </w:r>
      <w:r>
        <w:tab/>
      </w:r>
      <w:r>
        <w:t xml:space="preserve">Connecting practices to outcomes</w:t>
      </w:r>
    </w:p>
    <w:bookmarkEnd w:id="140"/>
    <w:bookmarkStart w:id="141" w:name="putting-in-the-work"/>
    <w:p>
      <w:pPr>
        <w:pStyle w:val="Heading2"/>
      </w:pPr>
      <w:r>
        <w:rPr>
          <w:rStyle w:val="SectionNumber"/>
        </w:rPr>
        <w:t xml:space="preserve">12.2</w:t>
      </w:r>
      <w:r>
        <w:tab/>
      </w:r>
      <w:r>
        <w:t xml:space="preserve">Putting in the work</w:t>
      </w:r>
    </w:p>
    <w:bookmarkEnd w:id="141"/>
    <w:bookmarkEnd w:id="142"/>
    <w:bookmarkStart w:id="146" w:name="call-to-action"/>
    <w:p>
      <w:pPr>
        <w:pStyle w:val="Heading1"/>
      </w:pPr>
      <w:r>
        <w:rPr>
          <w:rStyle w:val="SectionNumber"/>
        </w:rPr>
        <w:t xml:space="preserve">13</w:t>
      </w:r>
      <w:r>
        <w:tab/>
      </w:r>
      <w:r>
        <w:t xml:space="preserve">Call to Action</w:t>
      </w:r>
    </w:p>
    <w:bookmarkStart w:id="143" w:name="last-thoughts"/>
    <w:p>
      <w:pPr>
        <w:pStyle w:val="Heading2"/>
      </w:pPr>
      <w:r>
        <w:rPr>
          <w:rStyle w:val="SectionNumber"/>
        </w:rPr>
        <w:t xml:space="preserve">13.1</w:t>
      </w:r>
      <w:r>
        <w:tab/>
      </w:r>
      <w:r>
        <w:t xml:space="preserve">Last thoughts</w:t>
      </w:r>
    </w:p>
    <w:bookmarkEnd w:id="143"/>
    <w:bookmarkStart w:id="144" w:name="training-for-future-researchers"/>
    <w:p>
      <w:pPr>
        <w:pStyle w:val="Heading2"/>
      </w:pPr>
      <w:r>
        <w:rPr>
          <w:rStyle w:val="SectionNumber"/>
        </w:rPr>
        <w:t xml:space="preserve">13.2</w:t>
      </w:r>
      <w:r>
        <w:tab/>
      </w:r>
      <w:r>
        <w:t xml:space="preserve">Training for future researchers</w:t>
      </w:r>
    </w:p>
    <w:bookmarkEnd w:id="144"/>
    <w:bookmarkStart w:id="145" w:name="X77f9e2dc88081311896fe5c0fa48604f4a8018c"/>
    <w:p>
      <w:pPr>
        <w:pStyle w:val="Heading2"/>
      </w:pPr>
      <w:r>
        <w:rPr>
          <w:rStyle w:val="SectionNumber"/>
        </w:rPr>
        <w:t xml:space="preserve">13.3</w:t>
      </w:r>
      <w:r>
        <w:tab/>
      </w:r>
      <w:r>
        <w:t xml:space="preserve">Investing in data management and data managers</w:t>
      </w:r>
    </w:p>
    <w:bookmarkEnd w:id="145"/>
    <w:bookmarkEnd w:id="146"/>
    <w:bookmarkStart w:id="170" w:name="appendices"/>
    <w:p>
      <w:pPr>
        <w:pStyle w:val="Heading1"/>
      </w:pPr>
      <w:r>
        <w:rPr>
          <w:rStyle w:val="SectionNumber"/>
        </w:rPr>
        <w:t xml:space="preserve">14</w:t>
      </w:r>
      <w:r>
        <w:tab/>
      </w:r>
      <w:r>
        <w:t xml:space="preserve">Appendices</w:t>
      </w:r>
    </w:p>
    <w:bookmarkStart w:id="169" w:name="refs"/>
    <w:bookmarkStart w:id="147" w:name="ref-alston_beginners_2021"/>
    <w:p>
      <w:pPr>
        <w:pStyle w:val="Bibliography"/>
      </w:pPr>
      <w:r>
        <w:t xml:space="preserve">Alston, Jesse M.,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bookmarkEnd w:id="147"/>
    <w:bookmarkStart w:id="148" w:name="ref-bordelon_guides_nodate"/>
    <w:p>
      <w:pPr>
        <w:pStyle w:val="Bibliography"/>
      </w:pPr>
      <w:r>
        <w:t xml:space="preserve">Bordelon, Dominic.</w:t>
      </w:r>
      <w:r>
        <w:t xml:space="preserve"> </w:t>
      </w:r>
      <w:r>
        <w:t xml:space="preserve">“Guides: Research Data Management @ Pitt: Understanding Research Data Management.”</w:t>
      </w:r>
      <w:r>
        <w:t xml:space="preserve"> </w:t>
      </w:r>
      <w:r>
        <w:t xml:space="preserve">Accessed October 13, 2022.</w:t>
      </w:r>
      <w:r>
        <w:t xml:space="preserve"> </w:t>
      </w:r>
      <w:hyperlink r:id="rId59">
        <w:r>
          <w:rPr>
            <w:rStyle w:val="Hyperlink"/>
          </w:rPr>
          <w:t xml:space="preserve">https://pitt.libguides.com/managedata/understanding</w:t>
        </w:r>
      </w:hyperlink>
      <w:r>
        <w:t xml:space="preserve">.</w:t>
      </w:r>
    </w:p>
    <w:bookmarkEnd w:id="148"/>
    <w:bookmarkStart w:id="149" w:name="ref-borghi_data_2021"/>
    <w:p>
      <w:pPr>
        <w:pStyle w:val="Bibliography"/>
      </w:pPr>
      <w:r>
        <w:t xml:space="preserve">Borghi, John A.,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8">
        <w:r>
          <w:rPr>
            <w:rStyle w:val="Hyperlink"/>
          </w:rPr>
          <w:t xml:space="preserve">https://doi.org/10.1371/journal.pone.0252047</w:t>
        </w:r>
      </w:hyperlink>
      <w:r>
        <w:t xml:space="preserve">.</w:t>
      </w:r>
    </w:p>
    <w:bookmarkEnd w:id="149"/>
    <w:bookmarkStart w:id="150" w:name="ref-borghi_promoting_2022"/>
    <w:p>
      <w:pPr>
        <w:pStyle w:val="Bibliography"/>
      </w:pPr>
      <w:r>
        <w:t xml:space="preserve">Borghi, John,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24">
        <w:r>
          <w:rPr>
            <w:rStyle w:val="Hyperlink"/>
          </w:rPr>
          <w:t xml:space="preserve">https://doi.org/10.1162/99608f92.9497f68e</w:t>
        </w:r>
      </w:hyperlink>
      <w:r>
        <w:t xml:space="preserve">.</w:t>
      </w:r>
    </w:p>
    <w:bookmarkEnd w:id="150"/>
    <w:bookmarkStart w:id="151"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bookmarkEnd w:id="151"/>
    <w:bookmarkStart w:id="152"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80">
        <w:r>
          <w:rPr>
            <w:rStyle w:val="Hyperlink"/>
          </w:rPr>
          <w:t xml:space="preserve">https://doi.org/10.1093/ije/dyaa087</w:t>
        </w:r>
      </w:hyperlink>
      <w:r>
        <w:t xml:space="preserve">.</w:t>
      </w:r>
    </w:p>
    <w:bookmarkEnd w:id="152"/>
    <w:bookmarkStart w:id="153" w:name="ref-campos-varela_misconduct_2019"/>
    <w:p>
      <w:pPr>
        <w:pStyle w:val="Bibliography"/>
      </w:pPr>
      <w:r>
        <w:t xml:space="preserve">Campos-Varela, Isabel,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bookmarkEnd w:id="153"/>
    <w:bookmarkStart w:id="154"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presentation, April 4, 2022.</w:t>
      </w:r>
      <w:r>
        <w:t xml:space="preserve"> </w:t>
      </w:r>
      <w:hyperlink r:id="rId30">
        <w:r>
          <w:rPr>
            <w:rStyle w:val="Hyperlink"/>
          </w:rPr>
          <w:t xml:space="preserve">https://doi.org/10.6084/m9.figshare.19514368.v1</w:t>
        </w:r>
      </w:hyperlink>
      <w:r>
        <w:t xml:space="preserve">.</w:t>
      </w:r>
    </w:p>
    <w:bookmarkEnd w:id="154"/>
    <w:bookmarkStart w:id="155" w:name="ref-cowles_research_nodate"/>
    <w:p>
      <w:pPr>
        <w:pStyle w:val="Bibliography"/>
      </w:pPr>
      <w:r>
        <w:t xml:space="preserve">Cowles, Wind.</w:t>
      </w:r>
      <w:r>
        <w:t xml:space="preserve"> </w:t>
      </w:r>
      <w:r>
        <w:t xml:space="preserve">“Research Guides: Research Data Management at Princeton: Home.”</w:t>
      </w:r>
      <w:r>
        <w:t xml:space="preserve"> </w:t>
      </w:r>
      <w:r>
        <w:t xml:space="preserve">Accessed September 15, 2022.</w:t>
      </w:r>
      <w:r>
        <w:t xml:space="preserve"> </w:t>
      </w:r>
      <w:hyperlink r:id="rId73">
        <w:r>
          <w:rPr>
            <w:rStyle w:val="Hyperlink"/>
          </w:rPr>
          <w:t xml:space="preserve">https://libguides.princeton.edu/c.php?g=102546&amp;p=665862</w:t>
        </w:r>
      </w:hyperlink>
      <w:r>
        <w:t xml:space="preserve">.</w:t>
      </w:r>
    </w:p>
    <w:bookmarkEnd w:id="155"/>
    <w:bookmarkStart w:id="156" w:name="ref-doucette_drowning_2013"/>
    <w:p>
      <w:pPr>
        <w:pStyle w:val="Bibliography"/>
      </w:pPr>
      <w:r>
        <w:t xml:space="preserve">Doucette, Lise,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156"/>
    <w:bookmarkStart w:id="157" w:name="ref-eaker_what_2016"/>
    <w:p>
      <w:pPr>
        <w:pStyle w:val="Bibliography"/>
      </w:pPr>
      <w:r>
        <w:t xml:space="preserve">Eaker, C.</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74">
        <w:r>
          <w:rPr>
            <w:rStyle w:val="Hyperlink"/>
          </w:rPr>
          <w:t xml:space="preserve">https://trace.tennessee.edu/cgi/viewcontent.cgi?article=1023&amp;context=utk_libpub</w:t>
        </w:r>
      </w:hyperlink>
      <w:r>
        <w:t xml:space="preserve">.</w:t>
      </w:r>
    </w:p>
    <w:bookmarkEnd w:id="157"/>
    <w:bookmarkStart w:id="158" w:name="ref-eisenstein_pursuit_2022"/>
    <w:p>
      <w:pPr>
        <w:pStyle w:val="Bibliography"/>
      </w:pPr>
      <w:r>
        <w:t xml:space="preserve">Eisenstein, Michael.</w:t>
      </w:r>
      <w:r>
        <w:t xml:space="preserve"> </w:t>
      </w:r>
      <w:r>
        <w:t xml:space="preserve">“In Pursuit of Data Immortality.”</w:t>
      </w:r>
      <w:r>
        <w:t xml:space="preserve"> </w:t>
      </w:r>
      <w:r>
        <w:rPr>
          <w:iCs/>
          <w:i/>
        </w:rPr>
        <w:t xml:space="preserve">Nature</w:t>
      </w:r>
      <w:r>
        <w:t xml:space="preserve"> </w:t>
      </w:r>
      <w:r>
        <w:t xml:space="preserve">604, no. 7904 (April 4, 2022): 207–8.</w:t>
      </w:r>
      <w:r>
        <w:t xml:space="preserve"> </w:t>
      </w:r>
      <w:hyperlink r:id="rId46">
        <w:r>
          <w:rPr>
            <w:rStyle w:val="Hyperlink"/>
          </w:rPr>
          <w:t xml:space="preserve">https://doi.org/10.1038/d41586-022-00929-3</w:t>
        </w:r>
      </w:hyperlink>
      <w:r>
        <w:t xml:space="preserve">.</w:t>
      </w:r>
    </w:p>
    <w:bookmarkEnd w:id="158"/>
    <w:bookmarkStart w:id="159" w:name="ref-open_science_foundation_cos_2022"/>
    <w:p>
      <w:pPr>
        <w:pStyle w:val="Bibliography"/>
      </w:pPr>
      <w:r>
        <w:t xml:space="preserve">Foundation, Open Science.</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159"/>
    <w:bookmarkStart w:id="160" w:name="ref-the_white_house_executive_2013"/>
    <w:p>
      <w:pPr>
        <w:pStyle w:val="Bibliography"/>
      </w:pPr>
      <w:r>
        <w:t xml:space="preserve">House, The White.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67">
        <w:r>
          <w:rPr>
            <w:rStyle w:val="Hyperlink"/>
          </w:rPr>
          <w:t xml:space="preserve">https://obamawhitehouse.archives.gov/the-press-office/2013/05/09/executive-order-making-open-and-machine-readable-new-default-government-</w:t>
        </w:r>
      </w:hyperlink>
      <w:r>
        <w:t xml:space="preserve">.</w:t>
      </w:r>
    </w:p>
    <w:bookmarkEnd w:id="160"/>
    <w:bookmarkStart w:id="161" w:name="ref-hubbard_data_2017"/>
    <w:p>
      <w:pPr>
        <w:pStyle w:val="Bibliography"/>
      </w:pPr>
      <w:r>
        <w:t xml:space="preserve">Hubbard, Aleata.</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bookmarkEnd w:id="161"/>
    <w:bookmarkStart w:id="162" w:name="ref-kovacs_role_2021"/>
    <w:p>
      <w:pPr>
        <w:pStyle w:val="Bibliography"/>
      </w:pPr>
      <w:r>
        <w:t xml:space="preserve">Kovacs, Marton,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162"/>
    <w:bookmarkStart w:id="163" w:name="ref-markowetz_five_2015"/>
    <w:p>
      <w:pPr>
        <w:pStyle w:val="Bibliography"/>
      </w:pPr>
      <w:r>
        <w:t xml:space="preserve">Markowetz, Florian.</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78">
        <w:r>
          <w:rPr>
            <w:rStyle w:val="Hyperlink"/>
          </w:rPr>
          <w:t xml:space="preserve">https://doi.org/10.1186/s13059-015-0850-7</w:t>
        </w:r>
      </w:hyperlink>
      <w:r>
        <w:t xml:space="preserve">.</w:t>
      </w:r>
    </w:p>
    <w:bookmarkEnd w:id="163"/>
    <w:bookmarkStart w:id="164" w:name="ref-neild_sharing_2022"/>
    <w:p>
      <w:pPr>
        <w:pStyle w:val="Bibliography"/>
      </w:pPr>
      <w:r>
        <w:t xml:space="preserve">Neild, R. C.,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w:t>
      </w:r>
    </w:p>
    <w:bookmarkEnd w:id="164"/>
    <w:bookmarkStart w:id="165" w:name="ref-noauthor_psych-ds_nodate"/>
    <w:p>
      <w:pPr>
        <w:pStyle w:val="Bibliography"/>
      </w:pPr>
      <w:r>
        <w:t xml:space="preserve">“Psych-</w:t>
      </w:r>
      <w:r>
        <w:t xml:space="preserve">DS</w:t>
      </w:r>
      <w:r>
        <w:t xml:space="preserve"> </w:t>
      </w:r>
      <w:r>
        <w:t xml:space="preserve">Specification. Google Docs.”</w:t>
      </w:r>
      <w:r>
        <w:t xml:space="preserve"> </w:t>
      </w:r>
      <w:r>
        <w:t xml:space="preserve">Accessed September 16, 2022.</w:t>
      </w:r>
      <w:r>
        <w:t xml:space="preserve"> </w:t>
      </w:r>
      <w:hyperlink r:id="rId35">
        <w:r>
          <w:rPr>
            <w:rStyle w:val="Hyperlink"/>
          </w:rPr>
          <w:t xml:space="preserve">https://docs.google.com/document/d/1u8o5jnWk0Iqp_J06PTu5NjBfVsdoPbBhstht6W0fFp0/edit?usp=embed_facebook</w:t>
        </w:r>
      </w:hyperlink>
      <w:r>
        <w:t xml:space="preserve">.</w:t>
      </w:r>
    </w:p>
    <w:bookmarkEnd w:id="165"/>
    <w:bookmarkStart w:id="166" w:name="ref-reynolds_basics_2022"/>
    <w:p>
      <w:pPr>
        <w:pStyle w:val="Bibliography"/>
      </w:pPr>
      <w:r>
        <w:t xml:space="preserve">Reynolds, Tara, Christopher Schatschneider, and Jessica Logan.</w:t>
      </w:r>
      <w:r>
        <w:t xml:space="preserve"> </w:t>
      </w:r>
      <w:r>
        <w:t xml:space="preserve">“The Basics of Data Management.”</w:t>
      </w:r>
      <w:r>
        <w:t xml:space="preserve"> </w:t>
      </w:r>
      <w:r>
        <w:t xml:space="preserve">figshare, April 26, 2022.</w:t>
      </w:r>
      <w:r>
        <w:t xml:space="preserve"> </w:t>
      </w:r>
      <w:hyperlink r:id="rId33">
        <w:r>
          <w:rPr>
            <w:rStyle w:val="Hyperlink"/>
          </w:rPr>
          <w:t xml:space="preserve">https://doi.org/10.6084/m9.figshare.13215350.v2</w:t>
        </w:r>
      </w:hyperlink>
      <w:r>
        <w:t xml:space="preserve">.</w:t>
      </w:r>
    </w:p>
    <w:bookmarkEnd w:id="166"/>
    <w:bookmarkStart w:id="167"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63">
        <w:r>
          <w:rPr>
            <w:rStyle w:val="Hyperlink"/>
          </w:rPr>
          <w:t xml:space="preserve">https://www.whitehouse.gov/ostp/news-updates/2022/08/25/ostp-issues-guidance-to-make-federally-funded-research-freely-available-without-delay/</w:t>
        </w:r>
      </w:hyperlink>
      <w:r>
        <w:t xml:space="preserve">.</w:t>
      </w:r>
    </w:p>
    <w:bookmarkEnd w:id="167"/>
    <w:bookmarkStart w:id="168" w:name="ref-tenopir_data_2016-1"/>
    <w:p>
      <w:pPr>
        <w:pStyle w:val="Bibliography"/>
      </w:pPr>
      <w:r>
        <w:t xml:space="preserve">Tenopir, Carol, Suzie Allard, Priyanki Sinha, Danielle Pollock, Jess Newman, Elizabeth Dalton, Mike Frame, and Lynn Baird.</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61">
        <w:r>
          <w:rPr>
            <w:rStyle w:val="Hyperlink"/>
          </w:rPr>
          <w:t xml:space="preserve">https://doi.org/10.2218/ijdc.v11i1.389</w:t>
        </w:r>
      </w:hyperlink>
      <w:r>
        <w:t xml:space="preserve">.</w:t>
      </w:r>
    </w:p>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 Cleaning in Mathematics Education Research: The Overlooked Methodological Step</w:t>
      </w:r>
      <w:r>
        <w:t xml:space="preserve">, 2017,</w:t>
      </w:r>
      <w:r>
        <w:t xml:space="preserve"> </w:t>
      </w:r>
      <w:hyperlink r:id="rId22">
        <w:r>
          <w:rPr>
            <w:rStyle w:val="Hyperlink"/>
          </w:rPr>
          <w:t xml:space="preserve">https://eric.ed.gov/?id=ED583982</w:t>
        </w:r>
      </w:hyperlink>
      <w:r>
        <w:t xml:space="preserve">.</w:t>
      </w:r>
    </w:p>
  </w:footnote>
  <w:footnote w:id="23">
    <w:p>
      <w:pPr>
        <w:pStyle w:val="FootnoteText"/>
      </w:pPr>
      <w:r>
        <w:rPr>
          <w:rStyle w:val="FootnoteReference"/>
        </w:rPr>
        <w:footnoteRef/>
      </w:r>
      <w:r>
        <w:t xml:space="preserve"> </w:t>
      </w:r>
      <w:r>
        <w:t xml:space="preserve">John Borghi and Ana Van Gulick,</w:t>
      </w:r>
      <w:r>
        <w:t xml:space="preserve"> </w:t>
      </w:r>
      <w:r>
        <w:t xml:space="preserve">“Promoting Open Science Through Research Data Management,”</w:t>
      </w:r>
      <w:r>
        <w:t xml:space="preserve"> </w:t>
      </w:r>
      <w:r>
        <w:rPr>
          <w:iCs/>
          <w:i/>
        </w:rPr>
        <w:t xml:space="preserve">Harvard Data Science Review</w:t>
      </w:r>
      <w:r>
        <w:t xml:space="preserve">, July 28, 2022,</w:t>
      </w:r>
      <w:r>
        <w:t xml:space="preserve"> </w:t>
      </w:r>
      <w:hyperlink r:id="rId24">
        <w:r>
          <w:rPr>
            <w:rStyle w:val="Hyperlink"/>
          </w:rPr>
          <w:t xml:space="preserve">https://doi.org/10.1162/99608f92.9497f68e</w:t>
        </w:r>
      </w:hyperlink>
      <w:r>
        <w:t xml:space="preserve">.</w:t>
      </w:r>
    </w:p>
  </w:footnote>
  <w:footnote w:id="26">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w:t>
      </w:r>
      <w:r>
        <w:t xml:space="preserve"> </w:t>
      </w:r>
      <w:r>
        <w:t xml:space="preserve">UK</w:t>
      </w:r>
      <w:r>
        <w:t xml:space="preserve">: Pelagic Publishing, 2015).</w:t>
      </w:r>
    </w:p>
  </w:footnote>
  <w:footnote w:id="27">
    <w:p>
      <w:pPr>
        <w:pStyle w:val="FootnoteText"/>
      </w:pPr>
      <w:r>
        <w:rPr>
          <w:rStyle w:val="FootnoteReference"/>
        </w:rPr>
        <w:footnoteRef/>
      </w:r>
      <w:r>
        <w:t xml:space="preserve"> </w:t>
      </w:r>
      <w:r>
        <w:t xml:space="preserve">John A. Borghi and Ana E. Van Gulick,</w:t>
      </w:r>
      <w:r>
        <w:t xml:space="preserve"> </w:t>
      </w:r>
      <w:r>
        <w:t xml:space="preserve">“Data Management and Sharing: Practices and Perceptions of Psychology Researchers,”</w:t>
      </w:r>
      <w:r>
        <w:t xml:space="preserve"> </w:t>
      </w:r>
      <w:r>
        <w:rPr>
          <w:iCs/>
          <w:i/>
        </w:rPr>
        <w:t xml:space="preserve">PLOS</w:t>
      </w:r>
      <w:r>
        <w:rPr>
          <w:iCs/>
          <w:i/>
        </w:rPr>
        <w:t xml:space="preserve"> </w:t>
      </w:r>
      <w:r>
        <w:rPr>
          <w:iCs/>
          <w:i/>
        </w:rPr>
        <w:t xml:space="preserve">ONE</w:t>
      </w:r>
      <w:r>
        <w:t xml:space="preserve"> </w:t>
      </w:r>
      <w:r>
        <w:t xml:space="preserve">16, no. 5 (May 21, 2021): e0252047,</w:t>
      </w:r>
      <w:r>
        <w:t xml:space="preserve"> </w:t>
      </w:r>
      <w:hyperlink r:id="rId28">
        <w:r>
          <w:rPr>
            <w:rStyle w:val="Hyperlink"/>
          </w:rPr>
          <w:t xml:space="preserve">https://doi.org/10.1371/journal.pone.0252047</w:t>
        </w:r>
      </w:hyperlink>
      <w:r>
        <w:t xml:space="preserve">.</w:t>
      </w:r>
    </w:p>
  </w:footnote>
  <w:footnote w:id="29">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presentation, April 4, 2022),</w:t>
      </w:r>
      <w:r>
        <w:t xml:space="preserve"> </w:t>
      </w:r>
      <w:hyperlink r:id="rId30">
        <w:r>
          <w:rPr>
            <w:rStyle w:val="Hyperlink"/>
          </w:rPr>
          <w:t xml:space="preserve">https://doi.org/10.6084/m9.figshare.19514368.v1</w:t>
        </w:r>
      </w:hyperlink>
      <w:r>
        <w:t xml:space="preserve">.</w:t>
      </w:r>
    </w:p>
  </w:footnote>
  <w:footnote w:id="31">
    <w:p>
      <w:pPr>
        <w:pStyle w:val="FootnoteText"/>
      </w:pPr>
      <w:r>
        <w:rPr>
          <w:rStyle w:val="FootnoteReference"/>
        </w:rPr>
        <w:footnoteRef/>
      </w:r>
      <w:r>
        <w:t xml:space="preserve"> </w:t>
      </w:r>
      <w:r>
        <w:t xml:space="preserve">R. C. Neild, D. Robinson, and J. Agufa,</w:t>
      </w:r>
      <w:r>
        <w:t xml:space="preserve"> </w:t>
      </w:r>
      <w:r>
        <w:t xml:space="preserve">“Sharing Study Data: A Guide for Education Researchers.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 Tara Reynolds, Christopher Schatschneider, and Jessica Logan,</w:t>
      </w:r>
      <w:r>
        <w:t xml:space="preserve"> </w:t>
      </w:r>
      <w:r>
        <w:t xml:space="preserve">“The Basics of Data Management”</w:t>
      </w:r>
      <w:r>
        <w:t xml:space="preserve"> </w:t>
      </w:r>
      <w:r>
        <w:t xml:space="preserve">(figshare, April 26, 2022),</w:t>
      </w:r>
      <w:r>
        <w:t xml:space="preserve"> </w:t>
      </w:r>
      <w:hyperlink r:id="rId33">
        <w:r>
          <w:rPr>
            <w:rStyle w:val="Hyperlink"/>
          </w:rPr>
          <w:t xml:space="preserve">https://doi.org/10.6084/m9.figshare.13215350.v2</w:t>
        </w:r>
      </w:hyperlink>
      <w:r>
        <w:t xml:space="preserve">.</w:t>
      </w:r>
    </w:p>
  </w:footnote>
  <w:footnote w:id="34">
    <w:p>
      <w:pPr>
        <w:pStyle w:val="FootnoteText"/>
      </w:pPr>
      <w:r>
        <w:rPr>
          <w:rStyle w:val="FootnoteReference"/>
        </w:rPr>
        <w:footnoteRef/>
      </w:r>
      <w:r>
        <w:t xml:space="preserve"> </w:t>
      </w:r>
      <w:r>
        <w:t xml:space="preserve">“Psych-</w:t>
      </w:r>
      <w:r>
        <w:t xml:space="preserve">DS</w:t>
      </w:r>
      <w:r>
        <w:t xml:space="preserve"> </w:t>
      </w:r>
      <w:r>
        <w:t xml:space="preserve">Specification. Google Docs,”</w:t>
      </w:r>
      <w:r>
        <w:t xml:space="preserve"> </w:t>
      </w:r>
      <w:r>
        <w:t xml:space="preserve">accessed September 16, 2022,</w:t>
      </w:r>
      <w:r>
        <w:t xml:space="preserve"> </w:t>
      </w:r>
      <w:hyperlink r:id="rId35">
        <w:r>
          <w:rPr>
            <w:rStyle w:val="Hyperlink"/>
          </w:rPr>
          <w:t xml:space="preserve">https://docs.google.com/document/d/1u8o5jnWk0Iqp_J06PTu5NjBfVsdoPbBhstht6W0fFp0/edit?usp=embed_facebook</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 A Descriptive Study of Retracted Publications and Their Authors,”</w:t>
      </w:r>
      <w:r>
        <w:t xml:space="preserve"> </w:t>
      </w:r>
      <w:r>
        <w:rPr>
          <w:iCs/>
          <w:i/>
        </w:rPr>
        <w:t xml:space="preserve">Gaceta Sanitaria</w:t>
      </w:r>
      <w:r>
        <w:t xml:space="preserve"> </w:t>
      </w:r>
      <w:r>
        <w:t xml:space="preserve">33, no. 4 (July 1,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 Research Data: Addressing Data Management Literacy of Graduate Students -</w:t>
      </w:r>
      <w:r>
        <w:t xml:space="preserve"> </w:t>
      </w:r>
      <w:r>
        <w:t xml:space="preserve">PDF</w:t>
      </w:r>
      <w:r>
        <w:t xml:space="preserve"> </w:t>
      </w:r>
      <w:r>
        <w:t xml:space="preserve">Free Download,”</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 Role of Human Fallibility in Psychological Research: A Survey of Mistakes in Data Management,”</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Open Science Foundation,</w:t>
      </w:r>
      <w:r>
        <w:t xml:space="preserve"> </w:t>
      </w:r>
      <w:r>
        <w:t xml:space="preserve">“</w:t>
      </w:r>
      <w:r>
        <w:t xml:space="preserve">COS</w:t>
      </w:r>
      <w:r>
        <w:t xml:space="preserve"> </w:t>
      </w:r>
      <w:r>
        <w:t xml:space="preserve">Engagement with the Education Community”</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Michael Eisenstein,</w:t>
      </w:r>
      <w:r>
        <w:t xml:space="preserve"> </w:t>
      </w:r>
      <w:r>
        <w:t xml:space="preserve">“In Pursuit of Data Immortality,”</w:t>
      </w:r>
      <w:r>
        <w:t xml:space="preserve"> </w:t>
      </w:r>
      <w:r>
        <w:rPr>
          <w:iCs/>
          <w:i/>
        </w:rPr>
        <w:t xml:space="preserve">Nature</w:t>
      </w:r>
      <w:r>
        <w:t xml:space="preserve"> </w:t>
      </w:r>
      <w:r>
        <w:t xml:space="preserve">604, no. 7904 (April 4, 2022): 207–8,</w:t>
      </w:r>
      <w:r>
        <w:t xml:space="preserve"> </w:t>
      </w:r>
      <w:hyperlink r:id="rId46">
        <w:r>
          <w:rPr>
            <w:rStyle w:val="Hyperlink"/>
          </w:rPr>
          <w:t xml:space="preserve">https://doi.org/10.1038/d41586-022-00929-3</w:t>
        </w:r>
      </w:hyperlink>
      <w:r>
        <w:t xml:space="preserve">.</w:t>
      </w:r>
    </w:p>
  </w:footnote>
  <w:footnote w:id="49">
    <w:p>
      <w:pPr>
        <w:pStyle w:val="FootnoteText"/>
      </w:pPr>
      <w:r>
        <w:rPr>
          <w:rStyle w:val="FootnoteReference"/>
        </w:rPr>
        <w:footnoteRef/>
      </w:r>
      <w:r>
        <w:t xml:space="preserve"> </w:t>
      </w:r>
      <w:r>
        <w:t xml:space="preserve">Jesse M. Alston and Jessica A. Rick,</w:t>
      </w:r>
      <w:r>
        <w:t xml:space="preserve"> </w:t>
      </w:r>
      <w:r>
        <w:t xml:space="preserve">“A Beginner’s Guide to Conducting Reproducible Research,”</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footnote>
  <w:footnote w:id="58">
    <w:p>
      <w:pPr>
        <w:pStyle w:val="FootnoteText"/>
      </w:pPr>
      <w:r>
        <w:rPr>
          <w:rStyle w:val="FootnoteReference"/>
        </w:rPr>
        <w:footnoteRef/>
      </w:r>
      <w:r>
        <w:t xml:space="preserve"> </w:t>
      </w:r>
      <w:r>
        <w:t xml:space="preserve">Dominic Bordelon,</w:t>
      </w:r>
      <w:r>
        <w:t xml:space="preserve"> </w:t>
      </w:r>
      <w:r>
        <w:t xml:space="preserve">“Guides: Research Data Management @ Pitt: Understanding Research Data Management,”</w:t>
      </w:r>
      <w:r>
        <w:t xml:space="preserve"> </w:t>
      </w:r>
      <w:r>
        <w:t xml:space="preserve">accessed October 13, 2022,</w:t>
      </w:r>
      <w:r>
        <w:t xml:space="preserve"> </w:t>
      </w:r>
      <w:hyperlink r:id="rId59">
        <w:r>
          <w:rPr>
            <w:rStyle w:val="Hyperlink"/>
          </w:rPr>
          <w:t xml:space="preserve">https://pitt.libguides.com/managedata/understanding</w:t>
        </w:r>
      </w:hyperlink>
      <w:r>
        <w:t xml:space="preserve">.</w:t>
      </w:r>
    </w:p>
  </w:footnote>
  <w:footnote w:id="60">
    <w:p>
      <w:pPr>
        <w:pStyle w:val="FootnoteText"/>
      </w:pPr>
      <w:r>
        <w:rPr>
          <w:rStyle w:val="FootnoteReference"/>
        </w:rPr>
        <w:footnoteRef/>
      </w:r>
      <w:r>
        <w:t xml:space="preserve"> </w:t>
      </w:r>
      <w:r>
        <w:t xml:space="preserve">Carol Tenopir et al.,</w:t>
      </w:r>
      <w:r>
        <w:t xml:space="preserve"> </w:t>
      </w:r>
      <w:r>
        <w:t xml:space="preserve">“Data Management Education from the Perspective of Science Educators,”</w:t>
      </w:r>
      <w:r>
        <w:t xml:space="preserve"> </w:t>
      </w:r>
      <w:r>
        <w:rPr>
          <w:iCs/>
          <w:i/>
        </w:rPr>
        <w:t xml:space="preserve">International Journal of Digital Curation</w:t>
      </w:r>
      <w:r>
        <w:t xml:space="preserve"> </w:t>
      </w:r>
      <w:r>
        <w:t xml:space="preserve">11, no. 1 (October 6, 2016): 232–51,</w:t>
      </w:r>
      <w:r>
        <w:t xml:space="preserve"> </w:t>
      </w:r>
      <w:hyperlink r:id="rId61">
        <w:r>
          <w:rPr>
            <w:rStyle w:val="Hyperlink"/>
          </w:rPr>
          <w:t xml:space="preserve">https://doi.org/10.2218/ijdc.v11i1.389</w:t>
        </w:r>
      </w:hyperlink>
      <w:r>
        <w:t xml:space="preserve">.</w:t>
      </w:r>
    </w:p>
  </w:footnote>
  <w:footnote w:id="62">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 Guidance to Make Federally Funded Research Freely Available Without Delay. The White House,”</w:t>
      </w:r>
      <w:r>
        <w:t xml:space="preserve"> </w:t>
      </w:r>
      <w:r>
        <w:t xml:space="preserve">2022,</w:t>
      </w:r>
      <w:r>
        <w:t xml:space="preserve"> </w:t>
      </w:r>
      <w:hyperlink r:id="rId63">
        <w:r>
          <w:rPr>
            <w:rStyle w:val="Hyperlink"/>
          </w:rPr>
          <w:t xml:space="preserve">https://www.whitehouse.gov/ostp/news-updates/2022/08/25/ostp-issues-guidance-to-make-federally-funded-research-freely-available-without-delay/</w:t>
        </w:r>
      </w:hyperlink>
      <w:r>
        <w:t xml:space="preserve">.</w:t>
      </w:r>
    </w:p>
  </w:footnote>
  <w:footnote w:id="64">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66">
    <w:p>
      <w:pPr>
        <w:pStyle w:val="FootnoteText"/>
      </w:pPr>
      <w:r>
        <w:rPr>
          <w:rStyle w:val="FootnoteReference"/>
        </w:rPr>
        <w:footnoteRef/>
      </w:r>
      <w:r>
        <w:t xml:space="preserve"> </w:t>
      </w:r>
      <w:r>
        <w:t xml:space="preserve">The White House,</w:t>
      </w:r>
      <w:r>
        <w:t xml:space="preserve"> </w:t>
      </w:r>
      <w:r>
        <w:t xml:space="preserve">“Executive Order – Making Open and Machine Readable the New Default for Government Information. Whitehouse.gov,”</w:t>
      </w:r>
      <w:r>
        <w:t xml:space="preserve"> </w:t>
      </w:r>
      <w:r>
        <w:t xml:space="preserve">May 9, 2013,</w:t>
      </w:r>
      <w:r>
        <w:t xml:space="preserve"> </w:t>
      </w:r>
      <w:hyperlink r:id="rId67">
        <w:r>
          <w:rPr>
            <w:rStyle w:val="Hyperlink"/>
          </w:rPr>
          <w:t xml:space="preserve">https://obamawhitehouse.archives.gov/the-press-office/2013/05/09/executive-order-making-open-and-machine-readable-new-default-government-</w:t>
        </w:r>
      </w:hyperlink>
      <w:r>
        <w:t xml:space="preserve">.</w:t>
      </w:r>
    </w:p>
  </w:footnote>
  <w:footnote w:id="68">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 Guidance to Make Federally Funded Research Freely Available Without Delay.”</w:t>
      </w:r>
    </w:p>
  </w:footnote>
  <w:footnote w:id="69">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p>
  </w:footnote>
  <w:footnote w:id="70">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71">
    <w:p>
      <w:pPr>
        <w:pStyle w:val="FootnoteText"/>
      </w:pPr>
      <w:r>
        <w:rPr>
          <w:rStyle w:val="FootnoteReference"/>
        </w:rPr>
        <w:footnoteRef/>
      </w:r>
      <w:r>
        <w:t xml:space="preserve"> </w:t>
      </w:r>
      <w:r>
        <w:t xml:space="preserve">Alston and Rick.</w:t>
      </w:r>
    </w:p>
  </w:footnote>
  <w:footnote w:id="72">
    <w:p>
      <w:pPr>
        <w:pStyle w:val="FootnoteText"/>
      </w:pPr>
      <w:r>
        <w:rPr>
          <w:rStyle w:val="FootnoteReference"/>
        </w:rPr>
        <w:footnoteRef/>
      </w:r>
      <w:r>
        <w:t xml:space="preserve"> </w:t>
      </w:r>
      <w:r>
        <w:t xml:space="preserve">Borghi and Van Gulick,</w:t>
      </w:r>
      <w:r>
        <w:t xml:space="preserve"> </w:t>
      </w:r>
      <w:r>
        <w:t xml:space="preserve">“Promoting Open Science Through Research Data Management”</w:t>
      </w:r>
      <w:r>
        <w:t xml:space="preserve">; Wind Cowles,</w:t>
      </w:r>
      <w:r>
        <w:t xml:space="preserve"> </w:t>
      </w:r>
      <w:r>
        <w:t xml:space="preserve">“Research Guides: Research Data Management at Princeton: Home,”</w:t>
      </w:r>
      <w:r>
        <w:t xml:space="preserve"> </w:t>
      </w:r>
      <w:r>
        <w:t xml:space="preserve">accessed September 15, 2022,</w:t>
      </w:r>
      <w:r>
        <w:t xml:space="preserve"> </w:t>
      </w:r>
      <w:hyperlink r:id="rId73">
        <w:r>
          <w:rPr>
            <w:rStyle w:val="Hyperlink"/>
          </w:rPr>
          <w:t xml:space="preserve">https://libguides.princeton.edu/c.php?g=102546&amp;p=665862</w:t>
        </w:r>
      </w:hyperlink>
      <w:r>
        <w:t xml:space="preserve">; C. Eaker,</w:t>
      </w:r>
      <w:r>
        <w:t xml:space="preserve"> </w:t>
      </w:r>
      <w:r>
        <w:t xml:space="preserve">“What Could Possibly Go Wrong? The Impact of Poor Data Management,”</w:t>
      </w:r>
      <w:r>
        <w:t xml:space="preserve"> </w:t>
      </w:r>
      <w:r>
        <w:rPr>
          <w:iCs/>
          <w:i/>
        </w:rPr>
        <w:t xml:space="preserve">In Federer, L. (Ed.). The Medical Library Association’s Guide to Data Management for Librarians</w:t>
      </w:r>
      <w:r>
        <w:t xml:space="preserve">, 2016,</w:t>
      </w:r>
      <w:r>
        <w:t xml:space="preserve"> </w:t>
      </w:r>
      <w:hyperlink r:id="rId74">
        <w:r>
          <w:rPr>
            <w:rStyle w:val="Hyperlink"/>
          </w:rPr>
          <w:t xml:space="preserve">https://trace.tennessee.edu/cgi/viewcontent.cgi?article=1023&amp;context=utk_libpub</w:t>
        </w:r>
      </w:hyperlink>
      <w:r>
        <w:t xml:space="preserve">.</w:t>
      </w:r>
    </w:p>
  </w:footnote>
  <w:footnote w:id="76">
    <w:p>
      <w:pPr>
        <w:pStyle w:val="FootnoteText"/>
      </w:pPr>
      <w:r>
        <w:rPr>
          <w:rStyle w:val="FootnoteReference"/>
        </w:rPr>
        <w:footnoteRef/>
      </w:r>
      <w:r>
        <w:t xml:space="preserve"> </w:t>
      </w:r>
      <w:r>
        <w:t xml:space="preserve">Alston and Rick,</w:t>
      </w:r>
      <w:r>
        <w:t xml:space="preserve"> </w:t>
      </w:r>
      <w:r>
        <w:t xml:space="preserve">“A Beginner’s Guide to Conducting Reproducible Research.”</w:t>
      </w:r>
    </w:p>
  </w:footnote>
  <w:footnote w:id="77">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 Guides”</w:t>
      </w:r>
      <w:r>
        <w:t xml:space="preserve">; Florian Markowetz,</w:t>
      </w:r>
      <w:r>
        <w:t xml:space="preserve"> </w:t>
      </w:r>
      <w:r>
        <w:t xml:space="preserve">“Five Selfish Reasons to Work Reproducibly,”</w:t>
      </w:r>
      <w:r>
        <w:t xml:space="preserve"> </w:t>
      </w:r>
      <w:r>
        <w:rPr>
          <w:iCs/>
          <w:i/>
        </w:rPr>
        <w:t xml:space="preserve">Genome Biology</w:t>
      </w:r>
      <w:r>
        <w:t xml:space="preserve"> </w:t>
      </w:r>
      <w:r>
        <w:t xml:space="preserve">16, no. 1 (December 8, 2015): 274,</w:t>
      </w:r>
      <w:r>
        <w:t xml:space="preserve"> </w:t>
      </w:r>
      <w:hyperlink r:id="rId78">
        <w:r>
          <w:rPr>
            <w:rStyle w:val="Hyperlink"/>
          </w:rPr>
          <w:t xml:space="preserve">https://doi.org/10.1186/s13059-015-0850-7</w:t>
        </w:r>
      </w:hyperlink>
      <w:r>
        <w:t xml:space="preserve">.</w:t>
      </w:r>
    </w:p>
  </w:footnote>
  <w:footnote w:id="79">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1, 2020): 1067–74,</w:t>
      </w:r>
      <w:r>
        <w:t xml:space="preserve"> </w:t>
      </w:r>
      <w:hyperlink r:id="rId80">
        <w:r>
          <w:rPr>
            <w:rStyle w:val="Hyperlink"/>
          </w:rPr>
          <w:t xml:space="preserve">https://doi.org/10.1093/ije/dyaa087</w:t>
        </w:r>
      </w:hyperlink>
      <w:r>
        <w:t xml:space="preserve">.</w:t>
      </w:r>
    </w:p>
  </w:footnote>
  <w:footnote w:id="81">
    <w:p>
      <w:pPr>
        <w:pStyle w:val="FootnoteText"/>
      </w:pPr>
      <w:r>
        <w:rPr>
          <w:rStyle w:val="FootnoteReference"/>
        </w:rPr>
        <w:footnoteRef/>
      </w:r>
      <w:r>
        <w:t xml:space="preserve"> </w:t>
      </w:r>
      <w:r>
        <w:t xml:space="preserve">Markowetz,</w:t>
      </w:r>
      <w:r>
        <w:t xml:space="preserve"> </w:t>
      </w:r>
      <w:r>
        <w:t xml:space="preserve">“Five Selfish Reasons to Work Reproducibly.”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80"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78" Target="https://doi.org/10.1186/s13059-015-0850-7" TargetMode="External" /><Relationship Type="http://schemas.openxmlformats.org/officeDocument/2006/relationships/hyperlink" Id="rId28" Target="https://doi.org/10.1371/journal.pone.0252047" TargetMode="External" /><Relationship Type="http://schemas.openxmlformats.org/officeDocument/2006/relationships/hyperlink" Id="rId61"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3" Target="https://libguides.princeton.edu/c.php?g=102546&amp;p=665862" TargetMode="External" /><Relationship Type="http://schemas.openxmlformats.org/officeDocument/2006/relationships/hyperlink" Id="rId67" Target="https://obamawhitehouse.archives.gov/the-press-office/2013/05/09/executive-order-making-open-and-machine-readable-new-default-government-" TargetMode="External" /><Relationship Type="http://schemas.openxmlformats.org/officeDocument/2006/relationships/hyperlink" Id="rId59" Target="https://pitt.libguides.com/managedata/understanding" TargetMode="External" /><Relationship Type="http://schemas.openxmlformats.org/officeDocument/2006/relationships/hyperlink" Id="rId82" Target="https://retractionwatch.com/" TargetMode="External" /><Relationship Type="http://schemas.openxmlformats.org/officeDocument/2006/relationships/hyperlink" Id="rId74" Target="https://trace.tennessee.edu/cgi/viewcontent.cgi?article=1023&amp;context=utk_libpub" TargetMode="External" /><Relationship Type="http://schemas.openxmlformats.org/officeDocument/2006/relationships/hyperlink" Id="rId63"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80"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78" Target="https://doi.org/10.1186/s13059-015-0850-7" TargetMode="External" /><Relationship Type="http://schemas.openxmlformats.org/officeDocument/2006/relationships/hyperlink" Id="rId28" Target="https://doi.org/10.1371/journal.pone.0252047" TargetMode="External" /><Relationship Type="http://schemas.openxmlformats.org/officeDocument/2006/relationships/hyperlink" Id="rId61"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3" Target="https://libguides.princeton.edu/c.php?g=102546&amp;p=665862" TargetMode="External" /><Relationship Type="http://schemas.openxmlformats.org/officeDocument/2006/relationships/hyperlink" Id="rId67" Target="https://obamawhitehouse.archives.gov/the-press-office/2013/05/09/executive-order-making-open-and-machine-readable-new-default-government-" TargetMode="External" /><Relationship Type="http://schemas.openxmlformats.org/officeDocument/2006/relationships/hyperlink" Id="rId59" Target="https://pitt.libguides.com/managedata/understanding" TargetMode="External" /><Relationship Type="http://schemas.openxmlformats.org/officeDocument/2006/relationships/hyperlink" Id="rId82" Target="https://retractionwatch.com/" TargetMode="External" /><Relationship Type="http://schemas.openxmlformats.org/officeDocument/2006/relationships/hyperlink" Id="rId74" Target="https://trace.tennessee.edu/cgi/viewcontent.cgi?article=1023&amp;context=utk_libpub" TargetMode="External" /><Relationship Type="http://schemas.openxmlformats.org/officeDocument/2006/relationships/hyperlink" Id="rId63"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2022-10-14T14:50:29Z</dcterms:created>
  <dcterms:modified xsi:type="dcterms:W3CDTF">2022-10-14T14:50:29Z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2022-10-14</vt:lpwstr>
  </property>
  <property fmtid="{D5CDD505-2E9C-101B-9397-08002B2CF9AE}" pid="8" name="documentclass">
    <vt:lpwstr>book</vt:lpwstr>
  </property>
  <property fmtid="{D5CDD505-2E9C-101B-9397-08002B2CF9AE}" pid="9" name="site">
    <vt:lpwstr>bookdown::bookdown_site</vt:lpwstr>
  </property>
</Properties>
</file>