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7.png" ContentType="image/png"/>
  <Override PartName="/word/media/rId137.png" ContentType="image/png"/>
  <Override PartName="/word/media/rId437.png" ContentType="image/png"/>
  <Override PartName="/word/media/rId125.png" ContentType="image/png"/>
  <Override PartName="/word/media/rId470.png" ContentType="image/png"/>
  <Override PartName="/word/media/rId474.png" ContentType="image/png"/>
  <Override PartName="/word/media/rId403.png" ContentType="image/png"/>
  <Override PartName="/word/media/rId441.png" ContentType="image/png"/>
  <Override PartName="/word/media/rId618.png" ContentType="image/png"/>
  <Override PartName="/word/media/rId270.png" ContentType="image/png"/>
  <Override PartName="/word/media/rId452.png" ContentType="image/png"/>
  <Override PartName="/word/media/rId457.png" ContentType="image/png"/>
  <Override PartName="/word/media/rId369.png" ContentType="image/png"/>
  <Override PartName="/word/media/rId629.png" ContentType="image/png"/>
  <Override PartName="/word/media/rId160.png" ContentType="image/png"/>
  <Override PartName="/word/media/rId154.png" ContentType="image/png"/>
  <Override PartName="/word/media/rId408.png" ContentType="image/png"/>
  <Override PartName="/word/media/rId622.png" ContentType="image/png"/>
  <Override PartName="/word/media/rId290.png" ContentType="image/png"/>
  <Override PartName="/word/media/rId187.png" ContentType="image/png"/>
  <Override PartName="/word/media/rId335.png" ContentType="image/png"/>
  <Override PartName="/word/media/rId314.png" ContentType="image/png"/>
  <Override PartName="/word/media/rId240.png" ContentType="image/png"/>
  <Override PartName="/word/media/rId305.png" ContentType="image/png"/>
  <Override PartName="/word/media/rId550.png" ContentType="image/png"/>
  <Override PartName="/word/media/rId338.png" ContentType="image/png"/>
  <Override PartName="/word/media/rId590.png" ContentType="image/png"/>
  <Override PartName="/word/media/rId165.png" ContentType="image/png"/>
  <Override PartName="/word/media/rId168.png" ContentType="image/png"/>
  <Override PartName="/word/media/rId171.png" ContentType="image/png"/>
  <Override PartName="/word/media/rId178.png" ContentType="image/png"/>
  <Override PartName="/word/media/rId500.png" ContentType="image/png"/>
  <Override PartName="/word/media/rId495.png" ContentType="image/png"/>
  <Override PartName="/word/media/rId531.png" ContentType="image/png"/>
  <Override PartName="/word/media/rId510.png" ContentType="image/png"/>
  <Override PartName="/word/media/rId526.png" ContentType="image/png"/>
  <Override PartName="/word/media/rId579.png" ContentType="image/png"/>
  <Override PartName="/word/media/rId361.png" ContentType="image/png"/>
  <Override PartName="/word/media/rId601.png" ContentType="image/png"/>
  <Override PartName="/word/media/rId605.png" ContentType="image/png"/>
  <Override PartName="/word/media/rId611.png" ContentType="image/png"/>
  <Override PartName="/word/media/rId386.png" ContentType="image/png"/>
  <Override PartName="/word/media/rId431.png" ContentType="image/png"/>
  <Override PartName="/word/media/rId132.png" ContentType="image/png"/>
  <Override PartName="/word/media/rId145.png" ContentType="image/png"/>
  <Override PartName="/word/media/rId326.png" ContentType="image/png"/>
  <Override PartName="/word/media/rId329.png" ContentType="image/png"/>
  <Override PartName="/word/media/rId417.png" ContentType="image/png"/>
  <Override PartName="/word/media/rId414.png" ContentType="image/png"/>
  <Override PartName="/word/media/rId535.png" ContentType="image/png"/>
  <Override PartName="/word/media/rId285.png" ContentType="image/png"/>
  <Override PartName="/word/media/rId398.png" ContentType="image/png"/>
  <Override PartName="/word/media/rId151.png" ContentType="image/png"/>
  <Override PartName="/word/media/rId148.png" ContentType="image/png"/>
  <Override PartName="/word/media/rId175.png" ContentType="image/png"/>
  <Override PartName="/word/media/rId353.png" ContentType="image/png"/>
  <Override PartName="/word/media/rId279.png" ContentType="image/png"/>
  <Override PartName="/word/media/rId282.png" ContentType="image/png"/>
  <Override PartName="/word/media/rId5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2023-03-02</w:t>
      </w:r>
    </w:p>
    <w:bookmarkStart w:id="56"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 Hubbard</w:t>
      </w:r>
      <w:r>
        <w:rPr>
          <w:rStyle w:val="FootnoteReference"/>
        </w:rPr>
        <w:footnoteReference w:id="21"/>
      </w:r>
    </w:p>
    <w:bookmarkStart w:id="23"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job as a research associate with a research center. My job was to coordinate the collection and management of data for federally funded randomized controlled trial efficacy studies taking place in K-12 schools, along with a team of PIs, other full-time staff, part-time data collectors, and graduate students. While I had some experience analyzing and working with education data, i.e. ECLS-K,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collection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3"/>
    <w:bookmarkStart w:id="49"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rPr>
          <w:rStyle w:val="FootnoteReference"/>
        </w:rPr>
        <w:footnoteReference w:id="24"/>
      </w:r>
      <w:r>
        <w:t xml:space="preserve"> Ad hoc data management practices may have worked for us in the past, but now others need to understand our processes as well, requiring researchers to be more thoughtful in planning their data management routines.</w:t>
      </w:r>
    </w:p>
    <w:bookmarkStart w:id="37"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 Borghi and Van Gulick</w:t>
      </w:r>
      <w:r>
        <w:rPr>
          <w:rStyle w:val="FootnoteReference"/>
        </w:rPr>
        <w:footnoteReference w:id="26"/>
      </w:r>
      <w:r>
        <w:t xml:space="preserve"> </w:t>
      </w:r>
      <w:r>
        <w:t xml:space="preserve">found that only 33% of respondents learned data management from college level coursework, while 64% learned from collaborators, and 52% learned from self-education. In their survey of 202 education researchers (PIs and Co-PIs), Ceviren and Logan</w:t>
      </w:r>
      <w:r>
        <w:rPr>
          <w:rStyle w:val="FootnoteReference"/>
        </w:rPr>
        <w:footnoteReference w:id="28"/>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w:t>
      </w:r>
    </w:p>
    <w:p>
      <w:pPr>
        <w:pStyle w:val="BodyText"/>
      </w:pPr>
      <w:r>
        <w:t xml:space="preserve">Without training, resources and formal support systems are the next best option for learning best practices. During my data management journey I have discovered an excellent support system of professionals in university systems, i.e. research data librarians, who can consult with research teams in their data management planning, and I have also come across some solid existing research data management books and manuals which I will link to in this book. However, while education researchers are starting to put out some excellent resources,</w:t>
      </w:r>
      <w:r>
        <w:rPr>
          <w:rStyle w:val="FootnoteReference"/>
        </w:rPr>
        <w:footnoteReference w:id="30"/>
      </w:r>
      <w:r>
        <w:t xml:space="preserve"> I still find there is a dearth of tangible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rPr>
          <w:rStyle w:val="FootnoteReference"/>
        </w:rPr>
        <w:footnoteReference w:id="33"/>
      </w:r>
      <w:r>
        <w:t xml:space="preserve"> the field of education has yet to develop agreed upon rules for things such as data documentation or data formats. This lack of standards leads to inconsistencies in the quality of data products across the field.</w:t>
      </w:r>
      <w:r>
        <w:rPr>
          <w:rStyle w:val="FootnoteReference"/>
        </w:rPr>
        <w:footnoteReference w:id="35"/>
      </w:r>
    </w:p>
    <w:bookmarkEnd w:id="37"/>
    <w:bookmarkStart w:id="48"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subpar and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rPr>
          <w:rStyle w:val="FootnoteReference"/>
        </w:rPr>
        <w:footnoteReference w:id="38"/>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rPr>
          <w:rStyle w:val="FootnoteReference"/>
        </w:rPr>
        <w:footnoteReference w:id="40"/>
      </w:r>
      <w:r>
        <w:t xml:space="preserve"> In their 2021 study of 488 researchers who had published in a psychology journal between 2010 and 2018, Kovacs et al.</w:t>
      </w:r>
      <w:r>
        <w:rPr>
          <w:rStyle w:val="FootnoteReference"/>
        </w:rPr>
        <w:footnoteReference w:id="42"/>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 Center for Open Science,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w:t>
      </w:r>
      <w:r>
        <w:rPr>
          <w:rStyle w:val="FootnoteReference"/>
        </w:rPr>
        <w:footnoteReference w:id="44"/>
      </w:r>
      <w:r>
        <w:t xml:space="preserve"> 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rPr>
          <w:rStyle w:val="FootnoteReference"/>
        </w:rPr>
        <w:footnoteReference w:id="46"/>
      </w:r>
    </w:p>
    <w:bookmarkEnd w:id="48"/>
    <w:bookmarkEnd w:id="49"/>
    <w:bookmarkStart w:id="52"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studies,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50"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50"/>
    <w:bookmarkStart w:id="51"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51"/>
    <w:bookmarkEnd w:id="52"/>
    <w:bookmarkStart w:id="53"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53"/>
    <w:bookmarkStart w:id="54"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54"/>
    <w:bookmarkStart w:id="55"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Interviewees:</w:t>
      </w:r>
    </w:p>
    <w:p>
      <w:pPr>
        <w:pStyle w:val="BodyText"/>
      </w:pPr>
      <w:r>
        <w:t xml:space="preserve">Others:</w:t>
      </w:r>
    </w:p>
    <w:bookmarkEnd w:id="55"/>
    <w:bookmarkEnd w:id="56"/>
    <w:bookmarkStart w:id="129" w:name="research-data-management"/>
    <w:p>
      <w:pPr>
        <w:pStyle w:val="Heading1"/>
      </w:pPr>
      <w:r>
        <w:rPr>
          <w:rStyle w:val="SectionNumber"/>
        </w:rPr>
        <w:t xml:space="preserve">2</w:t>
      </w:r>
      <w:r>
        <w:tab/>
      </w:r>
      <w:r>
        <w:t xml:space="preserve">Research Data Management</w:t>
      </w:r>
    </w:p>
    <w:bookmarkStart w:id="61"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rPr>
          <w:rStyle w:val="FootnoteReference"/>
        </w:rPr>
        <w:footnoteReference w:id="57"/>
      </w:r>
      <w:r>
        <w:t xml:space="preserve"> Research study data includes materials generated or collected throughout a research process.</w:t>
      </w:r>
      <w:r>
        <w:rPr>
          <w:rStyle w:val="FootnoteReference"/>
        </w:rPr>
        <w:footnoteReference w:id="59"/>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61"/>
    <w:bookmarkStart w:id="76"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stored, organized, and described.</w:t>
      </w:r>
      <w:r>
        <w:rPr>
          <w:rStyle w:val="FootnoteReference"/>
        </w:rPr>
        <w:footnoteReference w:id="62"/>
      </w:r>
      <w:r>
        <w:t xml:space="preserve"> Some fields have adopted standards across the research life cycle, such as CDISC standards used by clinical researchers,</w:t>
      </w:r>
      <w:r>
        <w:rPr>
          <w:rStyle w:val="FootnoteReference"/>
        </w:rPr>
        <w:footnoteReference w:id="63"/>
      </w:r>
      <w:r>
        <w:t xml:space="preserve"> other fields have adopted standards specifically around metadata, such as the TEI standards used in digital humanities</w:t>
      </w:r>
      <w:r>
        <w:rPr>
          <w:rStyle w:val="FootnoteReference"/>
        </w:rPr>
        <w:footnoteReference w:id="65"/>
      </w:r>
      <w:r>
        <w:t xml:space="preserve"> </w:t>
      </w:r>
      <w:r>
        <w:t xml:space="preserve">or the ISO (International Organization for Standardization) 19115 used for geospatial data</w:t>
      </w:r>
      <w:r>
        <w:rPr>
          <w:rStyle w:val="FootnoteReference"/>
        </w:rPr>
        <w:footnoteReference w:id="67"/>
      </w:r>
      <w:r>
        <w:t xml:space="preserve">, and through grassroots efforts, other fields such as psychology are developing their own standards for things such as data structure and documentation based on the FAIR principles.</w:t>
      </w:r>
      <w:r>
        <w:rPr>
          <w:rStyle w:val="FootnoteReference"/>
        </w:rPr>
        <w:footnoteReference w:id="69"/>
      </w:r>
      <w:r>
        <w:t xml:space="preserve"> Yet, it is common knowledge that there are currently no agreed-upon norms for how to structure and share data in the field of education.</w:t>
      </w:r>
      <w:r>
        <w:rPr>
          <w:rStyle w:val="FootnoteReference"/>
        </w:rPr>
        <w:footnoteReference w:id="70"/>
      </w:r>
      <w:r>
        <w:t xml:space="preserve"> The rules for what data should be produced and how it should be documented is often left up to each individual team, as long as external compliance requirements are met.</w:t>
      </w:r>
      <w:r>
        <w:rPr>
          <w:rStyle w:val="FootnoteReference"/>
        </w:rPr>
        <w:footnoteReference w:id="72"/>
      </w:r>
      <w:r>
        <w:t xml:space="preserve"> However, with a growing interest in open science practices and expanding requirements for federally funded research to make data publicly available,</w:t>
      </w:r>
      <w:r>
        <w:rPr>
          <w:rStyle w:val="FootnoteReference"/>
        </w:rPr>
        <w:footnoteReference w:id="74"/>
      </w:r>
      <w:r>
        <w:t xml:space="preserve"> data repositories will most likely begin to play a stronger role in promoting standards around data formats and documentation.</w:t>
      </w:r>
      <w:r>
        <w:rPr>
          <w:rStyle w:val="FootnoteReference"/>
        </w:rPr>
        <w:footnoteReference w:id="75"/>
      </w:r>
    </w:p>
    <w:p>
      <w:pPr>
        <w:pStyle w:val="BodyText"/>
      </w:pPr>
      <w:r>
        <w:t xml:space="preserve">While field standards for the structure and format of publicly shared products that aid in the preservation and re-use of data are very much needed, there are actually good reasons to not impose standardization on all data management activities across the field. Granting some flexibility in the process of managing data during active data collection allows teams to implement the best practices that work for their projects, as long as those projects implement practices consistently during their project and produce similar quality outputs across the field.</w:t>
      </w:r>
    </w:p>
    <w:bookmarkEnd w:id="76"/>
    <w:bookmarkStart w:id="105"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93"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(DMP) along with their grant proposal</w:t>
      </w:r>
      <w:r>
        <w:rPr>
          <w:rStyle w:val="FootnoteReference"/>
        </w:rPr>
        <w:footnoteReference w:id="77"/>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rPr>
          <w:rStyle w:val="FootnoteReference"/>
        </w:rPr>
        <w:footnoteReference w:id="78"/>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w:t>
      </w:r>
      <w:r>
        <w:rPr>
          <w:rStyle w:val="FootnoteReference"/>
        </w:rPr>
        <w:footnoteReference w:id="79"/>
      </w:r>
      <w:r>
        <w:t xml:space="preserve"> </w:t>
      </w:r>
      <w:r>
        <w:t xml:space="preserve">and AMPPS</w:t>
      </w:r>
      <w:r>
        <w:rPr>
          <w:rStyle w:val="FootnoteReference"/>
        </w:rPr>
        <w:footnoteReference w:id="81"/>
      </w:r>
      <w:r>
        <w:t xml:space="preserve"> </w:t>
      </w:r>
      <w:r>
        <w:t xml:space="preserve">as examples).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they will monitor how you manage your data. The IRB is concerned with the welfare, rights, and privacy of research participants and will have rules for how data is managed and stored securely. Additionally your organization may have their own institutional data policies that mandate how data must be cared for and secured.</w:t>
      </w:r>
      <w:r>
        <w:rPr>
          <w:rStyle w:val="FootnoteReference"/>
        </w:rPr>
        <w:footnoteReference w:id="83"/>
      </w:r>
    </w:p>
    <w:p>
      <w:pPr>
        <w:numPr>
          <w:ilvl w:val="0"/>
          <w:numId w:val="1001"/>
        </w:numPr>
      </w:pPr>
      <w:r>
        <w:rPr>
          <w:bCs/>
          <w:b/>
        </w:rPr>
        <w:t xml:space="preserve">Open science practices</w:t>
      </w:r>
      <w:r>
        <w:t xml:space="preserve">: With a growing interest in open science practices, sharing well managed and documented data helps to build trust in the research process.</w:t>
      </w:r>
      <w:r>
        <w:rPr>
          <w:rStyle w:val="FootnoteReference"/>
        </w:rPr>
        <w:footnoteReference w:id="85"/>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(Alston &amp; Rick, 2021, p.2).</w:t>
      </w:r>
      <w:r>
        <w:rPr>
          <w:rStyle w:val="FootnoteReference"/>
        </w:rPr>
        <w:footnoteReference w:id="87"/>
      </w:r>
      <w:r>
        <w:t xml:space="preserve"> It also allows others to replicate and learn from your work, validate your results to strengthen evidence, as well as potentially catch errors in your work, preventing decisions being made based on incorrect data.</w:t>
      </w:r>
      <w:r>
        <w:rPr>
          <w:rStyle w:val="FootnoteReference"/>
        </w:rPr>
        <w:footnoteReference w:id="89"/>
      </w:r>
      <w:r>
        <w:t xml:space="preserve"> Well-managed data with sufficient documentation can also lead to more collaboration and greater impact as collaborators are able to access and understand your data with ease.</w:t>
      </w:r>
      <w:r>
        <w:rPr>
          <w:rStyle w:val="FootnoteReference"/>
        </w:rPr>
        <w:footnoteReference w:id="90"/>
      </w:r>
    </w:p>
    <w:bookmarkEnd w:id="93"/>
    <w:bookmarkStart w:id="104"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Reduces data curation debt</w:t>
      </w:r>
      <w:r>
        <w:t xml:space="preserve">: Taking the time to plan and implement quality data management through the entire research study reduces data curation debt caused by suboptimal data management practices.</w:t>
      </w:r>
      <w:r>
        <w:rPr>
          <w:rStyle w:val="FootnoteReference"/>
        </w:rPr>
        <w:footnoteReference w:id="94"/>
      </w:r>
      <w:r>
        <w:t xml:space="preserve"> Having poorly collected,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Facilitates use of your data</w:t>
      </w:r>
      <w:r>
        <w:t xml:space="preserve">: Every member of your research team being able to find and understand your project data and documentation is a huge benefit. It allows for the easy use and re-use of your data, and hastens efforts like the publication process.</w:t>
      </w:r>
      <w:r>
        <w:rPr>
          <w:rStyle w:val="FootnoteReference"/>
        </w:rPr>
        <w:footnoteReference w:id="96"/>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project continuity through staff turnover. Having thoroughly documented procedures allows new staff to pick up right where the former staff member left off and implement the project with fidelity.</w:t>
      </w:r>
      <w:r>
        <w:rPr>
          <w:rStyle w:val="FootnoteReference"/>
        </w:rPr>
        <w:footnoteReference w:id="98"/>
      </w:r>
      <w:r>
        <w:t xml:space="preserve"> Furthermore, good data management enables continuity when handing off projects to collaborators or when picking up your own projects after a long hiatus.</w:t>
      </w:r>
      <w:r>
        <w:rPr>
          <w:rStyle w:val="FootnoteReference"/>
        </w:rPr>
        <w:footnoteReference w:id="99"/>
      </w:r>
    </w:p>
    <w:p>
      <w:pPr>
        <w:numPr>
          <w:ilvl w:val="0"/>
          <w:numId w:val="1002"/>
        </w:numPr>
      </w:pPr>
      <w:r>
        <w:rPr>
          <w:bCs/>
          <w:b/>
        </w:rPr>
        <w:t xml:space="preserve">Increases efficiency</w:t>
      </w:r>
      <w:r>
        <w:t xml:space="preserve">: Documenting and automating tasks reduces duplication of efforts for repeating tasks, especially in longitudinal studies.</w:t>
      </w:r>
    </w:p>
    <w:p>
      <w:pPr>
        <w:numPr>
          <w:ilvl w:val="0"/>
          <w:numId w:val="1002"/>
        </w:numPr>
      </w:pPr>
      <w:r>
        <w:rPr>
          <w:bCs/>
          <w:b/>
        </w:rPr>
        <w:t xml:space="preserve">Upholds research integrity</w:t>
      </w:r>
      <w:r>
        <w:t xml:space="preserve">: Errors come in many forms, from both humans and technology</w:t>
      </w:r>
      <w:r>
        <w:rPr>
          <w:rStyle w:val="FootnoteReference"/>
        </w:rPr>
        <w:footnoteReference w:id="100"/>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w:t>
      </w:r>
      <w:r>
        <w:rPr>
          <w:rStyle w:val="FootnoteReference"/>
        </w:rPr>
        <w:footnoteReference w:id="102"/>
      </w:r>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104"/>
    <w:bookmarkEnd w:id="105"/>
    <w:bookmarkStart w:id="123"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110" w:name="fair"/>
    <w:p>
      <w:pPr>
        <w:pStyle w:val="Heading3"/>
      </w:pPr>
      <w:r>
        <w:rPr>
          <w:rStyle w:val="SectionNumber"/>
        </w:rPr>
        <w:t xml:space="preserve">2.4.1</w:t>
      </w:r>
      <w:r>
        <w:tab/>
      </w:r>
      <w:r>
        <w:t xml:space="preserve">FAIR</w:t>
      </w:r>
    </w:p>
    <w:p>
      <w:pPr>
        <w:pStyle w:val="FirstParagraph"/>
      </w:pPr>
      <w:r>
        <w:t xml:space="preserve">In 2016, the FAIR Principles</w:t>
      </w:r>
      <w:r>
        <w:rPr>
          <w:rStyle w:val="FootnoteReference"/>
        </w:rPr>
        <w:footnoteReference w:id="106"/>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rPr>
          <w:rStyle w:val="FootnoteReference"/>
        </w:rPr>
        <w:footnoteReference w:id="108"/>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As we move towards automation in our work and life, the need for machine-readable data and metadata becomes more prevalent for automatic discovery of information.</w:t>
      </w:r>
    </w:p>
    <w:p>
      <w:pPr>
        <w:pStyle w:val="BodyText"/>
      </w:pPr>
      <w:r>
        <w:t xml:space="preserve">A: Accessible</w:t>
      </w:r>
    </w:p>
    <w:p>
      <w:pPr>
        <w:pStyle w:val="BodyText"/>
      </w:pPr>
      <w:r>
        <w:t xml:space="preserve">Users should be able to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use standardized vocabularies as well as formats. Both humans and machines should be able to read and interpret your data. Software licenses should not pose a barrier to usage. Data should be available in open formats that can be accessed by any software (ex: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110"/>
    <w:bookmarkStart w:id="113"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rPr>
          <w:rStyle w:val="FootnoteReference"/>
        </w:rPr>
        <w:footnoteReference w:id="111"/>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113"/>
    <w:bookmarkStart w:id="122"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rPr>
          <w:rStyle w:val="FootnoteReference"/>
        </w:rPr>
        <w:footnoteReference w:id="114"/>
      </w:r>
      <w:r>
        <w:t xml:space="preserve"> Organizations such as the Center for Open Science,</w:t>
      </w:r>
      <w:r>
        <w:rPr>
          <w:rStyle w:val="FootnoteReference"/>
        </w:rPr>
        <w:footnoteReference w:id="116"/>
      </w:r>
      <w:r>
        <w:t xml:space="preserve"> have become a well-known proponents of open science, offering the open science framework (OSF)</w:t>
      </w:r>
      <w:r>
        <w:rPr>
          <w:rStyle w:val="FootnoteReference"/>
        </w:rPr>
        <w:footnoteReference w:id="118"/>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rPr>
          <w:rStyle w:val="FootnoteReference"/>
        </w:rPr>
        <w:footnoteReference w:id="120"/>
      </w:r>
    </w:p>
    <w:bookmarkEnd w:id="122"/>
    <w:bookmarkEnd w:id="123"/>
    <w:bookmarkStart w:id="124" w:name="terminology"/>
    <w:p>
      <w:pPr>
        <w:pStyle w:val="Heading2"/>
      </w:pPr>
      <w:r>
        <w:rPr>
          <w:rStyle w:val="SectionNumber"/>
        </w:rPr>
        <w:t xml:space="preserve">2.5</w:t>
      </w:r>
      <w:r>
        <w:tab/>
      </w:r>
      <w:r>
        <w:t xml:space="preserve">Terminology</w:t>
      </w:r>
    </w:p>
    <w:p>
      <w:pPr>
        <w:pStyle w:val="FirstParagraph"/>
      </w:pPr>
      <w:r>
        <w:t xml:space="preserve">Before diving into the content of this training, I think it is helpful to cover terminology that will be used in data management. Many concepts in education research have multiple terms and can be used interchangeably. Across different institutions, researchers may use all or some of these terms.</w:t>
      </w:r>
    </w:p>
    <w:bookmarkEnd w:id="124"/>
    <w:bookmarkStart w:id="128"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Figure</w:t>
      </w:r>
      <w:r>
        <w:t xml:space="preserve"> </w:t>
      </w:r>
      <w:r>
        <w:t xml:space="preserve">2.1</w:t>
      </w:r>
      <w:r>
        <w:t xml:space="preserve">, how throughout the project, data management roles and project coordination roles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126" name="Picture"/>
            <a:graphic>
              <a:graphicData uri="http://schemas.openxmlformats.org/drawingml/2006/picture">
                <pic:pic>
                  <pic:nvPicPr>
                    <pic:cNvPr descr="img/cl_lifecycle2.PNG" id="127" name="Picture"/>
                    <pic:cNvPicPr>
                      <a:picLocks noChangeArrowheads="1" noChangeAspect="1"/>
                    </pic:cNvPicPr>
                  </pic:nvPicPr>
                  <pic:blipFill>
                    <a:blip r:embed="rId125"/>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w:t>
      </w:r>
      <w:r>
        <w:t xml:space="preserve"> </w:t>
      </w:r>
      <w:hyperlink w:anchor="dmp">
        <w:r>
          <w:rPr>
            <w:rStyle w:val="Hyperlink"/>
            <w:bCs/>
            <w:b/>
          </w:rPr>
          <w:t xml:space="preserve">data management plan</w:t>
        </w:r>
      </w:hyperlink>
      <w:r>
        <w:t xml:space="preserve"> </w:t>
      </w:r>
      <w:r>
        <w:t xml:space="preserve">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128"/>
    <w:bookmarkEnd w:id="129"/>
    <w:bookmarkStart w:id="186" w:name="data-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141"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(ex: video, transcripts, documents, files), represented as text, numbers, or multimedia.</w:t>
      </w:r>
      <w:r>
        <w:rPr>
          <w:rStyle w:val="FootnoteReference"/>
        </w:rPr>
        <w:footnoteReference w:id="130"/>
      </w:r>
      <w:r>
        <w:t xml:space="preserve"> In the world of quantitative education research, we are often working with digital data in the form of a dataset, a structured collection of data. These datasets are organized in a rectangular format which allow the data to be machine-readable.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133" name="Picture"/>
            <a:graphic>
              <a:graphicData uri="http://schemas.openxmlformats.org/drawingml/2006/picture">
                <pic:pic>
                  <pic:nvPicPr>
                    <pic:cNvPr descr="img/rectangle.PNG" id="134" name="Picture"/>
                    <pic:cNvPicPr>
                      <a:picLocks noChangeArrowheads="1" noChangeAspect="1"/>
                    </pic:cNvPicPr>
                  </pic:nvPicPr>
                  <pic:blipFill>
                    <a:blip r:embed="rId132"/>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135"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(ex: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 and they also allow you to link data that contain the same identifiers (for example link all student data).</w:t>
      </w:r>
    </w:p>
    <w:p>
      <w:pPr>
        <w:numPr>
          <w:ilvl w:val="0"/>
          <w:numId w:val="1007"/>
        </w:numPr>
        <w:pStyle w:val="Compact"/>
      </w:pPr>
      <w:r>
        <w:t xml:space="preserve">If you plan to link datasets across entities (ex: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our</w:t>
      </w:r>
      <w:r>
        <w:t xml:space="preserve"> </w:t>
      </w:r>
      <w:hyperlink w:anchor="ids">
        <w:r>
          <w:rPr>
            <w:rStyle w:val="Hyperlink"/>
          </w:rPr>
          <w:t xml:space="preserve">Data Tracking</w:t>
        </w:r>
      </w:hyperlink>
      <w:r>
        <w:t xml:space="preserve"> </w:t>
      </w:r>
      <w:r>
        <w:t xml:space="preserve">chapter.</w:t>
      </w:r>
    </w:p>
    <w:p>
      <w:pPr>
        <w:pStyle w:val="BodyText"/>
      </w:pPr>
      <w:r>
        <w:rPr>
          <w:bCs/>
          <w:b/>
        </w:rPr>
        <w:t xml:space="preserve">Column attributes</w:t>
      </w:r>
    </w:p>
    <w:p>
      <w:pPr>
        <w:pStyle w:val="BodyText"/>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w:t>
      </w:r>
      <w:r>
        <w:t xml:space="preserve"> </w:t>
      </w:r>
      <w:hyperlink w:anchor="style">
        <w:r>
          <w:rPr>
            <w:rStyle w:val="Hyperlink"/>
          </w:rPr>
          <w:t xml:space="preserve">style guides</w:t>
        </w:r>
      </w:hyperlink>
      <w:r>
        <w:t xml:space="preserve">.</w:t>
      </w:r>
    </w:p>
    <w:p>
      <w:pPr>
        <w:numPr>
          <w:ilvl w:val="0"/>
          <w:numId w:val="1008"/>
        </w:numPr>
        <w:pStyle w:val="Compact"/>
      </w:pPr>
      <w:r>
        <w:t xml:space="preserve">A measurement type (ex: numeric, character, date) which can also be more narrowly defined as needed (ex: continuous, categorical)</w:t>
      </w:r>
    </w:p>
    <w:p>
      <w:pPr>
        <w:numPr>
          <w:ilvl w:val="0"/>
          <w:numId w:val="1008"/>
        </w:numPr>
        <w:pStyle w:val="Compact"/>
      </w:pPr>
      <w:r>
        <w:t xml:space="preserve">Acceptable values (ex: yes/no) or expected ranges (ex: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(ex:</w:t>
      </w:r>
      <w:r>
        <w:t xml:space="preserve"> </w:t>
      </w:r>
      <w:r>
        <w:t xml:space="preserve">“</w:t>
      </w:r>
      <w:r>
        <w:t xml:space="preserve">Treatment condition</w:t>
      </w:r>
      <w:r>
        <w:t xml:space="preserve">”</w:t>
      </w:r>
      <w:r>
        <w:t xml:space="preserve">) or they may be the actual wording of an item (ex:</w:t>
      </w:r>
      <w:r>
        <w:t xml:space="preserve"> </w:t>
      </w:r>
      <w:r>
        <w:t xml:space="preserve">“</w:t>
      </w:r>
      <w:r>
        <w:t xml:space="preserve">Do you enjoy pizza?</w:t>
      </w:r>
      <w:r>
        <w:t xml:space="preserve">”</w:t>
      </w:r>
      <w:r>
        <w:t xml:space="preserve">).</w:t>
      </w:r>
    </w:p>
    <w:bookmarkEnd w:id="135"/>
    <w:bookmarkStart w:id="136"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136"/>
    <w:bookmarkStart w:id="140"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3.2: Representation of a cell value" title="" id="138" name="Picture"/>
            <a:graphic>
              <a:graphicData uri="http://schemas.openxmlformats.org/drawingml/2006/picture">
                <pic:pic>
                  <pic:nvPicPr>
                    <pic:cNvPr descr="img/cell_value.PNG" id="139" name="Picture"/>
                    <pic:cNvPicPr>
                      <a:picLocks noChangeArrowheads="1" noChangeAspect="1"/>
                    </pic:cNvPicPr>
                  </pic:nvPicPr>
                  <pic:blipFill>
                    <a:blip r:embed="rId137"/>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3.2: Representation of a cell value</w:t>
      </w:r>
    </w:p>
    <w:bookmarkEnd w:id="140"/>
    <w:bookmarkEnd w:id="141"/>
    <w:bookmarkStart w:id="163"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rPr>
          <w:rStyle w:val="FootnoteReference"/>
        </w:rPr>
        <w:footnoteReference w:id="142"/>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3: A comparison of non-rectangular and rectangular data" title="" id="146" name="Picture"/>
            <a:graphic>
              <a:graphicData uri="http://schemas.openxmlformats.org/drawingml/2006/picture">
                <pic:pic>
                  <pic:nvPicPr>
                    <pic:cNvPr descr="img/rectangle2.PNG" id="147" name="Picture"/>
                    <pic:cNvPicPr>
                      <a:picLocks noChangeArrowheads="1" noChangeAspect="1"/>
                    </pic:cNvPicPr>
                  </pic:nvPicPr>
                  <pic:blipFill>
                    <a:blip r:embed="rId145"/>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3.3: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4: A comparison of variables adhering and not adhering to a data type" title="" id="149" name="Picture"/>
            <a:graphic>
              <a:graphicData uri="http://schemas.openxmlformats.org/drawingml/2006/picture">
                <pic:pic>
                  <pic:nvPicPr>
                    <pic:cNvPr descr="img/var_type.PNG" id="150" name="Picture"/>
                    <pic:cNvPicPr>
                      <a:picLocks noChangeArrowheads="1" noChangeAspect="1"/>
                    </pic:cNvPicPr>
                  </pic:nvPicPr>
                  <pic:blipFill>
                    <a:blip r:embed="rId148"/>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3.4: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(ex:</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(ex: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(ex: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5: A comparison of two things being measured in one variable and two things being measured across two variables" title="" id="152" name="Picture"/>
            <a:graphic>
              <a:graphicData uri="http://schemas.openxmlformats.org/drawingml/2006/picture">
                <pic:pic>
                  <pic:nvPicPr>
                    <pic:cNvPr descr="img/two_things.PNG" id="153" name="Picture"/>
                    <pic:cNvPicPr>
                      <a:picLocks noChangeArrowheads="1" noChangeAspect="1"/>
                    </pic:cNvPicPr>
                  </pic:nvPicPr>
                  <pic:blipFill>
                    <a:blip r:embed="rId151"/>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3.5: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No cells should be empty</w:t>
      </w:r>
    </w:p>
    <w:p>
      <w:pPr>
        <w:numPr>
          <w:ilvl w:val="2"/>
          <w:numId w:val="1016"/>
        </w:numPr>
        <w:pStyle w:val="Compact"/>
      </w:pPr>
      <w:r>
        <w:t xml:space="preserve">If a value is actually missing, make sure it contains a value to denote the missing data (ex: NA)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6: A comparison of of variables with empty cells and variables with not empty cells" title="" id="155" name="Picture"/>
            <a:graphic>
              <a:graphicData uri="http://schemas.openxmlformats.org/drawingml/2006/picture">
                <pic:pic>
                  <pic:nvPicPr>
                    <pic:cNvPr descr="img/explicit.PNG" id="156" name="Picture"/>
                    <pic:cNvPicPr>
                      <a:picLocks noChangeArrowheads="1" noChangeAspect="1"/>
                    </pic:cNvPicPr>
                  </pic:nvPicPr>
                  <pic:blipFill>
                    <a:blip r:embed="rId154"/>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3.6: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7: A comparison of variables with implicit values and variables with explicit values" title="" id="158" name="Picture"/>
            <a:graphic>
              <a:graphicData uri="http://schemas.openxmlformats.org/drawingml/2006/picture">
                <pic:pic>
                  <pic:nvPicPr>
                    <pic:cNvPr descr="img/cell_color.PNG" id="159" name="Picture"/>
                    <pic:cNvPicPr>
                      <a:picLocks noChangeArrowheads="1" noChangeAspect="1"/>
                    </pic:cNvPicPr>
                  </pic:nvPicPr>
                  <pic:blipFill>
                    <a:blip r:embed="rId157"/>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3.7: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w:t>
      </w:r>
      <w:hyperlink w:anchor="structure">
        <w:r>
          <w:rPr>
            <w:rStyle w:val="Hyperlink"/>
          </w:rPr>
          <w:t xml:space="preserve">discussed below</w:t>
        </w:r>
      </w:hyperlink>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8: A comparison of data with duplicate cases and data with no duplicate cases" title="" id="161" name="Picture"/>
            <a:graphic>
              <a:graphicData uri="http://schemas.openxmlformats.org/drawingml/2006/picture">
                <pic:pic>
                  <pic:nvPicPr>
                    <pic:cNvPr descr="img/duplicate.PNG" id="162" name="Picture"/>
                    <pic:cNvPicPr>
                      <a:picLocks noChangeArrowheads="1" noChangeAspect="1"/>
                    </pic:cNvPicPr>
                  </pic:nvPicPr>
                  <pic:blipFill>
                    <a:blip r:embed="rId160"/>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3.8: A comparison of data with duplicate cases and data with no duplicate cases</w:t>
      </w:r>
    </w:p>
    <w:bookmarkEnd w:id="163"/>
    <w:bookmarkStart w:id="184"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174" w:name="database-design"/>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rPr>
          <w:rStyle w:val="FootnoteReference"/>
        </w:rPr>
        <w:footnoteReference w:id="164"/>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Each table has a primary key that identifies unique entries within a table and each table can be connected through both primary and foreign keys. This linking of tables creates a relational database and we will talk more about this structure when we discuss</w:t>
      </w:r>
      <w:r>
        <w:t xml:space="preserve"> </w:t>
      </w:r>
      <w:hyperlink w:anchor="track">
        <w:r>
          <w:rPr>
            <w:rStyle w:val="Hyperlink"/>
          </w:rPr>
          <w:t xml:space="preserve">participant data tracking</w:t>
        </w:r>
      </w:hyperlink>
      <w:r>
        <w:t xml:space="preserve">.</w:t>
      </w:r>
    </w:p>
    <w:p>
      <w:pPr>
        <w:pStyle w:val="BodyText"/>
      </w:pPr>
      <w:r>
        <w:t xml:space="preserve">Let’s take the simplest example, where we only have primary keys in our data. Here we collected two pieces of data from students (a survey and an assessment) in one time period. Figure</w:t>
      </w:r>
      <w:r>
        <w:t xml:space="preserve"> </w:t>
      </w:r>
      <w:r>
        <w:t xml:space="preserve">3.9</w:t>
      </w:r>
      <w:r>
        <w:t xml:space="preserve"> </w:t>
      </w:r>
      <w:r>
        <w:t xml:space="preserve">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9: Linking data through primary keys" title="" id="166" name="Picture"/>
            <a:graphic>
              <a:graphicData uri="http://schemas.openxmlformats.org/drawingml/2006/picture">
                <pic:pic>
                  <pic:nvPicPr>
                    <pic:cNvPr descr="img/link0.PNG" id="167" name="Picture"/>
                    <pic:cNvPicPr>
                      <a:picLocks noChangeArrowheads="1" noChangeAspect="1"/>
                    </pic:cNvPicPr>
                  </pic:nvPicPr>
                  <pic:blipFill>
                    <a:blip r:embed="rId165"/>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3.9: Linking data through primary keys</w:t>
      </w:r>
    </w:p>
    <w:p>
      <w:pPr>
        <w:pStyle w:val="BodyText"/>
      </w:pPr>
      <w:r>
        <w:t xml:space="preserve">However, we are often not only collecting data across different forms, but we are also collecting nested data across different participants (ex: students, nested in classrooms, nested in schools, and so on). Let’s take another example where we collected data from three instruments, a student assessment, a teacher survey, and a school intake form. Figure</w:t>
      </w:r>
      <w:r>
        <w:t xml:space="preserve"> </w:t>
      </w:r>
      <w:r>
        <w:t xml:space="preserve">3.10</w:t>
      </w:r>
      <w:r>
        <w:t xml:space="preserve"> </w:t>
      </w:r>
      <w:r>
        <w:t xml:space="preserve">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10: Linking data through foreign keys" title="" id="169" name="Picture"/>
            <a:graphic>
              <a:graphicData uri="http://schemas.openxmlformats.org/drawingml/2006/picture">
                <pic:pic>
                  <pic:nvPicPr>
                    <pic:cNvPr descr="img/link1.PNG" id="170" name="Picture"/>
                    <pic:cNvPicPr>
                      <a:picLocks noChangeArrowheads="1" noChangeAspect="1"/>
                    </pic:cNvPicPr>
                  </pic:nvPicPr>
                  <pic:blipFill>
                    <a:blip r:embed="rId168"/>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3.10: Linking data through foreign keys</w:t>
      </w:r>
    </w:p>
    <w:p>
      <w:pPr>
        <w:pStyle w:val="BodyText"/>
      </w:pPr>
      <w:r>
        <w:t xml:space="preserve">And as you can imagine, as we add more forms, or begin to collect data across time, the database structure begins to become even more complex. Figure</w:t>
      </w:r>
      <w:r>
        <w:t xml:space="preserve"> </w:t>
      </w:r>
      <w:r>
        <w:t xml:space="preserve">3.11</w:t>
      </w:r>
      <w:r>
        <w:t xml:space="preserve"> </w:t>
      </w:r>
      <w:r>
        <w:t xml:space="preserve">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1: Linking data through primary and foreign keys" title="" id="172" name="Picture"/>
            <a:graphic>
              <a:graphicData uri="http://schemas.openxmlformats.org/drawingml/2006/picture">
                <pic:pic>
                  <pic:nvPicPr>
                    <pic:cNvPr descr="img/link2.PNG" id="173" name="Picture"/>
                    <pic:cNvPicPr>
                      <a:picLocks noChangeArrowheads="1" noChangeAspect="1"/>
                    </pic:cNvPicPr>
                  </pic:nvPicPr>
                  <pic:blipFill>
                    <a:blip r:embed="rId171"/>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3.11: Linking data through primary and foreign keys</w:t>
      </w:r>
    </w:p>
    <w:bookmarkEnd w:id="174"/>
    <w:bookmarkStart w:id="183"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p>
      <w:pPr>
        <w:pStyle w:val="BodyText"/>
      </w:pPr>
      <w:r>
        <w:rPr>
          <w:bCs/>
          <w:b/>
        </w:rPr>
        <w:t xml:space="preserve">Wide format</w:t>
      </w:r>
    </w:p>
    <w:p>
      <w:pPr>
        <w:pStyle w:val="BodyText"/>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our</w:t>
      </w:r>
      <w:r>
        <w:t xml:space="preserve"> </w:t>
      </w:r>
      <w:hyperlink w:anchor="clean">
        <w:r>
          <w:rPr>
            <w:rStyle w:val="Hyperlink"/>
          </w:rPr>
          <w:t xml:space="preserve">data cleaning</w:t>
        </w:r>
      </w:hyperlink>
      <w:r>
        <w:t xml:space="preserve"> </w:t>
      </w:r>
      <w:r>
        <w:t xml:space="preserve">section.</w:t>
      </w:r>
    </w:p>
    <w:p>
      <w:pPr>
        <w:pStyle w:val="BodyText"/>
      </w:pPr>
      <w:r>
        <w:t xml:space="preserve">Limitations: It is important to note here, that if your data do not have unique identifiers (primary and/or foreign keys), you will be unable to merge data in a wide format.</w:t>
      </w:r>
    </w:p>
    <w:p>
      <w:pPr>
        <w:pStyle w:val="CaptionedFigure"/>
      </w:pPr>
      <w:r>
        <w:drawing>
          <wp:inline>
            <wp:extent cx="5334000" cy="3643687"/>
            <wp:effectExtent b="0" l="0" r="0" t="0"/>
            <wp:docPr descr="Figure 3.12: Data structured in wide format" title="" id="176" name="Picture"/>
            <a:graphic>
              <a:graphicData uri="http://schemas.openxmlformats.org/drawingml/2006/picture">
                <pic:pic>
                  <pic:nvPicPr>
                    <pic:cNvPr descr="img/wide.PNG" id="177" name="Picture"/>
                    <pic:cNvPicPr>
                      <a:picLocks noChangeArrowheads="1" noChangeAspect="1"/>
                    </pic:cNvPicPr>
                  </pic:nvPicPr>
                  <pic:blipFill>
                    <a:blip r:embed="rId175"/>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3.12: Data structured in wide format</w:t>
      </w:r>
    </w:p>
    <w:p>
      <w:pPr>
        <w:pStyle w:val="BodyText"/>
      </w:pPr>
      <w:r>
        <w:rPr>
          <w:bCs/>
          <w:b/>
        </w:rPr>
        <w:t xml:space="preserve">Long format</w:t>
      </w:r>
    </w:p>
    <w:p>
      <w:pPr>
        <w:pStyle w:val="BodyText"/>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3: Data structured in long format" title="" id="179" name="Picture"/>
            <a:graphic>
              <a:graphicData uri="http://schemas.openxmlformats.org/drawingml/2006/picture">
                <pic:pic>
                  <pic:nvPicPr>
                    <pic:cNvPr descr="img/long.PNG" id="180" name="Picture"/>
                    <pic:cNvPicPr>
                      <a:picLocks noChangeArrowheads="1" noChangeAspect="1"/>
                    </pic:cNvPicPr>
                  </pic:nvPicPr>
                  <pic:blipFill>
                    <a:blip r:embed="rId178"/>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3.13: Data structured in long format</w:t>
      </w:r>
    </w:p>
    <w:p>
      <w:pPr>
        <w:pStyle w:val="BodyText"/>
      </w:pPr>
      <w:r>
        <w:rPr>
          <w:bCs/>
          <w:b/>
        </w:rPr>
        <w:t xml:space="preserve">Choosing wide vs long</w:t>
      </w:r>
    </w:p>
    <w:p>
      <w:pPr>
        <w:pStyle w:val="BodyText"/>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rPr>
          <w:rStyle w:val="FootnoteReference"/>
        </w:rPr>
        <w:footnoteReference w:id="181"/>
      </w:r>
      <w:r>
        <w:t xml:space="preserve"> We will further review decision making around data structure in our</w:t>
      </w:r>
      <w:r>
        <w:t xml:space="preserve"> </w:t>
      </w:r>
      <w:hyperlink w:anchor="clean">
        <w:r>
          <w:rPr>
            <w:rStyle w:val="Hyperlink"/>
          </w:rPr>
          <w:t xml:space="preserve">Data Cleaning</w:t>
        </w:r>
      </w:hyperlink>
      <w:r>
        <w:t xml:space="preserve"> </w:t>
      </w:r>
      <w:r>
        <w:t xml:space="preserve">chapter.</w:t>
      </w:r>
    </w:p>
    <w:bookmarkEnd w:id="183"/>
    <w:bookmarkEnd w:id="184"/>
    <w:bookmarkStart w:id="185"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the chapter on</w:t>
      </w:r>
      <w:r>
        <w:t xml:space="preserve"> </w:t>
      </w:r>
      <w:hyperlink w:anchor="share">
        <w:r>
          <w:rPr>
            <w:rStyle w:val="Hyperlink"/>
          </w:rPr>
          <w:t xml:space="preserve">Data Sharing</w:t>
        </w:r>
      </w:hyperlink>
      <w:r>
        <w:t xml:space="preserve">.</w:t>
      </w:r>
    </w:p>
    <w:bookmarkEnd w:id="185"/>
    <w:bookmarkEnd w:id="186"/>
    <w:bookmarkStart w:id="239"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4.1: Data management plan in the research project life cycle" title="" id="188" name="Picture"/>
            <a:graphic>
              <a:graphicData uri="http://schemas.openxmlformats.org/drawingml/2006/picture">
                <pic:pic>
                  <pic:nvPicPr>
                    <pic:cNvPr descr="img/lifecycle_dmp2.PNG" id="189" name="Picture"/>
                    <pic:cNvPicPr>
                      <a:picLocks noChangeArrowheads="1" noChangeAspect="1"/>
                    </pic:cNvPicPr>
                  </pic:nvPicPr>
                  <pic:blipFill>
                    <a:blip r:embed="rId187"/>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4.1: Data management plan in the research project life cycle</w:t>
      </w:r>
    </w:p>
    <w:bookmarkStart w:id="198"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as part of their funding application.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rPr>
          <w:rStyle w:val="FootnoteReference"/>
        </w:rPr>
        <w:footnoteReference w:id="190"/>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rPr>
          <w:rStyle w:val="FootnoteReference"/>
        </w:rPr>
        <w:footnoteReference w:id="192"/>
      </w:r>
      <w:r>
        <w:t xml:space="preserve"> Even sooner than this, organizations like the National Institutes of Health have mandated that grant applicants, beginning January 2023, must submit a plan for both managing and sharing project data</w:t>
      </w:r>
      <w:r>
        <w:rPr>
          <w:rStyle w:val="FootnoteReference"/>
        </w:rPr>
        <w:footnoteReference w:id="193"/>
      </w:r>
      <w:r>
        <w:t xml:space="preserve">.</w:t>
      </w:r>
    </w:p>
    <w:bookmarkStart w:id="197"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rPr>
          <w:rStyle w:val="FootnoteReference"/>
        </w:rPr>
        <w:footnoteReference w:id="195"/>
      </w:r>
      <w:r>
        <w:t xml:space="preserve">.</w:t>
      </w:r>
    </w:p>
    <w:bookmarkEnd w:id="197"/>
    <w:bookmarkEnd w:id="198"/>
    <w:bookmarkStart w:id="210"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209"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rPr>
          <w:rStyle w:val="FootnoteReference"/>
        </w:rPr>
        <w:footnoteReference w:id="199"/>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of data</w:t>
      </w:r>
    </w:p>
    <w:p>
      <w:pPr>
        <w:numPr>
          <w:ilvl w:val="1"/>
          <w:numId w:val="1026"/>
        </w:numPr>
        <w:pStyle w:val="Compact"/>
      </w:pPr>
      <w:r>
        <w:t xml:space="preserve">How is data captured? (Ex: surveys, assessments, observations)</w:t>
      </w:r>
    </w:p>
    <w:p>
      <w:pPr>
        <w:numPr>
          <w:ilvl w:val="1"/>
          <w:numId w:val="1026"/>
        </w:numPr>
        <w:pStyle w:val="Compact"/>
      </w:pPr>
      <w:r>
        <w:t xml:space="preserve">Will data be item-level and summary scores?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rows/cases in each file?</w:t>
      </w:r>
    </w:p>
    <w:p>
      <w:pPr>
        <w:numPr>
          <w:ilvl w:val="0"/>
          <w:numId w:val="1024"/>
        </w:numPr>
        <w:pStyle w:val="Compact"/>
      </w:pPr>
      <w:r>
        <w:t xml:space="preserve">Format of data</w:t>
      </w:r>
    </w:p>
    <w:p>
      <w:pPr>
        <w:numPr>
          <w:ilvl w:val="1"/>
          <w:numId w:val="1027"/>
        </w:numPr>
        <w:pStyle w:val="Compact"/>
      </w:pPr>
      <w:r>
        <w:t xml:space="preserve">Will data be in an electronic format?</w:t>
      </w:r>
    </w:p>
    <w:p>
      <w:pPr>
        <w:numPr>
          <w:ilvl w:val="1"/>
          <w:numId w:val="1027"/>
        </w:numPr>
        <w:pStyle w:val="Compact"/>
      </w:pPr>
      <w:r>
        <w:t xml:space="preserve">Will it be provided in a non-proprietary format? (Ex: .csv)</w:t>
      </w:r>
    </w:p>
    <w:p>
      <w:pPr>
        <w:numPr>
          <w:ilvl w:val="1"/>
          <w:numId w:val="1027"/>
        </w:numPr>
        <w:pStyle w:val="Compact"/>
      </w:pPr>
      <w:r>
        <w:t xml:space="preserve">Will more than one format be provided? (Ex: .sav and .csv)</w:t>
      </w:r>
    </w:p>
    <w:p>
      <w:pPr>
        <w:numPr>
          <w:ilvl w:val="1"/>
          <w:numId w:val="1027"/>
        </w:numPr>
        <w:pStyle w:val="Compact"/>
      </w:pPr>
      <w:r>
        <w:t xml:space="preserve">Are there any tools needed to manipulate shared data?</w:t>
      </w:r>
    </w:p>
    <w:p>
      <w:pPr>
        <w:numPr>
          <w:ilvl w:val="0"/>
          <w:numId w:val="1024"/>
        </w:numPr>
        <w:pStyle w:val="Compact"/>
      </w:pPr>
      <w:r>
        <w:t xml:space="preserve">Documentation</w:t>
      </w:r>
    </w:p>
    <w:p>
      <w:pPr>
        <w:numPr>
          <w:ilvl w:val="1"/>
          <w:numId w:val="1028"/>
        </w:numPr>
        <w:pStyle w:val="Compact"/>
      </w:pPr>
      <w:r>
        <w:t xml:space="preserve">What</w:t>
      </w:r>
      <w:r>
        <w:t xml:space="preserve"> </w:t>
      </w:r>
      <w:hyperlink w:anchor="document">
        <w:r>
          <w:rPr>
            <w:rStyle w:val="Hyperlink"/>
          </w:rPr>
          <w:t xml:space="preserve">documentation</w:t>
        </w:r>
      </w:hyperlink>
      <w:r>
        <w:t xml:space="preserve"> </w:t>
      </w:r>
      <w:r>
        <w:t xml:space="preserve">will you share? (Consider project level, dataset level, and variable level documentation)</w:t>
      </w:r>
    </w:p>
    <w:p>
      <w:pPr>
        <w:numPr>
          <w:ilvl w:val="1"/>
          <w:numId w:val="1028"/>
        </w:numPr>
        <w:pStyle w:val="Compact"/>
      </w:pPr>
      <w:r>
        <w:t xml:space="preserve">What</w:t>
      </w:r>
      <w:r>
        <w:t xml:space="preserve"> </w:t>
      </w:r>
      <w:hyperlink w:anchor="metadata">
        <w:r>
          <w:rPr>
            <w:rStyle w:val="Hyperlink"/>
          </w:rPr>
          <w:t xml:space="preserve">metadata</w:t>
        </w:r>
      </w:hyperlink>
      <w:r>
        <w:t xml:space="preserve"> </w:t>
      </w:r>
      <w:r>
        <w:t xml:space="preserve">will you create?</w:t>
      </w:r>
    </w:p>
    <w:p>
      <w:pPr>
        <w:numPr>
          <w:ilvl w:val="1"/>
          <w:numId w:val="1028"/>
        </w:numPr>
        <w:pStyle w:val="Compact"/>
      </w:pPr>
      <w:r>
        <w:t xml:space="preserve">What format will your documentation be in? (Ex: .xml, .csv, .pdf)</w:t>
      </w:r>
    </w:p>
    <w:p>
      <w:pPr>
        <w:numPr>
          <w:ilvl w:val="1"/>
          <w:numId w:val="1028"/>
        </w:numPr>
        <w:pStyle w:val="Compact"/>
      </w:pPr>
      <w:r>
        <w:t xml:space="preserve">What</w:t>
      </w:r>
      <w:r>
        <w:t xml:space="preserve"> </w:t>
      </w:r>
      <w:hyperlink w:anchor="supplement">
        <w:r>
          <w:rPr>
            <w:rStyle w:val="Hyperlink"/>
          </w:rPr>
          <w:t xml:space="preserve">supplemental documents</w:t>
        </w:r>
      </w:hyperlink>
      <w:r>
        <w:t xml:space="preserve"> </w:t>
      </w:r>
      <w:r>
        <w:t xml:space="preserve">do you plan to include when sharing data? (Ex: consort diagrams, data collection instruments, consent forms)</w:t>
      </w:r>
    </w:p>
    <w:p>
      <w:pPr>
        <w:numPr>
          <w:ilvl w:val="0"/>
          <w:numId w:val="1024"/>
        </w:numPr>
        <w:pStyle w:val="Compact"/>
      </w:pPr>
      <w:r>
        <w:t xml:space="preserve">Standards</w:t>
      </w:r>
    </w:p>
    <w:p>
      <w:pPr>
        <w:numPr>
          <w:ilvl w:val="1"/>
          <w:numId w:val="1029"/>
        </w:numPr>
        <w:pStyle w:val="Compact"/>
      </w:pPr>
      <w:r>
        <w:t xml:space="preserve">Do you plan to use any metadata</w:t>
      </w:r>
      <w:r>
        <w:t xml:space="preserve"> </w:t>
      </w:r>
      <w:hyperlink w:anchor="metastandards">
        <w:r>
          <w:rPr>
            <w:rStyle w:val="Hyperlink"/>
          </w:rPr>
          <w:t xml:space="preserve">standards</w:t>
        </w:r>
      </w:hyperlink>
      <w:r>
        <w:t xml:space="preserve">?</w:t>
      </w:r>
    </w:p>
    <w:p>
      <w:pPr>
        <w:numPr>
          <w:ilvl w:val="0"/>
          <w:numId w:val="1024"/>
        </w:numPr>
        <w:pStyle w:val="Compact"/>
      </w:pPr>
      <w:r>
        <w:t xml:space="preserve">Method of data sharing</w:t>
      </w:r>
    </w:p>
    <w:p>
      <w:pPr>
        <w:numPr>
          <w:ilvl w:val="1"/>
          <w:numId w:val="1030"/>
        </w:numPr>
        <w:pStyle w:val="Compact"/>
      </w:pPr>
      <w:r>
        <w:t xml:space="preserve">How will you share your data? (Ex: Institutional archive, data repository, PI website)</w:t>
      </w:r>
    </w:p>
    <w:p>
      <w:pPr>
        <w:numPr>
          <w:ilvl w:val="1"/>
          <w:numId w:val="1030"/>
        </w:numPr>
        <w:pStyle w:val="Compact"/>
      </w:pPr>
      <w:r>
        <w:t xml:space="preserve">Will data be restricted and is a data enclave required?</w:t>
      </w:r>
    </w:p>
    <w:p>
      <w:pPr>
        <w:numPr>
          <w:ilvl w:val="1"/>
          <w:numId w:val="1030"/>
        </w:numPr>
        <w:pStyle w:val="Compact"/>
      </w:pPr>
      <w:r>
        <w:t xml:space="preserve">Is a data use agreement required?</w:t>
      </w:r>
    </w:p>
    <w:p>
      <w:pPr>
        <w:numPr>
          <w:ilvl w:val="1"/>
          <w:numId w:val="1030"/>
        </w:numPr>
        <w:pStyle w:val="Compact"/>
      </w:pPr>
      <w:r>
        <w:t xml:space="preserve">How will you license your data?</w:t>
      </w:r>
    </w:p>
    <w:p>
      <w:pPr>
        <w:numPr>
          <w:ilvl w:val="1"/>
          <w:numId w:val="1030"/>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1"/>
        </w:numPr>
        <w:pStyle w:val="Compact"/>
      </w:pPr>
      <w:r>
        <w:t xml:space="preserve">Do you have any data covered by FERPA/HIPAA that doesn’t allow data sharing?</w:t>
      </w:r>
    </w:p>
    <w:p>
      <w:pPr>
        <w:numPr>
          <w:ilvl w:val="1"/>
          <w:numId w:val="1031"/>
        </w:numPr>
        <w:pStyle w:val="Compact"/>
      </w:pPr>
      <w:r>
        <w:t xml:space="preserve">Do you work with any partners that do not allow you to share data? (Ex: School districts, tribal regulations)</w:t>
      </w:r>
    </w:p>
    <w:p>
      <w:pPr>
        <w:numPr>
          <w:ilvl w:val="1"/>
          <w:numId w:val="1031"/>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2"/>
        </w:numPr>
        <w:pStyle w:val="Compact"/>
      </w:pPr>
      <w:r>
        <w:t xml:space="preserve">How will you prevent disclosure of personally identifiable information when you share data? How will you anonymize data (if applicable)?</w:t>
      </w:r>
    </w:p>
    <w:p>
      <w:pPr>
        <w:numPr>
          <w:ilvl w:val="1"/>
          <w:numId w:val="1032"/>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3"/>
        </w:numPr>
        <w:pStyle w:val="Compact"/>
      </w:pPr>
      <w:r>
        <w:t xml:space="preserve">How will you maintain participant privacy and confidentiality during your project?</w:t>
      </w:r>
    </w:p>
    <w:p>
      <w:pPr>
        <w:numPr>
          <w:ilvl w:val="1"/>
          <w:numId w:val="1033"/>
        </w:numPr>
        <w:pStyle w:val="Compact"/>
      </w:pPr>
      <w:r>
        <w:t xml:space="preserve">How will you prevent unauthorized access of data?</w:t>
      </w:r>
    </w:p>
    <w:p>
      <w:pPr>
        <w:numPr>
          <w:ilvl w:val="1"/>
          <w:numId w:val="1033"/>
        </w:numPr>
        <w:pStyle w:val="Compact"/>
      </w:pPr>
      <w:r>
        <w:t xml:space="preserve">Consider IRB requirements here.</w:t>
      </w:r>
    </w:p>
    <w:p>
      <w:pPr>
        <w:numPr>
          <w:ilvl w:val="0"/>
          <w:numId w:val="1024"/>
        </w:numPr>
        <w:pStyle w:val="Compact"/>
      </w:pPr>
      <w:r>
        <w:t xml:space="preserve">Schedule for data sharing</w:t>
      </w:r>
    </w:p>
    <w:p>
      <w:pPr>
        <w:numPr>
          <w:ilvl w:val="1"/>
          <w:numId w:val="1034"/>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5"/>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6"/>
        </w:numPr>
        <w:pStyle w:val="Compact"/>
      </w:pPr>
      <w:r>
        <w:t xml:space="preserve">Institute of Education Sciences</w:t>
      </w:r>
      <w:r>
        <w:rPr>
          <w:rStyle w:val="FootnoteReference"/>
        </w:rPr>
        <w:footnoteReference w:id="202"/>
      </w:r>
    </w:p>
    <w:p>
      <w:pPr>
        <w:numPr>
          <w:ilvl w:val="0"/>
          <w:numId w:val="1036"/>
        </w:numPr>
        <w:pStyle w:val="Compact"/>
      </w:pPr>
      <w:r>
        <w:t xml:space="preserve">National Institutes of Health</w:t>
      </w:r>
      <w:r>
        <w:rPr>
          <w:rStyle w:val="FootnoteReference"/>
        </w:rPr>
        <w:footnoteReference w:id="204"/>
      </w:r>
    </w:p>
    <w:p>
      <w:pPr>
        <w:numPr>
          <w:ilvl w:val="0"/>
          <w:numId w:val="1036"/>
        </w:numPr>
        <w:pStyle w:val="Compact"/>
      </w:pPr>
      <w:r>
        <w:t xml:space="preserve">National Institute of Justice</w:t>
      </w:r>
      <w:r>
        <w:rPr>
          <w:rStyle w:val="FootnoteReference"/>
        </w:rPr>
        <w:footnoteReference w:id="205"/>
      </w:r>
    </w:p>
    <w:p>
      <w:pPr>
        <w:numPr>
          <w:ilvl w:val="0"/>
          <w:numId w:val="1036"/>
        </w:numPr>
        <w:pStyle w:val="Compact"/>
      </w:pPr>
      <w:r>
        <w:t xml:space="preserve">National Science Foundation</w:t>
      </w:r>
      <w:r>
        <w:rPr>
          <w:rStyle w:val="FootnoteReference"/>
        </w:rPr>
        <w:footnoteReference w:id="207"/>
      </w:r>
    </w:p>
    <w:bookmarkEnd w:id="209"/>
    <w:bookmarkEnd w:id="210"/>
    <w:bookmarkStart w:id="223" w:name="getting-help"/>
    <w:p>
      <w:pPr>
        <w:pStyle w:val="Heading2"/>
      </w:pPr>
      <w:r>
        <w:rPr>
          <w:rStyle w:val="SectionNumber"/>
        </w:rPr>
        <w:t xml:space="preserve">4.3</w:t>
      </w:r>
      <w:r>
        <w:tab/>
      </w:r>
      <w:r>
        <w:t xml:space="preserve">Getting help</w:t>
      </w:r>
    </w:p>
    <w:p>
      <w:pPr>
        <w:pStyle w:val="FirstParagraph"/>
      </w:pPr>
      <w:r>
        <w:t xml:space="preserve">Since DMPs are written before a project is funded, and therefore before additional staff members may be hired, oftentimes the investigators developing the grant proposal are the ones who write the DMP. However, when constructing your DMP it is well worth your time to enlist help. If you have an existing data manager or data team, you will most certainly want to consult with them when writing your plan to ensure your decisions are feasible.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as well as actual copies of submitted DMPs that some researchers graciously make publicly available for example purposes.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DMPTool Templates</w:t>
            </w:r>
            <w:r>
              <w:rPr>
                <w:rStyle w:val="FootnoteReference"/>
              </w:rPr>
              <w:footnoteReference w:id="211"/>
            </w:r>
          </w:p>
        </w:tc>
        <w:tc>
          <w:tcPr/>
          <w:p>
            <w:pPr>
              <w:pStyle w:val="Compact"/>
              <w:jc w:val="left"/>
            </w:pPr>
            <w:r>
              <w:t xml:space="preserve">Templates organized by funding agencies</w:t>
            </w:r>
          </w:p>
        </w:tc>
      </w:tr>
      <w:tr>
        <w:tc>
          <w:tcPr/>
          <w:p>
            <w:pPr>
              <w:pStyle w:val="Compact"/>
              <w:jc w:val="left"/>
            </w:pPr>
            <w:r>
              <w:t xml:space="preserve">Sara Hart DMP Example</w:t>
            </w:r>
            <w:r>
              <w:rPr>
                <w:rStyle w:val="FootnoteReference"/>
              </w:rPr>
              <w:footnoteReference w:id="213"/>
            </w:r>
          </w:p>
        </w:tc>
        <w:tc>
          <w:tcPr/>
          <w:p>
            <w:pPr>
              <w:pStyle w:val="Compact"/>
              <w:jc w:val="left"/>
            </w:pPr>
            <w:r>
              <w:t xml:space="preserve">A submitted DMP that is publicly available for example purposes</w:t>
            </w:r>
          </w:p>
        </w:tc>
      </w:tr>
      <w:tr>
        <w:tc>
          <w:tcPr/>
          <w:p>
            <w:pPr>
              <w:pStyle w:val="Compact"/>
              <w:jc w:val="left"/>
            </w:pPr>
            <w:r>
              <w:t xml:space="preserve">UMN Libraries Examples</w:t>
            </w:r>
            <w:r>
              <w:rPr>
                <w:rStyle w:val="FootnoteReference"/>
              </w:rPr>
              <w:footnoteReference w:id="215"/>
            </w:r>
          </w:p>
        </w:tc>
        <w:tc>
          <w:tcPr/>
          <w:p>
            <w:pPr>
              <w:pStyle w:val="Compact"/>
              <w:jc w:val="left"/>
            </w:pPr>
            <w:r>
              <w:t xml:space="preserve">Submitted DMP examples from University of Minnesota researchers</w:t>
            </w:r>
          </w:p>
        </w:tc>
      </w:tr>
      <w:tr>
        <w:tc>
          <w:tcPr/>
          <w:p>
            <w:pPr>
              <w:pStyle w:val="Compact"/>
              <w:jc w:val="left"/>
            </w:pPr>
            <w:r>
              <w:t xml:space="preserve">NIH DMP Sample Plan</w:t>
            </w:r>
            <w:r>
              <w:rPr>
                <w:rStyle w:val="FootnoteReference"/>
              </w:rPr>
              <w:footnoteReference w:id="217"/>
            </w:r>
          </w:p>
        </w:tc>
        <w:tc>
          <w:tcPr/>
          <w:p>
            <w:pPr>
              <w:pStyle w:val="Compact"/>
              <w:jc w:val="left"/>
            </w:pPr>
            <w:r>
              <w:t xml:space="preserve">NIH Sample Data Management and Sharing Plan for human survey data</w:t>
            </w:r>
          </w:p>
        </w:tc>
      </w:tr>
      <w:tr>
        <w:tc>
          <w:tcPr/>
          <w:p>
            <w:pPr>
              <w:pStyle w:val="Compact"/>
              <w:jc w:val="left"/>
            </w:pPr>
            <w:r>
              <w:t xml:space="preserve">ICPSR NIH Template</w:t>
            </w:r>
            <w:r>
              <w:rPr>
                <w:rStyle w:val="FootnoteReference"/>
              </w:rPr>
              <w:footnoteReference w:id="219"/>
            </w:r>
          </w:p>
        </w:tc>
        <w:tc>
          <w:tcPr/>
          <w:p>
            <w:pPr>
              <w:pStyle w:val="Compact"/>
              <w:jc w:val="left"/>
            </w:pPr>
            <w:r>
              <w:t xml:space="preserve">NIH Data Management and Sharing Plan template with specific recommendations for depositing data with ICPSR</w:t>
            </w:r>
          </w:p>
        </w:tc>
      </w:tr>
      <w:tr>
        <w:tc>
          <w:tcPr/>
          <w:p>
            <w:pPr>
              <w:pStyle w:val="Compact"/>
              <w:jc w:val="left"/>
            </w:pPr>
            <w:r>
              <w:t xml:space="preserve">Figshare DMP Example Prompts</w:t>
            </w:r>
            <w:r>
              <w:rPr>
                <w:rStyle w:val="FootnoteReference"/>
              </w:rPr>
              <w:footnoteReference w:id="221"/>
            </w:r>
          </w:p>
        </w:tc>
        <w:tc>
          <w:tcPr/>
          <w:p>
            <w:pPr>
              <w:pStyle w:val="Compact"/>
              <w:jc w:val="left"/>
            </w:pPr>
            <w:r>
              <w:t xml:space="preserve">DMP prompts specific to depositing data with Figshare</w:t>
            </w:r>
          </w:p>
        </w:tc>
      </w:tr>
    </w:tbl>
    <w:bookmarkEnd w:id="223"/>
    <w:bookmarkStart w:id="238" w:name="budgeting"/>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data management personnel costs, fees, infrastructure, or tools needed to organize, document, store, and share study data.</w:t>
      </w:r>
      <w:r>
        <w:rPr>
          <w:rStyle w:val="FootnoteReference"/>
        </w:rPr>
        <w:footnoteReference w:id="224"/>
      </w:r>
      <w:r>
        <w:t xml:space="preserve"> Make sure to review your funder’s documentation for information about allowable costs</w:t>
      </w:r>
      <w:r>
        <w:rPr>
          <w:rStyle w:val="FootnoteReference"/>
        </w:rPr>
        <w:footnoteReference w:id="226"/>
      </w:r>
      <w:r>
        <w:t xml:space="preserve">. Examples of potential allowable costs include:</w:t>
      </w:r>
      <w:r>
        <w:rPr>
          <w:rStyle w:val="FootnoteReference"/>
        </w:rPr>
        <w:footnoteReference w:id="228"/>
      </w:r>
    </w:p>
    <w:p>
      <w:pPr>
        <w:numPr>
          <w:ilvl w:val="0"/>
          <w:numId w:val="1037"/>
        </w:numPr>
        <w:pStyle w:val="Compact"/>
      </w:pPr>
      <w:r>
        <w:t xml:space="preserve">Costs associated with curating and de-identifying data</w:t>
      </w:r>
    </w:p>
    <w:p>
      <w:pPr>
        <w:numPr>
          <w:ilvl w:val="0"/>
          <w:numId w:val="1037"/>
        </w:numPr>
        <w:pStyle w:val="Compact"/>
      </w:pPr>
      <w:r>
        <w:t xml:space="preserve">Costs associated with developing data documentation</w:t>
      </w:r>
    </w:p>
    <w:p>
      <w:pPr>
        <w:numPr>
          <w:ilvl w:val="0"/>
          <w:numId w:val="1037"/>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 The UK Data Service</w:t>
      </w:r>
      <w:r>
        <w:rPr>
          <w:rStyle w:val="FootnoteReference"/>
        </w:rPr>
        <w:footnoteReference w:id="230"/>
      </w:r>
      <w:r>
        <w:t xml:space="preserve">, the University of Twente</w:t>
      </w:r>
      <w:r>
        <w:rPr>
          <w:rStyle w:val="FootnoteReference"/>
        </w:rPr>
        <w:footnoteReference w:id="232"/>
      </w:r>
      <w:r>
        <w:t xml:space="preserve">, Utrecht University</w:t>
      </w:r>
      <w:r>
        <w:rPr>
          <w:rStyle w:val="FootnoteReference"/>
        </w:rPr>
        <w:footnoteReference w:id="234"/>
      </w:r>
      <w:r>
        <w:t xml:space="preserve">, and DataOne</w:t>
      </w:r>
      <w:r>
        <w:rPr>
          <w:rStyle w:val="FootnoteReference"/>
        </w:rPr>
        <w:footnoteReference w:id="236"/>
      </w:r>
      <w:r>
        <w:t xml:space="preserve"> </w:t>
      </w:r>
      <w:r>
        <w:t xml:space="preserve">have put together checklists to help you think through your various potential data management costs.</w:t>
      </w:r>
    </w:p>
    <w:bookmarkEnd w:id="238"/>
    <w:bookmarkEnd w:id="239"/>
    <w:bookmarkStart w:id="304"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5.1: Planning in the research project life cycle" title="" id="241" name="Picture"/>
            <a:graphic>
              <a:graphicData uri="http://schemas.openxmlformats.org/drawingml/2006/picture">
                <pic:pic>
                  <pic:nvPicPr>
                    <pic:cNvPr descr="img/lifecycle_plan2.PNG" id="242" name="Picture"/>
                    <pic:cNvPicPr>
                      <a:picLocks noChangeArrowheads="1" noChangeAspect="1"/>
                    </pic:cNvPicPr>
                  </pic:nvPicPr>
                  <pic:blipFill>
                    <a:blip r:embed="rId240"/>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5.1: Planning in the research project life cycle</w:t>
      </w:r>
    </w:p>
    <w:p>
      <w:pPr>
        <w:pStyle w:val="BodyText"/>
      </w:pPr>
      <w:r>
        <w:t xml:space="preserve">Planning data management is distinct from the 2-5 page data management plan (DMP) discussed in the previous chapter.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248"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rPr>
          <w:rStyle w:val="FootnoteReference"/>
        </w:rPr>
        <w:footnoteReference w:id="243"/>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rPr>
          <w:rStyle w:val="FootnoteReference"/>
        </w:rPr>
        <w:footnoteReference w:id="245"/>
      </w:r>
      <w:r>
        <w:t xml:space="preserve">. While data management planning can not remove all chances of errors creeping into your data</w:t>
      </w:r>
      <w:r>
        <w:rPr>
          <w:rStyle w:val="FootnoteReference"/>
        </w:rPr>
        <w:footnoteReference w:id="246"/>
      </w:r>
      <w:r>
        <w:t xml:space="preserve">, it can most certainly reduce those errors and prevent them from</w:t>
      </w:r>
      <w:r>
        <w:t xml:space="preserve"> </w:t>
      </w:r>
      <w:r>
        <w:t xml:space="preserve">“</w:t>
      </w:r>
      <w:r>
        <w:t xml:space="preserve">compounding over time</w:t>
      </w:r>
      <w:r>
        <w:t xml:space="preserve">”</w:t>
      </w:r>
      <w:r>
        <w:t xml:space="preserve">(Alston &amp; Rick, 2021, p.4).</w:t>
      </w:r>
      <w:r>
        <w:rPr>
          <w:rStyle w:val="FootnoteReference"/>
        </w:rPr>
        <w:footnoteReference w:id="247"/>
      </w:r>
    </w:p>
    <w:bookmarkEnd w:id="248"/>
    <w:bookmarkStart w:id="249"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(ex: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w:t>
      </w:r>
    </w:p>
    <w:p>
      <w:pPr>
        <w:numPr>
          <w:ilvl w:val="0"/>
          <w:numId w:val="1038"/>
        </w:numPr>
        <w:pStyle w:val="Compact"/>
      </w:pPr>
      <w:r>
        <w:t xml:space="preserve">To finalize project goals laid out in a grant proposal (i.e. what data will be collected)</w:t>
      </w:r>
    </w:p>
    <w:p>
      <w:pPr>
        <w:numPr>
          <w:ilvl w:val="0"/>
          <w:numId w:val="1038"/>
        </w:numPr>
        <w:pStyle w:val="Compact"/>
      </w:pPr>
      <w:r>
        <w:t xml:space="preserve">To finalize a timeline for goals (i.e. when is data collected)</w:t>
      </w:r>
    </w:p>
    <w:p>
      <w:pPr>
        <w:numPr>
          <w:ilvl w:val="0"/>
          <w:numId w:val="1038"/>
        </w:numPr>
        <w:pStyle w:val="Compact"/>
      </w:pPr>
      <w:r>
        <w:t xml:space="preserve">To lay out specific tasks needed to accomplish goals (i.e. how will data be collected, stored, managed)</w:t>
      </w:r>
    </w:p>
    <w:p>
      <w:pPr>
        <w:numPr>
          <w:ilvl w:val="0"/>
          <w:numId w:val="1038"/>
        </w:numPr>
        <w:pStyle w:val="Compact"/>
      </w:pPr>
      <w:r>
        <w:t xml:space="preserve">To assign</w:t>
      </w:r>
      <w:r>
        <w:t xml:space="preserve"> </w:t>
      </w:r>
      <w:hyperlink w:anchor="roles">
        <w:r>
          <w:rPr>
            <w:rStyle w:val="Hyperlink"/>
          </w:rPr>
          <w:t xml:space="preserve">roles and responsibilities</w:t>
        </w:r>
      </w:hyperlink>
      <w:r>
        <w:t xml:space="preserve"> </w:t>
      </w:r>
      <w:r>
        <w:t xml:space="preserve">(i.e. who will be responsible for tasks)</w:t>
      </w:r>
    </w:p>
    <w:p>
      <w:pPr>
        <w:numPr>
          <w:ilvl w:val="0"/>
          <w:numId w:val="1038"/>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249"/>
    <w:bookmarkStart w:id="275" w:name="checklist"/>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numPr>
          <w:ilvl w:val="0"/>
          <w:numId w:val="1039"/>
        </w:numPr>
        <w:pStyle w:val="Compact"/>
      </w:pPr>
      <w:r>
        <w:t xml:space="preserve">Roles and Responsibilities</w:t>
      </w:r>
      <w:r>
        <w:rPr>
          <w:rStyle w:val="FootnoteReference"/>
        </w:rPr>
        <w:footnoteReference w:id="250"/>
      </w:r>
    </w:p>
    <w:p>
      <w:pPr>
        <w:numPr>
          <w:ilvl w:val="0"/>
          <w:numId w:val="1039"/>
        </w:numPr>
        <w:pStyle w:val="Compact"/>
      </w:pPr>
      <w:r>
        <w:t xml:space="preserve">Task Management</w:t>
      </w:r>
      <w:r>
        <w:rPr>
          <w:rStyle w:val="FootnoteReference"/>
        </w:rPr>
        <w:footnoteReference w:id="252"/>
      </w:r>
    </w:p>
    <w:p>
      <w:pPr>
        <w:numPr>
          <w:ilvl w:val="0"/>
          <w:numId w:val="1039"/>
        </w:numPr>
        <w:pStyle w:val="Compact"/>
      </w:pPr>
      <w:r>
        <w:t xml:space="preserve">Documentation</w:t>
      </w:r>
      <w:r>
        <w:rPr>
          <w:rStyle w:val="FootnoteReference"/>
        </w:rPr>
        <w:footnoteReference w:id="254"/>
      </w:r>
    </w:p>
    <w:p>
      <w:pPr>
        <w:numPr>
          <w:ilvl w:val="0"/>
          <w:numId w:val="1039"/>
        </w:numPr>
        <w:pStyle w:val="Compact"/>
      </w:pPr>
      <w:r>
        <w:t xml:space="preserve">Data Collection</w:t>
      </w:r>
      <w:r>
        <w:rPr>
          <w:rStyle w:val="FootnoteReference"/>
        </w:rPr>
        <w:footnoteReference w:id="256"/>
      </w:r>
    </w:p>
    <w:p>
      <w:pPr>
        <w:numPr>
          <w:ilvl w:val="0"/>
          <w:numId w:val="1039"/>
        </w:numPr>
        <w:pStyle w:val="Compact"/>
      </w:pPr>
      <w:r>
        <w:t xml:space="preserve">Data Tracking</w:t>
      </w:r>
      <w:r>
        <w:rPr>
          <w:rStyle w:val="FootnoteReference"/>
        </w:rPr>
        <w:footnoteReference w:id="258"/>
      </w:r>
    </w:p>
    <w:p>
      <w:pPr>
        <w:numPr>
          <w:ilvl w:val="0"/>
          <w:numId w:val="1039"/>
        </w:numPr>
        <w:pStyle w:val="Compact"/>
      </w:pPr>
      <w:r>
        <w:t xml:space="preserve">Data Capture</w:t>
      </w:r>
      <w:r>
        <w:rPr>
          <w:rStyle w:val="FootnoteReference"/>
        </w:rPr>
        <w:footnoteReference w:id="260"/>
      </w:r>
    </w:p>
    <w:p>
      <w:pPr>
        <w:numPr>
          <w:ilvl w:val="0"/>
          <w:numId w:val="1039"/>
        </w:numPr>
        <w:pStyle w:val="Compact"/>
      </w:pPr>
      <w:r>
        <w:t xml:space="preserve">Data Storage and Security</w:t>
      </w:r>
      <w:r>
        <w:rPr>
          <w:rStyle w:val="FootnoteReference"/>
        </w:rPr>
        <w:footnoteReference w:id="262"/>
      </w:r>
    </w:p>
    <w:p>
      <w:pPr>
        <w:numPr>
          <w:ilvl w:val="0"/>
          <w:numId w:val="1039"/>
        </w:numPr>
        <w:pStyle w:val="Compact"/>
      </w:pPr>
      <w:r>
        <w:t xml:space="preserve">Data Cleaning</w:t>
      </w:r>
      <w:r>
        <w:rPr>
          <w:rStyle w:val="FootnoteReference"/>
        </w:rPr>
        <w:footnoteReference w:id="264"/>
      </w:r>
    </w:p>
    <w:p>
      <w:pPr>
        <w:numPr>
          <w:ilvl w:val="0"/>
          <w:numId w:val="1039"/>
        </w:numPr>
        <w:pStyle w:val="Compact"/>
      </w:pPr>
      <w:r>
        <w:t xml:space="preserve">Data Sharing</w:t>
      </w:r>
      <w:r>
        <w:rPr>
          <w:rStyle w:val="FootnoteReference"/>
        </w:rPr>
        <w:footnoteReference w:id="266"/>
      </w:r>
    </w:p>
    <w:bookmarkStart w:id="273"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rPr>
          <w:rStyle w:val="FootnoteReference"/>
        </w:rPr>
        <w:footnoteReference w:id="268"/>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Figure</w:t>
      </w:r>
      <w:r>
        <w:t xml:space="preserve"> </w:t>
      </w:r>
      <w:r>
        <w:t xml:space="preserve">5.2</w:t>
      </w:r>
      <w:r>
        <w:t xml:space="preserve"> </w:t>
      </w:r>
      <w:r>
        <w:t xml:space="preserve">is a very simplified example of the decision making process, based on the Borghi and Van Gulick</w:t>
      </w:r>
      <w:r>
        <w:rPr>
          <w:rStyle w:val="FootnoteReference"/>
        </w:rPr>
        <w:footnoteReference w:id="269"/>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5.2: A simplified decision-making process" title="" id="271" name="Picture"/>
            <a:graphic>
              <a:graphicData uri="http://schemas.openxmlformats.org/drawingml/2006/picture">
                <pic:pic>
                  <pic:nvPicPr>
                    <pic:cNvPr descr="img/decision-diagram.PNG" id="272" name="Picture"/>
                    <pic:cNvPicPr>
                      <a:picLocks noChangeArrowheads="1" noChangeAspect="1"/>
                    </pic:cNvPicPr>
                  </pic:nvPicPr>
                  <pic:blipFill>
                    <a:blip r:embed="rId270"/>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5.2: A simplified decision-making process</w:t>
      </w:r>
    </w:p>
    <w:bookmarkEnd w:id="273"/>
    <w:bookmarkStart w:id="274"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0"/>
        </w:numPr>
        <w:pStyle w:val="Compact"/>
      </w:pPr>
      <w:r>
        <w:t xml:space="preserve">All external requirements</w:t>
      </w:r>
    </w:p>
    <w:p>
      <w:pPr>
        <w:numPr>
          <w:ilvl w:val="1"/>
          <w:numId w:val="1041"/>
        </w:numPr>
        <w:pStyle w:val="Compact"/>
      </w:pPr>
      <w:r>
        <w:t xml:space="preserve">Do your practices align with the plan laid out in your DMP? If no, you may need to revise your DMP to match your new decisions - remember your DMP is a living document.</w:t>
      </w:r>
    </w:p>
    <w:p>
      <w:pPr>
        <w:numPr>
          <w:ilvl w:val="1"/>
          <w:numId w:val="1041"/>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0"/>
        </w:numPr>
        <w:pStyle w:val="Compact"/>
      </w:pPr>
      <w:r>
        <w:t xml:space="preserve">The skill set of your team</w:t>
      </w:r>
    </w:p>
    <w:p>
      <w:pPr>
        <w:numPr>
          <w:ilvl w:val="1"/>
          <w:numId w:val="1042"/>
        </w:numPr>
        <w:pStyle w:val="Compact"/>
      </w:pPr>
      <w:r>
        <w:t xml:space="preserve">How does the skill set of your team align with the practices you plan to implement? Will additional training be required?</w:t>
      </w:r>
    </w:p>
    <w:p>
      <w:pPr>
        <w:numPr>
          <w:ilvl w:val="0"/>
          <w:numId w:val="1040"/>
        </w:numPr>
        <w:pStyle w:val="Compact"/>
      </w:pPr>
      <w:r>
        <w:t xml:space="preserve">Your available tools</w:t>
      </w:r>
    </w:p>
    <w:p>
      <w:pPr>
        <w:numPr>
          <w:ilvl w:val="1"/>
          <w:numId w:val="1043"/>
        </w:numPr>
        <w:pStyle w:val="Compact"/>
      </w:pPr>
      <w:r>
        <w:t xml:space="preserve">What tools are available to your team?</w:t>
      </w:r>
    </w:p>
    <w:p>
      <w:pPr>
        <w:numPr>
          <w:ilvl w:val="1"/>
          <w:numId w:val="1043"/>
        </w:numPr>
        <w:pStyle w:val="Compact"/>
      </w:pPr>
      <w:r>
        <w:t xml:space="preserve">Does your organization only allow you to use certain platforms for data storage?</w:t>
      </w:r>
    </w:p>
    <w:p>
      <w:pPr>
        <w:numPr>
          <w:ilvl w:val="1"/>
          <w:numId w:val="1043"/>
        </w:numPr>
        <w:pStyle w:val="Compact"/>
      </w:pPr>
      <w:r>
        <w:t xml:space="preserve">What is the complexity of your tools? Will additional training be needed?</w:t>
      </w:r>
    </w:p>
    <w:p>
      <w:pPr>
        <w:numPr>
          <w:ilvl w:val="0"/>
          <w:numId w:val="1040"/>
        </w:numPr>
        <w:pStyle w:val="Compact"/>
      </w:pPr>
      <w:r>
        <w:t xml:space="preserve">Your budget</w:t>
      </w:r>
    </w:p>
    <w:p>
      <w:pPr>
        <w:numPr>
          <w:ilvl w:val="1"/>
          <w:numId w:val="1044"/>
        </w:numPr>
        <w:pStyle w:val="Compact"/>
      </w:pPr>
      <w:r>
        <w:t xml:space="preserve">Do you have the budget to implement all of the practices you want to implement or will you need to plan something more feasible?</w:t>
      </w:r>
    </w:p>
    <w:p>
      <w:pPr>
        <w:numPr>
          <w:ilvl w:val="0"/>
          <w:numId w:val="1040"/>
        </w:numPr>
        <w:pStyle w:val="Compact"/>
      </w:pPr>
      <w:r>
        <w:t xml:space="preserve">Complexity of your project</w:t>
      </w:r>
    </w:p>
    <w:p>
      <w:pPr>
        <w:numPr>
          <w:ilvl w:val="1"/>
          <w:numId w:val="1045"/>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0"/>
        </w:numPr>
        <w:pStyle w:val="Compact"/>
      </w:pPr>
      <w:r>
        <w:t xml:space="preserve">Shared investment</w:t>
      </w:r>
    </w:p>
    <w:p>
      <w:pPr>
        <w:numPr>
          <w:ilvl w:val="1"/>
          <w:numId w:val="1046"/>
        </w:numPr>
        <w:pStyle w:val="Compact"/>
      </w:pPr>
      <w:r>
        <w:t xml:space="preserve">Is your entire team invested in quality data management?</w:t>
      </w:r>
    </w:p>
    <w:p>
      <w:pPr>
        <w:numPr>
          <w:ilvl w:val="1"/>
          <w:numId w:val="1046"/>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274"/>
    <w:bookmarkEnd w:id="275"/>
    <w:bookmarkStart w:id="300"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rPr>
          <w:rStyle w:val="FootnoteReference"/>
        </w:rPr>
        <w:footnoteReference w:id="276"/>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7"/>
        </w:numPr>
        <w:pStyle w:val="Compact"/>
      </w:pPr>
      <w:r>
        <w:t xml:space="preserve">Student online survey</w:t>
      </w:r>
    </w:p>
    <w:p>
      <w:pPr>
        <w:numPr>
          <w:ilvl w:val="0"/>
          <w:numId w:val="1047"/>
        </w:numPr>
        <w:pStyle w:val="Compact"/>
      </w:pPr>
      <w:r>
        <w:t xml:space="preserve">Student paper assessment</w:t>
      </w:r>
    </w:p>
    <w:p>
      <w:pPr>
        <w:numPr>
          <w:ilvl w:val="0"/>
          <w:numId w:val="1047"/>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rPr>
          <w:rStyle w:val="FootnoteReference"/>
        </w:rPr>
        <w:footnoteReference w:id="278"/>
      </w:r>
      <w:r>
        <w:t xml:space="preserve"> Your diagram can be displayed in any format that works for you and it can be as simple or as detailed as you want it to be. A template like the one in Figure</w:t>
      </w:r>
      <w:r>
        <w:t xml:space="preserve"> </w:t>
      </w:r>
      <w:r>
        <w:t xml:space="preserve">5.3</w:t>
      </w:r>
      <w:r>
        <w:t xml:space="preserve"> </w:t>
      </w:r>
      <w:r>
        <w:t xml:space="preserve">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5.3: A simple workflow template" title="" id="280" name="Picture"/>
            <a:graphic>
              <a:graphicData uri="http://schemas.openxmlformats.org/drawingml/2006/picture">
                <pic:pic>
                  <pic:nvPicPr>
                    <pic:cNvPr descr="img/workflow1.PNG" id="281" name="Picture"/>
                    <pic:cNvPicPr>
                      <a:picLocks noChangeArrowheads="1" noChangeAspect="1"/>
                    </pic:cNvPicPr>
                  </pic:nvPicPr>
                  <pic:blipFill>
                    <a:blip r:embed="rId279"/>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5.3: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5.4: Example student survey workflow" title="" id="283" name="Picture"/>
            <a:graphic>
              <a:graphicData uri="http://schemas.openxmlformats.org/drawingml/2006/picture">
                <pic:pic>
                  <pic:nvPicPr>
                    <pic:cNvPr descr="img/workflow2.PNG" id="284" name="Picture"/>
                    <pic:cNvPicPr>
                      <a:picLocks noChangeArrowheads="1" noChangeAspect="1"/>
                    </pic:cNvPicPr>
                  </pic:nvPicPr>
                  <pic:blipFill>
                    <a:blip r:embed="rId282"/>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5.4: Example student survey workflow</w:t>
      </w:r>
    </w:p>
    <w:p>
      <w:pPr>
        <w:pStyle w:val="BodyText"/>
      </w:pPr>
      <w:r>
        <w:t xml:space="preserve">But the format truly does not matter. Figure</w:t>
      </w:r>
      <w:r>
        <w:t xml:space="preserve"> </w:t>
      </w:r>
      <w:r>
        <w:t xml:space="preserve">5.5</w:t>
      </w:r>
      <w:r>
        <w:t xml:space="preserve"> </w:t>
      </w:r>
      <w:r>
        <w:t xml:space="preserve">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5.5: Example student survey workflow using a swimlane template" title="" id="286" name="Picture"/>
            <a:graphic>
              <a:graphicData uri="http://schemas.openxmlformats.org/drawingml/2006/picture">
                <pic:pic>
                  <pic:nvPicPr>
                    <pic:cNvPr descr="img/swimlane2.PNG" id="287" name="Picture"/>
                    <pic:cNvPicPr>
                      <a:picLocks noChangeArrowheads="1" noChangeAspect="1"/>
                    </pic:cNvPicPr>
                  </pic:nvPicPr>
                  <pic:blipFill>
                    <a:blip r:embed="rId285"/>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5.5: Example student survey workflow using a swimlane template</w:t>
      </w:r>
    </w:p>
    <w:p>
      <w:pPr>
        <w:pStyle w:val="BodyText"/>
      </w:pPr>
      <w:r>
        <w:t xml:space="preserve">If you have a working</w:t>
      </w:r>
      <w:r>
        <w:t xml:space="preserve"> </w:t>
      </w:r>
      <w:hyperlink w:anchor="supplement">
        <w:r>
          <w:rPr>
            <w:rStyle w:val="Hyperlink"/>
          </w:rPr>
          <w:t xml:space="preserve">data collection timeline</w:t>
        </w:r>
      </w:hyperlink>
      <w:r>
        <w:t xml:space="preserve"> </w:t>
      </w:r>
      <w:r>
        <w:t xml:space="preserve">already created, you can even build time into your workflow. Figure</w:t>
      </w:r>
      <w:r>
        <w:t xml:space="preserve"> </w:t>
      </w:r>
      <w:r>
        <w:t xml:space="preserve">5.6</w:t>
      </w:r>
      <w:r>
        <w:t xml:space="preserve"> </w:t>
      </w:r>
      <w:r>
        <w:t xml:space="preserve">is another example of the same survey workflow again, this time displayed using a Gantt chart</w:t>
      </w:r>
      <w:r>
        <w:rPr>
          <w:rStyle w:val="FootnoteReference"/>
        </w:rPr>
        <w:footnoteReference w:id="288"/>
      </w:r>
      <w:r>
        <w:t xml:space="preserve"> </w:t>
      </w:r>
      <w:r>
        <w:t xml:space="preserve">in order to better capture the expected timeline.</w:t>
      </w:r>
    </w:p>
    <w:p>
      <w:pPr>
        <w:pStyle w:val="CaptionedFigure"/>
      </w:pPr>
      <w:r>
        <w:drawing>
          <wp:inline>
            <wp:extent cx="5334000" cy="2557089"/>
            <wp:effectExtent b="0" l="0" r="0" t="0"/>
            <wp:docPr descr="Figure 5.6: Example student survey workflow using a Gantt chart" title="" id="291" name="Picture"/>
            <a:graphic>
              <a:graphicData uri="http://schemas.openxmlformats.org/drawingml/2006/picture">
                <pic:pic>
                  <pic:nvPicPr>
                    <pic:cNvPr descr="img/gantt.PNG" id="292" name="Picture"/>
                    <pic:cNvPicPr>
                      <a:picLocks noChangeArrowheads="1" noChangeAspect="1"/>
                    </pic:cNvPicPr>
                  </pic:nvPicPr>
                  <pic:blipFill>
                    <a:blip r:embed="rId290"/>
                    <a:stretch>
                      <a:fillRect/>
                    </a:stretch>
                  </pic:blipFill>
                  <pic:spPr bwMode="auto">
                    <a:xfrm>
                      <a:off x="0" y="0"/>
                      <a:ext cx="5334000" cy="2557089"/>
                    </a:xfrm>
                    <a:prstGeom prst="rect">
                      <a:avLst/>
                    </a:prstGeom>
                    <a:noFill/>
                    <a:ln w="9525">
                      <a:noFill/>
                      <a:headEnd/>
                      <a:tailEnd/>
                    </a:ln>
                  </pic:spPr>
                </pic:pic>
              </a:graphicData>
            </a:graphic>
          </wp:inline>
        </w:drawing>
      </w:r>
    </w:p>
    <w:p>
      <w:pPr>
        <w:pStyle w:val="ImageCaption"/>
      </w:pPr>
      <w:r>
        <w:t xml:space="preserve">Figure 5.6: Example student survey workflow using a Gantt chart</w:t>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 SOPsin our chapter on</w:t>
      </w:r>
      <w:r>
        <w:t xml:space="preserve"> </w:t>
      </w:r>
      <w:hyperlink w:anchor="sop">
        <w:r>
          <w:rPr>
            <w:rStyle w:val="Hyperlink"/>
          </w:rPr>
          <w:t xml:space="preserve">Documentation</w:t>
        </w:r>
      </w:hyperlink>
      <w:r>
        <w:t xml:space="preserve">.</w:t>
      </w:r>
    </w:p>
    <w:bookmarkStart w:id="296"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the timing at which their tasks occur, and any dependencies associated with those tasks. It also allows your team to see how their roles and responsibilities fit into the larger research process</w:t>
      </w:r>
      <w:r>
        <w:rPr>
          <w:rStyle w:val="FootnoteReference"/>
        </w:rPr>
        <w:footnoteReference w:id="293"/>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rPr>
          <w:rStyle w:val="FootnoteReference"/>
        </w:rPr>
        <w:footnoteReference w:id="295"/>
      </w:r>
      <w:r>
        <w:t xml:space="preserve">. And last, reviewing workflows as a team and allowing members to provide feedback may help create buy-in for data management processes, potentially leading to better adherence to practices.</w:t>
      </w:r>
    </w:p>
    <w:bookmarkEnd w:id="296"/>
    <w:bookmarkStart w:id="299"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p>
    <w:p>
      <w:pPr>
        <w:numPr>
          <w:ilvl w:val="0"/>
          <w:numId w:val="1048"/>
        </w:numPr>
        <w:pStyle w:val="Compact"/>
      </w:pPr>
      <w:r>
        <w:t xml:space="preserve">Does your flow preserve the integrity of your data? Is there any point where you might lose or comprise data?</w:t>
      </w:r>
      <w:r>
        <w:rPr>
          <w:rStyle w:val="FootnoteReference"/>
        </w:rPr>
        <w:footnoteReference w:id="297"/>
      </w:r>
    </w:p>
    <w:p>
      <w:pPr>
        <w:numPr>
          <w:ilvl w:val="0"/>
          <w:numId w:val="1048"/>
        </w:numPr>
        <w:pStyle w:val="Compact"/>
      </w:pPr>
      <w:r>
        <w:t xml:space="preserve">Is there any point in the flow where data is not being handled securely? Someone gains access to identifiable information that should not have access?</w:t>
      </w:r>
    </w:p>
    <w:p>
      <w:pPr>
        <w:numPr>
          <w:ilvl w:val="0"/>
          <w:numId w:val="1048"/>
        </w:numPr>
        <w:pStyle w:val="Compact"/>
      </w:pPr>
      <w:r>
        <w:t xml:space="preserve">Is your flow in accordance with all of your compliance requirements (IRB, FERPA, HIPAA, Institutional Data Policies, etc.)?</w:t>
      </w:r>
    </w:p>
    <w:p>
      <w:pPr>
        <w:numPr>
          <w:ilvl w:val="0"/>
          <w:numId w:val="1048"/>
        </w:numPr>
        <w:pStyle w:val="Compact"/>
      </w:pPr>
      <w:r>
        <w:t xml:space="preserve">Is your flow feasible for your team (based on size, skill level, motivation, etc.)?</w:t>
      </w:r>
    </w:p>
    <w:p>
      <w:pPr>
        <w:numPr>
          <w:ilvl w:val="0"/>
          <w:numId w:val="1048"/>
        </w:numPr>
        <w:pStyle w:val="Compact"/>
      </w:pPr>
      <w:r>
        <w:t xml:space="preserve">Is your flow feasible for your budget and available resources?</w:t>
      </w:r>
    </w:p>
    <w:p>
      <w:pPr>
        <w:numPr>
          <w:ilvl w:val="0"/>
          <w:numId w:val="1048"/>
        </w:numPr>
        <w:pStyle w:val="Compact"/>
      </w:pPr>
      <w:r>
        <w:t xml:space="preserve">Is your flow feasible for the amount and types of data you are collecting?</w:t>
      </w:r>
    </w:p>
    <w:p>
      <w:pPr>
        <w:numPr>
          <w:ilvl w:val="0"/>
          <w:numId w:val="1048"/>
        </w:numPr>
        <w:pStyle w:val="Compact"/>
      </w:pPr>
      <w:r>
        <w:t xml:space="preserve">Are there any bottlenecks in the workflow? Areas where resources or training are needed? Any areas where tasks should be re-directed?</w:t>
      </w:r>
    </w:p>
    <w:bookmarkEnd w:id="299"/>
    <w:bookmarkEnd w:id="300"/>
    <w:bookmarkStart w:id="303"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 SOPs allow us to document and share our processes, it can be tricky to manage the day to day implementation of those processes. The planning phase is a great time to choose a task management system</w:t>
      </w:r>
      <w:r>
        <w:rPr>
          <w:rStyle w:val="FootnoteReference"/>
        </w:rPr>
        <w:footnoteReference w:id="301"/>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 timelines,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49"/>
        </w:numPr>
        <w:pStyle w:val="Compact"/>
      </w:pPr>
      <w:r>
        <w:t xml:space="preserve">Trello</w:t>
      </w:r>
    </w:p>
    <w:p>
      <w:pPr>
        <w:numPr>
          <w:ilvl w:val="0"/>
          <w:numId w:val="1049"/>
        </w:numPr>
        <w:pStyle w:val="Compact"/>
      </w:pPr>
      <w:r>
        <w:t xml:space="preserve">Smartsheet</w:t>
      </w:r>
    </w:p>
    <w:p>
      <w:pPr>
        <w:numPr>
          <w:ilvl w:val="0"/>
          <w:numId w:val="1049"/>
        </w:numPr>
        <w:pStyle w:val="Compact"/>
      </w:pPr>
      <w:r>
        <w:t xml:space="preserve">Todoist</w:t>
      </w:r>
    </w:p>
    <w:p>
      <w:pPr>
        <w:numPr>
          <w:ilvl w:val="0"/>
          <w:numId w:val="1049"/>
        </w:numPr>
        <w:pStyle w:val="Compact"/>
      </w:pPr>
      <w:r>
        <w:t xml:space="preserve">Microsoft Planner</w:t>
      </w:r>
    </w:p>
    <w:p>
      <w:pPr>
        <w:numPr>
          <w:ilvl w:val="0"/>
          <w:numId w:val="1049"/>
        </w:numPr>
        <w:pStyle w:val="Compact"/>
      </w:pPr>
      <w:r>
        <w:t xml:space="preserve">Notion</w:t>
      </w:r>
    </w:p>
    <w:p>
      <w:pPr>
        <w:numPr>
          <w:ilvl w:val="0"/>
          <w:numId w:val="1049"/>
        </w:numPr>
        <w:pStyle w:val="Compact"/>
      </w:pPr>
      <w:r>
        <w:t xml:space="preserve">Basecamp</w:t>
      </w:r>
    </w:p>
    <w:p>
      <w:pPr>
        <w:numPr>
          <w:ilvl w:val="0"/>
          <w:numId w:val="1049"/>
        </w:numPr>
        <w:pStyle w:val="Compact"/>
      </w:pPr>
      <w:r>
        <w:t xml:space="preserve">Confluence</w:t>
      </w:r>
    </w:p>
    <w:p>
      <w:pPr>
        <w:numPr>
          <w:ilvl w:val="0"/>
          <w:numId w:val="1049"/>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303"/>
    <w:bookmarkEnd w:id="304"/>
    <w:bookmarkStart w:id="334"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6.1: Planning in the research project life cycle" title="" id="306" name="Picture"/>
            <a:graphic>
              <a:graphicData uri="http://schemas.openxmlformats.org/drawingml/2006/picture">
                <pic:pic>
                  <pic:nvPicPr>
                    <pic:cNvPr descr="img/lifecycle_rr2.PNG" id="307" name="Picture"/>
                    <pic:cNvPicPr>
                      <a:picLocks noChangeArrowheads="1" noChangeAspect="1"/>
                    </pic:cNvPicPr>
                  </pic:nvPicPr>
                  <pic:blipFill>
                    <a:blip r:embed="rId305"/>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6.1: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rPr>
          <w:rStyle w:val="FootnoteReference"/>
        </w:rPr>
        <w:footnoteReference w:id="308"/>
      </w:r>
      <w:r>
        <w:t xml:space="preserve"> </w:t>
      </w:r>
      <w:r>
        <w:t xml:space="preserve">for many reasons including for the security of data, the continuity of practices, and for the standardization of workflows.</w:t>
      </w:r>
    </w:p>
    <w:bookmarkStart w:id="318"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310"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310"/>
    <w:bookmarkStart w:id="311"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311"/>
    <w:bookmarkStart w:id="312"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312"/>
    <w:bookmarkStart w:id="313"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with titles such a research or project assistants for instance, or it may include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313"/>
    <w:bookmarkStart w:id="317"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tasks aren’t shown on the original diagram but their work is happening alongside the data collection cycle.</w:t>
      </w:r>
    </w:p>
    <w:p>
      <w:pPr>
        <w:pStyle w:val="CaptionedFigure"/>
      </w:pPr>
      <w:r>
        <w:drawing>
          <wp:inline>
            <wp:extent cx="5334000" cy="2947957"/>
            <wp:effectExtent b="0" l="0" r="0" t="0"/>
            <wp:docPr descr="Figure 6.2: Life cycle diagram updated to show hidden processes" title="" id="315" name="Picture"/>
            <a:graphic>
              <a:graphicData uri="http://schemas.openxmlformats.org/drawingml/2006/picture">
                <pic:pic>
                  <pic:nvPicPr>
                    <pic:cNvPr descr="img/lifecycle_intervention2.PNG" id="316" name="Picture"/>
                    <pic:cNvPicPr>
                      <a:picLocks noChangeArrowheads="1" noChangeAspect="1"/>
                    </pic:cNvPicPr>
                  </pic:nvPicPr>
                  <pic:blipFill>
                    <a:blip r:embed="rId314"/>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6.2: Life cycle diagram updated to show hidden processes</w:t>
      </w:r>
    </w:p>
    <w:bookmarkEnd w:id="317"/>
    <w:bookmarkEnd w:id="318"/>
    <w:bookmarkStart w:id="321"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rPr>
          <w:rStyle w:val="FootnoteReference"/>
        </w:rPr>
        <w:footnoteReference w:id="319"/>
      </w:r>
    </w:p>
    <w:p>
      <w:pPr>
        <w:numPr>
          <w:ilvl w:val="0"/>
          <w:numId w:val="1050"/>
        </w:numPr>
        <w:pStyle w:val="Compact"/>
      </w:pPr>
      <w:r>
        <w:t xml:space="preserve">Appoint specific team members to project roles and delineate the responsibilities of those roles</w:t>
      </w:r>
    </w:p>
    <w:p>
      <w:pPr>
        <w:numPr>
          <w:ilvl w:val="0"/>
          <w:numId w:val="1050"/>
        </w:numPr>
        <w:pStyle w:val="Compact"/>
      </w:pPr>
      <w:r>
        <w:t xml:space="preserve">Assess equity in responsibilities</w:t>
      </w:r>
    </w:p>
    <w:p>
      <w:pPr>
        <w:numPr>
          <w:ilvl w:val="1"/>
          <w:numId w:val="1051"/>
        </w:numPr>
        <w:pStyle w:val="Compact"/>
      </w:pPr>
      <w:r>
        <w:t xml:space="preserve">Including time needed to complete tasks and number of responsibilities assigned to each team member (not overloading any one team member)</w:t>
      </w:r>
    </w:p>
    <w:p>
      <w:pPr>
        <w:numPr>
          <w:ilvl w:val="0"/>
          <w:numId w:val="1050"/>
        </w:numPr>
        <w:pStyle w:val="Compact"/>
      </w:pPr>
      <w:r>
        <w:t xml:space="preserve">Assess the skills needed for responsibilities</w:t>
      </w:r>
    </w:p>
    <w:p>
      <w:pPr>
        <w:numPr>
          <w:ilvl w:val="0"/>
          <w:numId w:val="1050"/>
        </w:numPr>
        <w:pStyle w:val="Compact"/>
      </w:pPr>
      <w:r>
        <w:t xml:space="preserve">Assess any training need to fill gaps in knowledge</w:t>
      </w:r>
    </w:p>
    <w:p>
      <w:pPr>
        <w:numPr>
          <w:ilvl w:val="0"/>
          <w:numId w:val="1050"/>
        </w:numPr>
        <w:pStyle w:val="Compact"/>
      </w:pPr>
      <w:r>
        <w:t xml:space="preserve">Estimate costs associated with roles</w:t>
      </w:r>
    </w:p>
    <w:p>
      <w:pPr>
        <w:numPr>
          <w:ilvl w:val="0"/>
          <w:numId w:val="1050"/>
        </w:numPr>
        <w:pStyle w:val="Compact"/>
      </w:pPr>
      <w:r>
        <w:t xml:space="preserve">Develop contingency plans</w:t>
      </w:r>
    </w:p>
    <w:p>
      <w:pPr>
        <w:numPr>
          <w:ilvl w:val="1"/>
          <w:numId w:val="1052"/>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End w:id="321"/>
    <w:bookmarkStart w:id="322" w:name="assigning-roles-and-responsibilities"/>
    <w:p>
      <w:pPr>
        <w:pStyle w:val="Heading2"/>
      </w:pPr>
      <w:r>
        <w:rPr>
          <w:rStyle w:val="SectionNumber"/>
        </w:rPr>
        <w:t xml:space="preserve">6.3</w:t>
      </w:r>
      <w:r>
        <w:tab/>
      </w:r>
      <w:r>
        <w:t xml:space="preserve">Assigning roles and responsibilities</w:t>
      </w:r>
    </w:p>
    <w:p>
      <w:pPr>
        <w:pStyle w:val="FirstParagraph"/>
      </w:pPr>
      <w:r>
        <w:t xml:space="preserve">When assigning roles and responsibilities, there are several factors to consider.</w:t>
      </w:r>
    </w:p>
    <w:p>
      <w:pPr>
        <w:numPr>
          <w:ilvl w:val="0"/>
          <w:numId w:val="1053"/>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 sets in the following buckets:</w:t>
      </w:r>
    </w:p>
    <w:p>
      <w:pPr>
        <w:numPr>
          <w:ilvl w:val="0"/>
          <w:numId w:val="1054"/>
        </w:numPr>
        <w:pStyle w:val="Compact"/>
      </w:pPr>
      <w:r>
        <w:t xml:space="preserve">Interpersonal skills (Detail oriented, organized, good communicator)</w:t>
      </w:r>
      <w:r>
        <w:br/>
      </w:r>
    </w:p>
    <w:p>
      <w:pPr>
        <w:numPr>
          <w:ilvl w:val="0"/>
          <w:numId w:val="1054"/>
        </w:numPr>
        <w:pStyle w:val="Compact"/>
      </w:pPr>
      <w:r>
        <w:t xml:space="preserve">Domain skills (Experience working with education data, understands data privacy - FERPA, HIPAA)</w:t>
      </w:r>
      <w:r>
        <w:br/>
      </w:r>
    </w:p>
    <w:p>
      <w:pPr>
        <w:numPr>
          <w:ilvl w:val="0"/>
          <w:numId w:val="1054"/>
        </w:numPr>
        <w:pStyle w:val="Compact"/>
      </w:pPr>
      <w:r>
        <w:t xml:space="preserve">Technical skills (Understanding of database structure, experience building data pipelines, coding experience, specific software/tool experience)</w:t>
      </w:r>
    </w:p>
    <w:p>
      <w:pPr>
        <w:pStyle w:val="FirstParagraph"/>
      </w:pPr>
      <w:r>
        <w:t xml:space="preserve">The specific skills needed for each role will depend on your project needs as well as the skill sets of the other members of the team.</w:t>
      </w:r>
    </w:p>
    <w:p>
      <w:pPr>
        <w:numPr>
          <w:ilvl w:val="0"/>
          <w:numId w:val="1055"/>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6"/>
        </w:numPr>
        <w:pStyle w:val="Compact"/>
      </w:pPr>
      <w:r>
        <w:t xml:space="preserve">Estimate costs</w:t>
      </w:r>
    </w:p>
    <w:p>
      <w:pPr>
        <w:pStyle w:val="FirstParagraph"/>
      </w:pPr>
      <w:r>
        <w:t xml:space="preserve">If you are working on roles and responsibilities after your grant has been funded, then your grant budget has already submitted. However, it can still be helpful to thinking through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57"/>
        </w:numPr>
        <w:pStyle w:val="Compact"/>
      </w:pPr>
      <w:r>
        <w:t xml:space="preserve">Contingency plans</w:t>
      </w:r>
    </w:p>
    <w:p>
      <w:pPr>
        <w:pStyle w:val="FirstParagraph"/>
      </w:pPr>
      <w:r>
        <w:t xml:space="preserve">You should also beging thinking through backup plans should a staff member leave the project or be absent for an extended period of time. This may include cross training staff or a plan for training replacement staff.</w:t>
      </w:r>
    </w:p>
    <w:bookmarkEnd w:id="322"/>
    <w:bookmarkStart w:id="332" w:name="roledoc"/>
    <w:p>
      <w:pPr>
        <w:pStyle w:val="Heading2"/>
      </w:pPr>
      <w:r>
        <w:rPr>
          <w:rStyle w:val="SectionNumber"/>
        </w:rPr>
        <w:t xml:space="preserve">6.4</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rPr>
          <w:rStyle w:val="FootnoteReference"/>
        </w:rPr>
        <w:footnoteReference w:id="323"/>
      </w:r>
      <w:r>
        <w:t xml:space="preserve"> In addition to being a planning document that can help you assign tasks to the appropriate staff member, it can also serve as a reference document that allows your team to easily see who is on the project team, what roles they play, and who to contact for questions regarding various project aspects (for example - who to contact for data storage access).</w:t>
      </w:r>
    </w:p>
    <w:p>
      <w:pPr>
        <w:pStyle w:val="BodyText"/>
      </w:pPr>
      <w:r>
        <w:t xml:space="preserve">This document can be laid in any format that conveys the information clearly to your team. Figure</w:t>
      </w:r>
      <w:r>
        <w:t xml:space="preserve"> </w:t>
      </w:r>
      <w:r>
        <w:t xml:space="preserve">6.3</w:t>
      </w:r>
      <w:r>
        <w:t xml:space="preserve"> </w:t>
      </w:r>
      <w:r>
        <w:t xml:space="preserve">and Figure</w:t>
      </w:r>
      <w:r>
        <w:t xml:space="preserve"> </w:t>
      </w:r>
      <w:r>
        <w:t xml:space="preserve">6.4</w:t>
      </w:r>
      <w:r>
        <w:t xml:space="preserve"> </w:t>
      </w:r>
      <w:r>
        <w:t xml:space="preserve">are two example templates. Note that these templates only list overarching responsibilities, not specific tasks. Specific actionable steps will be laid out in other process documentation such as</w:t>
      </w:r>
      <w:r>
        <w:t xml:space="preserve"> </w:t>
      </w:r>
      <w:hyperlink w:anchor="sop">
        <w:r>
          <w:rPr>
            <w:rStyle w:val="Hyperlink"/>
          </w:rPr>
          <w:t xml:space="preserve">standard operating procedures</w:t>
        </w:r>
      </w:hyperlink>
      <w:r>
        <w:t xml:space="preserve"> </w:t>
      </w:r>
      <w:r>
        <w:t xml:space="preserve">where names are attached to each task.</w:t>
      </w:r>
    </w:p>
    <w:p>
      <w:pPr>
        <w:pStyle w:val="CaptionedFigure"/>
      </w:pPr>
      <w:r>
        <w:drawing>
          <wp:inline>
            <wp:extent cx="5334000" cy="4739722"/>
            <wp:effectExtent b="0" l="0" r="0" t="0"/>
            <wp:docPr descr="Figure 6.3: Roles and responsibilities document organized by role" title="" id="327" name="Picture"/>
            <a:graphic>
              <a:graphicData uri="http://schemas.openxmlformats.org/drawingml/2006/picture">
                <pic:pic>
                  <pic:nvPicPr>
                    <pic:cNvPr descr="img/roles_responsibility1.PNG" id="328" name="Picture"/>
                    <pic:cNvPicPr>
                      <a:picLocks noChangeArrowheads="1" noChangeAspect="1"/>
                    </pic:cNvPicPr>
                  </pic:nvPicPr>
                  <pic:blipFill>
                    <a:blip r:embed="rId326"/>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6.3: Roles and responsibilities document organized by role</w:t>
      </w:r>
    </w:p>
    <w:p>
      <w:pPr>
        <w:pStyle w:val="CaptionedFigure"/>
      </w:pPr>
      <w:r>
        <w:drawing>
          <wp:inline>
            <wp:extent cx="5334000" cy="3664516"/>
            <wp:effectExtent b="0" l="0" r="0" t="0"/>
            <wp:docPr descr="Figure 6.4: Roles and responsibilities document organized by phase" title="" id="330" name="Picture"/>
            <a:graphic>
              <a:graphicData uri="http://schemas.openxmlformats.org/drawingml/2006/picture">
                <pic:pic>
                  <pic:nvPicPr>
                    <pic:cNvPr descr="img/roles_responsibility2.PNG" id="331" name="Picture"/>
                    <pic:cNvPicPr>
                      <a:picLocks noChangeArrowheads="1" noChangeAspect="1"/>
                    </pic:cNvPicPr>
                  </pic:nvPicPr>
                  <pic:blipFill>
                    <a:blip r:embed="rId329"/>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6.4: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pStyle w:val="BodyText"/>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58"/>
        </w:numPr>
        <w:pStyle w:val="Compact"/>
      </w:pPr>
      <w:r>
        <w:t xml:space="preserve">Links to related standard operating procedures (ex: for building a participant tracking database you may link to the specific SOP that lays out steps for building the tool)</w:t>
      </w:r>
    </w:p>
    <w:p>
      <w:pPr>
        <w:numPr>
          <w:ilvl w:val="0"/>
          <w:numId w:val="1058"/>
        </w:numPr>
        <w:pStyle w:val="Compact"/>
      </w:pPr>
      <w:r>
        <w:t xml:space="preserve">Names of other staff members (if any) that assist with or also contribute to each responsibility</w:t>
      </w:r>
    </w:p>
    <w:p>
      <w:pPr>
        <w:numPr>
          <w:ilvl w:val="0"/>
          <w:numId w:val="1058"/>
        </w:numPr>
        <w:pStyle w:val="Compact"/>
      </w:pPr>
      <w:r>
        <w:t xml:space="preserve">Timing of each responsibility (ex: weekly, ongoing, the month of February)</w:t>
      </w:r>
    </w:p>
    <w:bookmarkEnd w:id="332"/>
    <w:bookmarkStart w:id="333" w:name="data-management-role"/>
    <w:p>
      <w:pPr>
        <w:pStyle w:val="Heading2"/>
      </w:pPr>
      <w:r>
        <w:rPr>
          <w:rStyle w:val="SectionNumber"/>
        </w:rPr>
        <w:t xml:space="preserve">6.5</w:t>
      </w:r>
      <w:r>
        <w:tab/>
      </w:r>
      <w:r>
        <w:t xml:space="preserve">Data Management Role</w:t>
      </w:r>
    </w:p>
    <w:p>
      <w:pPr>
        <w:pStyle w:val="FirstParagraph"/>
      </w:pPr>
      <w:r>
        <w:t xml:space="preserve">Like I mentioned earlier, I highly recommend hiring a full-time data manager if you are able to budget for this as it allows each team member to have more narrow responsibilities and to implement their tasks with better precision. However, not everyone will have the capacity to do this. If so, it will be vitally important to still assign those data management responsibilities to specific team members. In choosing who to assign these tasks to, you will want to consider several things such as appropriate skill set to manage the data, interest in data management tasks, and time to commit to data management. Oftentimes this responsibility falls to a full-time project coordinator as they are the ones who are intimately familiar with the data, and since they are full-time, they are able to carve out hours for data management tasks. Other times it may be a collaboration between a project coordinator and another staff member, such as a part-time graduate student (who may have more technical skills in terms of data wrangling). No matter who you assign these roles to, just ensure that they are documented and the information is disseminated to the team.</w:t>
      </w:r>
    </w:p>
    <w:bookmarkEnd w:id="333"/>
    <w:bookmarkEnd w:id="334"/>
    <w:bookmarkStart w:id="549" w:name="document"/>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7.1: Data documentation in the research project life cycle" title="" id="336" name="Picture"/>
            <a:graphic>
              <a:graphicData uri="http://schemas.openxmlformats.org/drawingml/2006/picture">
                <pic:pic>
                  <pic:nvPicPr>
                    <pic:cNvPr descr="img/lifecycle_doc.PNG" id="337" name="Picture"/>
                    <pic:cNvPicPr>
                      <a:picLocks noChangeArrowheads="1" noChangeAspect="1"/>
                    </pic:cNvPicPr>
                  </pic:nvPicPr>
                  <pic:blipFill>
                    <a:blip r:embed="rId335"/>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7.1: Data documentation in the research project life cycle</w:t>
      </w:r>
    </w:p>
    <w:p>
      <w:pPr>
        <w:pStyle w:val="BodyText"/>
      </w:pPr>
      <w:r>
        <w:t xml:space="preserve">Documentation is a collection of files that contain procedural and descriptive information about your team, your project, your workflows, and your data. Collecting thorough documentation during your study is equally as important as collecting your data. Documentation serves many purposes including:</w:t>
      </w:r>
    </w:p>
    <w:p>
      <w:pPr>
        <w:numPr>
          <w:ilvl w:val="0"/>
          <w:numId w:val="1059"/>
        </w:numPr>
        <w:pStyle w:val="Compact"/>
      </w:pPr>
      <w:r>
        <w:t xml:space="preserve">Standardizing procedures</w:t>
      </w:r>
    </w:p>
    <w:p>
      <w:pPr>
        <w:numPr>
          <w:ilvl w:val="0"/>
          <w:numId w:val="1059"/>
        </w:numPr>
        <w:pStyle w:val="Compact"/>
      </w:pPr>
      <w:r>
        <w:t xml:space="preserve">Securing data and protecting confidentiality</w:t>
      </w:r>
    </w:p>
    <w:p>
      <w:pPr>
        <w:numPr>
          <w:ilvl w:val="0"/>
          <w:numId w:val="1059"/>
        </w:numPr>
        <w:pStyle w:val="Compact"/>
      </w:pPr>
      <w:r>
        <w:t xml:space="preserve">Tracking data provenance</w:t>
      </w:r>
    </w:p>
    <w:p>
      <w:pPr>
        <w:numPr>
          <w:ilvl w:val="0"/>
          <w:numId w:val="1059"/>
        </w:numPr>
        <w:pStyle w:val="Compact"/>
      </w:pPr>
      <w:r>
        <w:t xml:space="preserve">Discovering errors</w:t>
      </w:r>
    </w:p>
    <w:p>
      <w:pPr>
        <w:numPr>
          <w:ilvl w:val="0"/>
          <w:numId w:val="1059"/>
        </w:numPr>
        <w:pStyle w:val="Compact"/>
      </w:pPr>
      <w:r>
        <w:t xml:space="preserve">Enabling reproducibility</w:t>
      </w:r>
    </w:p>
    <w:p>
      <w:pPr>
        <w:numPr>
          <w:ilvl w:val="0"/>
          <w:numId w:val="1059"/>
        </w:numPr>
        <w:pStyle w:val="Compact"/>
      </w:pPr>
      <w:r>
        <w:t xml:space="preserve">Ensuring others use and interpret data accurately</w:t>
      </w:r>
    </w:p>
    <w:p>
      <w:pPr>
        <w:numPr>
          <w:ilvl w:val="0"/>
          <w:numId w:val="1059"/>
        </w:numPr>
        <w:pStyle w:val="Compact"/>
      </w:pPr>
      <w:r>
        <w:t xml:space="preserve">Providing searchability through metadata</w:t>
      </w:r>
    </w:p>
    <w:p>
      <w:pPr>
        <w:pStyle w:val="FirstParagraph"/>
      </w:pPr>
      <w:r>
        <w:t xml:space="preserve">We are going to cover four levels of documentation in this chapter: team-level, project-level, dataset-level, and variable-level. While most of the documentation discussed does fall within its eponymous phase in the research life cycle, some documents will be created earlier or later and the timing will be discussed in each section. During a project, while you are actively using your documents, the format of these documents does not matter. Choose a human-readable format that works well for your team (ex: Word, PDF, plain text file, Google Doc, Excel, HTML, OneNote, etc.). When projects are closing out and you are preparing to share your data, you can consider, at that time, how to best make your documents more sustainable, interoperable, and searchable. See the chapter on</w:t>
      </w:r>
      <w:r>
        <w:t xml:space="preserve"> </w:t>
      </w:r>
      <w:hyperlink w:anchor="share">
        <w:r>
          <w:rPr>
            <w:rStyle w:val="Hyperlink"/>
          </w:rPr>
          <w:t xml:space="preserve">Data Sharing</w:t>
        </w:r>
      </w:hyperlink>
      <w:r>
        <w:t xml:space="preserve"> </w:t>
      </w:r>
      <w:r>
        <w:t xml:space="preserve">for more information.</w:t>
      </w:r>
    </w:p>
    <w:p>
      <w:pPr>
        <w:pStyle w:val="BodyText"/>
      </w:pPr>
      <w:r>
        <w:t xml:space="preserve">The documents below are all recommended and will help you successfully run your project. You can create as many or as few of these documents as you wish. The documents you choose to produce should be based on what is best for your project and your team, as well as what is required by your funder (see</w:t>
      </w:r>
      <w:r>
        <w:t xml:space="preserve"> </w:t>
      </w:r>
      <w:hyperlink w:anchor="dmp">
        <w:r>
          <w:rPr>
            <w:rStyle w:val="Hyperlink"/>
          </w:rPr>
          <w:t xml:space="preserve">Data Management Plan</w:t>
        </w:r>
      </w:hyperlink>
      <w:r>
        <w:t xml:space="preserve">) and other governing bodies such as your Institutional Review Board. No matter which documents you choose to implement, it is important to create templates for your documents and implement them consistently within, and even across projects. Implementing documentation using templates, or consistent formats and fields, reduces duplication in efforts (no need to reinvent the wheel) and allows your team to interpret the document more easily.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Each type of documentation discussed below is a living document to be updated as procedures change or new information is received. As seen in the cyclical section of Figure</w:t>
      </w:r>
      <w:r>
        <w:t xml:space="preserve"> </w:t>
      </w:r>
      <w:r>
        <w:t xml:space="preserve">7.1</w:t>
      </w:r>
      <w:r>
        <w:t xml:space="preserve"> </w:t>
      </w:r>
      <w:r>
        <w:t xml:space="preserve">above, team members should revisit documentation each time new data is collected, or more often if needed.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p>
      <w:pPr>
        <w:pStyle w:val="BlockText"/>
      </w:pPr>
      <w:r>
        <w:t xml:space="preserve">Creating and maintaining these documents</w:t>
      </w:r>
      <w:r>
        <w:t xml:space="preserve"> </w:t>
      </w:r>
      <w:r>
        <w:rPr>
          <w:bCs/>
          <w:b/>
        </w:rPr>
        <w:t xml:space="preserve">is an investment</w:t>
      </w:r>
      <w:r>
        <w:t xml:space="preserve">. Make sure to account for this time in your proposal budget. With that said, the return for the investment is well worth the effort.</w:t>
      </w:r>
    </w:p>
    <w:bookmarkStart w:id="380" w:name="team-level"/>
    <w:p>
      <w:pPr>
        <w:pStyle w:val="Heading2"/>
      </w:pPr>
      <w:r>
        <w:rPr>
          <w:rStyle w:val="SectionNumber"/>
        </w:rPr>
        <w:t xml:space="preserve">7.1</w:t>
      </w:r>
      <w:r>
        <w:tab/>
      </w:r>
      <w:r>
        <w:t xml:space="preserve">Team Level</w:t>
      </w:r>
    </w:p>
    <w:p>
      <w:pPr>
        <w:pStyle w:val="FirstParagraph"/>
      </w:pPr>
      <w:r>
        <w:t xml:space="preserve">Team-level data documentation typically contains data governance rules that apply to the entire team, across all projects. While these documents can be amended any time, they should be started long before you apply for a grant, when your lab, center, or institution is formed.</w:t>
      </w:r>
    </w:p>
    <w:p>
      <w:pPr>
        <w:pStyle w:val="CaptionedFigure"/>
      </w:pPr>
      <w:r>
        <w:drawing>
          <wp:inline>
            <wp:extent cx="5334000" cy="2989021"/>
            <wp:effectExtent b="0" l="0" r="0" t="0"/>
            <wp:docPr descr="Figure 7.2: Team-level documentation in the research project life cycle" title="" id="339" name="Picture"/>
            <a:graphic>
              <a:graphicData uri="http://schemas.openxmlformats.org/drawingml/2006/picture">
                <pic:pic>
                  <pic:nvPicPr>
                    <pic:cNvPr descr="img/lifecycle_teamdoc.PNG" id="340" name="Picture"/>
                    <pic:cNvPicPr>
                      <a:picLocks noChangeArrowheads="1" noChangeAspect="1"/>
                    </pic:cNvPicPr>
                  </pic:nvPicPr>
                  <pic:blipFill>
                    <a:blip r:embed="rId338"/>
                    <a:stretch>
                      <a:fillRect/>
                    </a:stretch>
                  </pic:blipFill>
                  <pic:spPr bwMode="auto">
                    <a:xfrm>
                      <a:off x="0" y="0"/>
                      <a:ext cx="5334000" cy="2989021"/>
                    </a:xfrm>
                    <a:prstGeom prst="rect">
                      <a:avLst/>
                    </a:prstGeom>
                    <a:noFill/>
                    <a:ln w="9525">
                      <a:noFill/>
                      <a:headEnd/>
                      <a:tailEnd/>
                    </a:ln>
                  </pic:spPr>
                </pic:pic>
              </a:graphicData>
            </a:graphic>
          </wp:inline>
        </w:drawing>
      </w:r>
    </w:p>
    <w:p>
      <w:pPr>
        <w:pStyle w:val="ImageCaption"/>
      </w:pPr>
      <w:r>
        <w:t xml:space="preserve">Figure 7.2: Team-level documentation in the research project life cycle</w:t>
      </w:r>
    </w:p>
    <w:bookmarkStart w:id="352" w:name="lab-manual"/>
    <w:p>
      <w:pPr>
        <w:pStyle w:val="Heading3"/>
      </w:pPr>
      <w:r>
        <w:rPr>
          <w:rStyle w:val="SectionNumber"/>
        </w:rPr>
        <w:t xml:space="preserve">7.1.1</w:t>
      </w:r>
      <w:r>
        <w:tab/>
      </w:r>
      <w:r>
        <w:t xml:space="preserve">Lab Manual</w:t>
      </w:r>
    </w:p>
    <w:p>
      <w:pPr>
        <w:pStyle w:val="FirstParagraph"/>
      </w:pPr>
      <w:r>
        <w:t xml:space="preserve">One example of a team-level document is a lab manual, or team handbook. A lab manual creates common knowledge across your team.</w:t>
      </w:r>
      <w:r>
        <w:rPr>
          <w:rStyle w:val="FootnoteReference"/>
        </w:rPr>
        <w:footnoteReference w:id="341"/>
      </w:r>
      <w:r>
        <w:t xml:space="preserve"> It provides staff with consistent information about how the team works and why they do the things they do. It sets expectations, provides guidelines, and can even be a place for passing along helpful career advice.</w:t>
      </w:r>
      <w:r>
        <w:rPr>
          <w:rStyle w:val="FootnoteReference"/>
        </w:rPr>
        <w:footnoteReference w:id="343"/>
      </w:r>
      <w:r>
        <w:t xml:space="preserve"> While a lab manual will primarily consist of administrative, procedural, and interpersonal types of information, it can be helpful to include data management content, including general rules about accessing, storing, sharing, and working with data securely and ethically.</w:t>
      </w:r>
    </w:p>
    <w:p>
      <w:pPr>
        <w:pStyle w:val="BodyText"/>
      </w:pPr>
      <w:r>
        <w:rPr>
          <w:bCs/>
          <w:b/>
        </w:rPr>
        <w:t xml:space="preserve">Example lab manuals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Crowdsourced lab manual template</w:t>
            </w:r>
            <w:r>
              <w:rPr>
                <w:rStyle w:val="FootnoteReference"/>
              </w:rPr>
              <w:footnoteReference w:id="345"/>
            </w:r>
          </w:p>
        </w:tc>
        <w:tc>
          <w:tcPr/>
          <w:p>
            <w:pPr>
              <w:pStyle w:val="Compact"/>
              <w:jc w:val="left"/>
            </w:pPr>
            <w:r>
              <w:t xml:space="preserve">Lab manual template</w:t>
            </w:r>
          </w:p>
        </w:tc>
      </w:tr>
      <w:tr>
        <w:tc>
          <w:tcPr/>
          <w:p>
            <w:pPr>
              <w:pStyle w:val="Compact"/>
              <w:jc w:val="left"/>
            </w:pPr>
            <w:r>
              <w:t xml:space="preserve">Faylab Lab Manual</w:t>
            </w:r>
            <w:r>
              <w:rPr>
                <w:rStyle w:val="FootnoteReference"/>
              </w:rPr>
              <w:footnoteReference w:id="346"/>
            </w:r>
          </w:p>
        </w:tc>
        <w:tc>
          <w:tcPr/>
          <w:p>
            <w:pPr>
              <w:pStyle w:val="Compact"/>
              <w:jc w:val="left"/>
            </w:pPr>
            <w:r>
              <w:t xml:space="preserve">Example public lab manual</w:t>
            </w:r>
          </w:p>
        </w:tc>
      </w:tr>
      <w:tr>
        <w:tc>
          <w:tcPr/>
          <w:p>
            <w:pPr>
              <w:pStyle w:val="Compact"/>
              <w:jc w:val="left"/>
            </w:pPr>
            <w:r>
              <w:t xml:space="preserve">The RAISE Lab Manual</w:t>
            </w:r>
            <w:r>
              <w:rPr>
                <w:rStyle w:val="FootnoteReference"/>
              </w:rPr>
              <w:footnoteReference w:id="348"/>
            </w:r>
          </w:p>
        </w:tc>
        <w:tc>
          <w:tcPr/>
          <w:p>
            <w:pPr>
              <w:pStyle w:val="Compact"/>
              <w:jc w:val="left"/>
            </w:pPr>
            <w:r>
              <w:t xml:space="preserve">Example public lab manual</w:t>
            </w:r>
          </w:p>
        </w:tc>
      </w:tr>
      <w:tr>
        <w:tc>
          <w:tcPr/>
          <w:p>
            <w:pPr>
              <w:pStyle w:val="Compact"/>
              <w:jc w:val="left"/>
            </w:pPr>
            <w:r>
              <w:t xml:space="preserve">Common Topics in Lab Handbooks</w:t>
            </w:r>
            <w:r>
              <w:rPr>
                <w:rStyle w:val="FootnoteReference"/>
              </w:rPr>
              <w:footnoteReference w:id="350"/>
            </w:r>
          </w:p>
        </w:tc>
        <w:tc>
          <w:tcPr/>
          <w:p>
            <w:pPr>
              <w:pStyle w:val="Compact"/>
              <w:jc w:val="left"/>
            </w:pPr>
            <w:r>
              <w:t xml:space="preserve">Common topics covered in lab manuals</w:t>
            </w:r>
          </w:p>
        </w:tc>
      </w:tr>
    </w:tbl>
    <w:bookmarkEnd w:id="352"/>
    <w:bookmarkStart w:id="360" w:name="wiki"/>
    <w:p>
      <w:pPr>
        <w:pStyle w:val="Heading3"/>
      </w:pPr>
      <w:r>
        <w:rPr>
          <w:rStyle w:val="SectionNumber"/>
        </w:rPr>
        <w:t xml:space="preserve">7.1.2</w:t>
      </w:r>
      <w:r>
        <w:tab/>
      </w:r>
      <w:r>
        <w:t xml:space="preserve">Wiki</w:t>
      </w:r>
    </w:p>
    <w:p>
      <w:pPr>
        <w:pStyle w:val="FirstParagraph"/>
      </w:pPr>
      <w:r>
        <w:t xml:space="preserve">Another option that can either be created alongside the lab manual or as an alternative to the lab manual is a team wiki. A wiki is a webpage that allows users to collaboratively edit and manage content. It can be created and housed in many tools such as SharePoint, Teams, Notion, GitHub, OSF, and more. While some lab wikis are public (as you’ll see in the examples below), most are not and can be restricted to invited users only. This is a great way to keep disparate documents and pieces of information, for both administrative and data related purposes, organized in a central, accessible location. Your wiki can include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236359"/>
            <wp:effectExtent b="0" l="0" r="0" t="0"/>
            <wp:docPr descr="Figure 7.3: Example team wiki with links to frequently requested information" title="" id="354" name="Picture"/>
            <a:graphic>
              <a:graphicData uri="http://schemas.openxmlformats.org/drawingml/2006/picture">
                <pic:pic>
                  <pic:nvPicPr>
                    <pic:cNvPr descr="img/wiki2.PNG" id="355" name="Picture"/>
                    <pic:cNvPicPr>
                      <a:picLocks noChangeArrowheads="1" noChangeAspect="1"/>
                    </pic:cNvPicPr>
                  </pic:nvPicPr>
                  <pic:blipFill>
                    <a:blip r:embed="rId353"/>
                    <a:stretch>
                      <a:fillRect/>
                    </a:stretch>
                  </pic:blipFill>
                  <pic:spPr bwMode="auto">
                    <a:xfrm>
                      <a:off x="0" y="0"/>
                      <a:ext cx="5334000" cy="3236359"/>
                    </a:xfrm>
                    <a:prstGeom prst="rect">
                      <a:avLst/>
                    </a:prstGeom>
                    <a:noFill/>
                    <a:ln w="9525">
                      <a:noFill/>
                      <a:headEnd/>
                      <a:tailEnd/>
                    </a:ln>
                  </pic:spPr>
                </pic:pic>
              </a:graphicData>
            </a:graphic>
          </wp:inline>
        </w:drawing>
      </w:r>
    </w:p>
    <w:p>
      <w:pPr>
        <w:pStyle w:val="ImageCaption"/>
      </w:pPr>
      <w:r>
        <w:t xml:space="preserve">Figure 7.3: Example team wiki with links to frequently requested information</w:t>
      </w:r>
    </w:p>
    <w:p>
      <w:pPr>
        <w:pStyle w:val="BlockText"/>
      </w:pPr>
      <w:r>
        <w:t xml:space="preserve">Project-level wikis can also be created and be very useful in centralizing frequently referenced information pertaining to specific projects.</w:t>
      </w:r>
    </w:p>
    <w:p>
      <w:pPr>
        <w:pStyle w:val="FirstParagraph"/>
      </w:pPr>
      <w:r>
        <w:rPr>
          <w:bCs/>
          <w:b/>
        </w:rPr>
        <w:t xml:space="preserve">Example wikis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Aly Lab Wiki</w:t>
            </w:r>
            <w:r>
              <w:rPr>
                <w:rStyle w:val="FootnoteReference"/>
              </w:rPr>
              <w:footnoteReference w:id="356"/>
            </w:r>
          </w:p>
        </w:tc>
        <w:tc>
          <w:tcPr/>
          <w:p>
            <w:pPr>
              <w:pStyle w:val="Compact"/>
              <w:jc w:val="left"/>
            </w:pPr>
            <w:r>
              <w:t xml:space="preserve">Example public lab wiki</w:t>
            </w:r>
          </w:p>
        </w:tc>
      </w:tr>
      <w:tr>
        <w:tc>
          <w:tcPr/>
          <w:p>
            <w:pPr>
              <w:pStyle w:val="Compact"/>
              <w:jc w:val="left"/>
            </w:pPr>
            <w:r>
              <w:t xml:space="preserve">SYNC Lab Wiki</w:t>
            </w:r>
            <w:r>
              <w:rPr>
                <w:rStyle w:val="FootnoteReference"/>
              </w:rPr>
              <w:footnoteReference w:id="358"/>
            </w:r>
          </w:p>
        </w:tc>
        <w:tc>
          <w:tcPr/>
          <w:p>
            <w:pPr>
              <w:pStyle w:val="Compact"/>
              <w:jc w:val="left"/>
            </w:pPr>
            <w:r>
              <w:t xml:space="preserve">Example public lab wiki</w:t>
            </w:r>
          </w:p>
        </w:tc>
      </w:tr>
    </w:tbl>
    <w:bookmarkEnd w:id="360"/>
    <w:bookmarkStart w:id="364"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for any project,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so forth, it should also contain some basic data tasks that help maintain data integrity and security.</w:t>
      </w:r>
    </w:p>
    <w:p>
      <w:pPr>
        <w:pStyle w:val="BodyText"/>
      </w:pPr>
      <w:r>
        <w:t xml:space="preserve">Data related topics to consider adding to your onboarding and offboarding checklists are included in Figure</w:t>
      </w:r>
      <w:r>
        <w:t xml:space="preserve"> </w:t>
      </w:r>
      <w:r>
        <w:t xml:space="preserve">7.4</w:t>
      </w:r>
      <w:r>
        <w:t xml:space="preserve">.</w:t>
      </w:r>
    </w:p>
    <w:p>
      <w:pPr>
        <w:pStyle w:val="CaptionedFigure"/>
      </w:pPr>
      <w:r>
        <w:drawing>
          <wp:inline>
            <wp:extent cx="5334000" cy="2005116"/>
            <wp:effectExtent b="0" l="0" r="0" t="0"/>
            <wp:docPr descr="Figure 7.4: Sample data topics to add to onboarding and offboarding checklists" title="" id="362" name="Picture"/>
            <a:graphic>
              <a:graphicData uri="http://schemas.openxmlformats.org/drawingml/2006/picture">
                <pic:pic>
                  <pic:nvPicPr>
                    <pic:cNvPr descr="img/onboard_offboard2.PNG" id="363" name="Picture"/>
                    <pic:cNvPicPr>
                      <a:picLocks noChangeArrowheads="1" noChangeAspect="1"/>
                    </pic:cNvPicPr>
                  </pic:nvPicPr>
                  <pic:blipFill>
                    <a:blip r:embed="rId361"/>
                    <a:stretch>
                      <a:fillRect/>
                    </a:stretch>
                  </pic:blipFill>
                  <pic:spPr bwMode="auto">
                    <a:xfrm>
                      <a:off x="0" y="0"/>
                      <a:ext cx="5334000" cy="2005116"/>
                    </a:xfrm>
                    <a:prstGeom prst="rect">
                      <a:avLst/>
                    </a:prstGeom>
                    <a:noFill/>
                    <a:ln w="9525">
                      <a:noFill/>
                      <a:headEnd/>
                      <a:tailEnd/>
                    </a:ln>
                  </pic:spPr>
                </pic:pic>
              </a:graphicData>
            </a:graphic>
          </wp:inline>
        </w:drawing>
      </w:r>
    </w:p>
    <w:p>
      <w:pPr>
        <w:pStyle w:val="ImageCaption"/>
      </w:pPr>
      <w:r>
        <w:t xml:space="preserve">Figure 7.4: Sample data topics to add to onboarding and offboarding checklists</w:t>
      </w:r>
    </w:p>
    <w:bookmarkEnd w:id="364"/>
    <w:bookmarkStart w:id="372" w:name="data-use-agreement"/>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document that we draft in conjunction with an external partner that would like to access our data (or we want to access theirs). It usually covers the terms for how someone is allowed to use data, considering things like access controls, research participant privacy, data destruction rules, and so on.</w:t>
      </w:r>
      <w:r>
        <w:rPr>
          <w:rStyle w:val="FootnoteReference"/>
        </w:rPr>
        <w:footnoteReference w:id="365"/>
      </w:r>
      <w:r>
        <w:t xml:space="preserve"> However, it can be really helpful to document the terms and conditions of data use and have staff, at minimum, review or even sign an internal statement saying that they have reviewed all team policies regarding working securely with data.</w:t>
      </w:r>
      <w:r>
        <w:rPr>
          <w:rStyle w:val="FootnoteReference"/>
        </w:rPr>
        <w:footnoteReference w:id="367"/>
      </w:r>
      <w:r>
        <w:t xml:space="preserve"> These rules for working with data can be added to a lab manual, as many people do, or they can be added to a separate data use agreement where staff members can sign or check a box acknowledging that they have read and understand the policies.</w:t>
      </w:r>
    </w:p>
    <w:p>
      <w:pPr>
        <w:pStyle w:val="BodyText"/>
      </w:pPr>
      <w:r>
        <w:t xml:space="preserve">Ideas of content to include in a DUA are included in Figure</w:t>
      </w:r>
      <w:r>
        <w:t xml:space="preserve"> </w:t>
      </w:r>
      <w:r>
        <w:t xml:space="preserve">7.5</w:t>
      </w:r>
      <w:r>
        <w:t xml:space="preserve">.</w:t>
      </w:r>
    </w:p>
    <w:p>
      <w:pPr>
        <w:pStyle w:val="CaptionedFigure"/>
      </w:pPr>
      <w:r>
        <w:drawing>
          <wp:inline>
            <wp:extent cx="5334000" cy="2876633"/>
            <wp:effectExtent b="0" l="0" r="0" t="0"/>
            <wp:docPr descr="Figure 7.5: Example of content to include in an internal data use agreement" title="" id="370" name="Picture"/>
            <a:graphic>
              <a:graphicData uri="http://schemas.openxmlformats.org/drawingml/2006/picture">
                <pic:pic>
                  <pic:nvPicPr>
                    <pic:cNvPr descr="img/dua2.PNG" id="371" name="Picture"/>
                    <pic:cNvPicPr>
                      <a:picLocks noChangeArrowheads="1" noChangeAspect="1"/>
                    </pic:cNvPicPr>
                  </pic:nvPicPr>
                  <pic:blipFill>
                    <a:blip r:embed="rId369"/>
                    <a:stretch>
                      <a:fillRect/>
                    </a:stretch>
                  </pic:blipFill>
                  <pic:spPr bwMode="auto">
                    <a:xfrm>
                      <a:off x="0" y="0"/>
                      <a:ext cx="5334000" cy="2876633"/>
                    </a:xfrm>
                    <a:prstGeom prst="rect">
                      <a:avLst/>
                    </a:prstGeom>
                    <a:noFill/>
                    <a:ln w="9525">
                      <a:noFill/>
                      <a:headEnd/>
                      <a:tailEnd/>
                    </a:ln>
                  </pic:spPr>
                </pic:pic>
              </a:graphicData>
            </a:graphic>
          </wp:inline>
        </w:drawing>
      </w:r>
    </w:p>
    <w:p>
      <w:pPr>
        <w:pStyle w:val="ImageCaption"/>
      </w:pPr>
      <w:r>
        <w:t xml:space="preserve">Figure 7.5: Example of content to include in an internal data use agreement</w:t>
      </w:r>
    </w:p>
    <w:bookmarkEnd w:id="372"/>
    <w:bookmarkStart w:id="379" w:name="styleshort"/>
    <w:p>
      <w:pPr>
        <w:pStyle w:val="Heading3"/>
      </w:pPr>
      <w:r>
        <w:rPr>
          <w:rStyle w:val="SectionNumber"/>
        </w:rPr>
        <w:t xml:space="preserve">7.1.5</w:t>
      </w:r>
      <w:r>
        <w:tab/>
      </w:r>
      <w:r>
        <w:t xml:space="preserve">Style Guide</w:t>
      </w:r>
    </w:p>
    <w:p>
      <w:pPr>
        <w:pStyle w:val="FirstParagraph"/>
      </w:pPr>
      <w:r>
        <w:t xml:space="preserve">A style guide is a set of standards for the formatting of information.</w:t>
      </w:r>
      <w:r>
        <w:rPr>
          <w:rStyle w:val="FootnoteReference"/>
        </w:rPr>
        <w:footnoteReference w:id="373"/>
      </w:r>
      <w:r>
        <w:t xml:space="preserve"> It improves consistency within and across files and projects. This document includes conventions for procedures such as variable naming, variable value coding, file naming, versioning, file structure, and even coding practices. It can be created in one large document or separate files for each type of procedure. I highly recommend applying your style guide consistently across all projects, hence why this is included in the team documentation. Since style guides are so important, and there are so many recommended practices to cover, I have given this document its own chapter. See the chapter on</w:t>
      </w:r>
      <w:r>
        <w:t xml:space="preserve"> </w:t>
      </w:r>
      <w:hyperlink w:anchor="style">
        <w:r>
          <w:rPr>
            <w:rStyle w:val="Hyperlink"/>
          </w:rPr>
          <w:t xml:space="preserve">Style Guides</w:t>
        </w:r>
      </w:hyperlink>
      <w:r>
        <w:t xml:space="preserve"> </w:t>
      </w:r>
      <w:r>
        <w:t xml:space="preserve">for more information.</w:t>
      </w:r>
    </w:p>
    <w:p>
      <w:pPr>
        <w:pStyle w:val="BodyText"/>
      </w:pPr>
      <w:r>
        <w:rPr>
          <w:bCs/>
          <w:b/>
        </w:rPr>
        <w:t xml:space="preserve">Example style guides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Strategic Data Project style guide</w:t>
            </w:r>
            <w:r>
              <w:rPr>
                <w:rStyle w:val="FootnoteReference"/>
              </w:rPr>
              <w:footnoteReference w:id="375"/>
            </w:r>
          </w:p>
        </w:tc>
        <w:tc>
          <w:tcPr/>
          <w:p>
            <w:pPr>
              <w:pStyle w:val="Compact"/>
              <w:jc w:val="left"/>
            </w:pPr>
            <w:r>
              <w:t xml:space="preserve">Example style guide for practices including folder structure, file naming, variable naming and coding</w:t>
            </w:r>
          </w:p>
        </w:tc>
      </w:tr>
      <w:tr>
        <w:tc>
          <w:tcPr/>
          <w:p>
            <w:pPr>
              <w:pStyle w:val="Compact"/>
              <w:jc w:val="left"/>
            </w:pPr>
            <w:r>
              <w:t xml:space="preserve">The tidyverse style guide</w:t>
            </w:r>
            <w:r>
              <w:rPr>
                <w:rStyle w:val="FootnoteReference"/>
              </w:rPr>
              <w:footnoteReference w:id="377"/>
            </w:r>
          </w:p>
        </w:tc>
        <w:tc>
          <w:tcPr/>
          <w:p>
            <w:pPr>
              <w:pStyle w:val="Compact"/>
              <w:jc w:val="left"/>
            </w:pPr>
            <w:r>
              <w:t xml:space="preserve">Example R coding style guide</w:t>
            </w:r>
          </w:p>
        </w:tc>
      </w:tr>
    </w:tbl>
    <w:bookmarkEnd w:id="379"/>
    <w:bookmarkEnd w:id="380"/>
    <w:bookmarkStart w:id="427" w:name="project-level"/>
    <w:p>
      <w:pPr>
        <w:pStyle w:val="Heading2"/>
      </w:pPr>
      <w:r>
        <w:rPr>
          <w:rStyle w:val="SectionNumber"/>
        </w:rPr>
        <w:t xml:space="preserve">7.2</w:t>
      </w:r>
      <w:r>
        <w:tab/>
      </w:r>
      <w:r>
        <w:t xml:space="preserve">Project Level</w:t>
      </w:r>
    </w:p>
    <w:p>
      <w:pPr>
        <w:pStyle w:val="FirstParagraph"/>
      </w:pPr>
      <w:r>
        <w:t xml:space="preserve">Project-level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data management plan (started before your project is funded), checklists and meeting notes (started during the planning phase), or the CONSORT diagram (started after data is collected) will begin at other points throughout the cycle.</w:t>
      </w:r>
    </w:p>
    <w:bookmarkStart w:id="381" w:name="data-management-plan"/>
    <w:p>
      <w:pPr>
        <w:pStyle w:val="Heading3"/>
      </w:pPr>
      <w:r>
        <w:rPr>
          <w:rStyle w:val="SectionNumber"/>
        </w:rPr>
        <w:t xml:space="preserve">7.2.1</w:t>
      </w:r>
      <w:r>
        <w:tab/>
      </w:r>
      <w:r>
        <w:t xml:space="preserve">Data Management Plan</w:t>
      </w:r>
    </w:p>
    <w:p>
      <w:pPr>
        <w:pStyle w:val="FirstParagraph"/>
      </w:pPr>
      <w:r>
        <w:t xml:space="preserve">This is the first project-level document that will be created in your research project life cycle. See</w:t>
      </w:r>
      <w:r>
        <w:t xml:space="preserve"> </w:t>
      </w:r>
      <w:hyperlink w:anchor="dmp">
        <w:r>
          <w:rPr>
            <w:rStyle w:val="Hyperlink"/>
          </w:rPr>
          <w:t xml:space="preserve">Data Management Plan</w:t>
        </w:r>
      </w:hyperlink>
      <w:r>
        <w:t xml:space="preserve"> </w:t>
      </w:r>
      <w:r>
        <w:t xml:space="preserve">to review details about this document. The only other note to mention here is that your DMP can continue to be modified throughout your entire study. If any major changes are made, it may be helpful to reach out to your program officer to keep them in the loop as well.</w:t>
      </w:r>
    </w:p>
    <w:bookmarkEnd w:id="381"/>
    <w:bookmarkStart w:id="382" w:name="checklists-and-meeting-notes"/>
    <w:p>
      <w:pPr>
        <w:pStyle w:val="Heading3"/>
      </w:pPr>
      <w:r>
        <w:rPr>
          <w:rStyle w:val="SectionNumber"/>
        </w:rPr>
        <w:t xml:space="preserve">7.2.2</w:t>
      </w:r>
      <w:r>
        <w:tab/>
      </w:r>
      <w:r>
        <w:t xml:space="preserve">Checklists and meeting notes</w:t>
      </w:r>
    </w:p>
    <w:p>
      <w:pPr>
        <w:pStyle w:val="FirstParagraph"/>
      </w:pPr>
      <w:r>
        <w:t xml:space="preserve">Since we’ve already discussed these documents in a previous</w:t>
      </w:r>
      <w:r>
        <w:t xml:space="preserve"> </w:t>
      </w:r>
      <w:hyperlink w:anchor="checklist">
        <w:r>
          <w:rPr>
            <w:rStyle w:val="Hyperlink"/>
          </w:rPr>
          <w:t xml:space="preserve">chapter</w:t>
        </w:r>
      </w:hyperlink>
      <w:r>
        <w:t xml:space="preserve"> </w:t>
      </w:r>
      <w:r>
        <w:t xml:space="preserve">there is not much more to cover here other than to acknowledge that these documents are also part of your portfolio of documentation and are key planning documents as you start to build your other project as well as data and variable-level documents.</w:t>
      </w:r>
    </w:p>
    <w:bookmarkEnd w:id="382"/>
    <w:bookmarkStart w:id="385" w:name="roles-and-responsibilities-document"/>
    <w:p>
      <w:pPr>
        <w:pStyle w:val="Heading3"/>
      </w:pPr>
      <w:r>
        <w:rPr>
          <w:rStyle w:val="SectionNumber"/>
        </w:rPr>
        <w:t xml:space="preserve">7.2.3</w:t>
      </w:r>
      <w:r>
        <w:tab/>
      </w:r>
      <w:r>
        <w:t xml:space="preserve">Roles and responsibilities document</w:t>
      </w:r>
    </w:p>
    <w:p>
      <w:pPr>
        <w:pStyle w:val="FirstParagraph"/>
      </w:pPr>
      <w:r>
        <w:t xml:space="preserve">Using the checklists during your planning phase, you hopefully decided on and assigned some roles and responsibilities for your project. Now is the time to formally document those decisions in a way that you can share with the others. In the previous</w:t>
      </w:r>
      <w:r>
        <w:t xml:space="preserve"> </w:t>
      </w:r>
      <w:hyperlink w:anchor="roledoc">
        <w:r>
          <w:rPr>
            <w:rStyle w:val="Hyperlink"/>
          </w:rPr>
          <w:t xml:space="preserve">chapter</w:t>
        </w:r>
      </w:hyperlink>
      <w:r>
        <w:t xml:space="preserve"> </w:t>
      </w:r>
      <w:r>
        <w:t xml:space="preserve">we reviewed ways to structure this document. Once this document is created, make sure to store it in a central location for easy referral and update the document as needed.</w:t>
      </w:r>
    </w:p>
    <w:p>
      <w:pPr>
        <w:pStyle w:val="BodyText"/>
      </w:pPr>
      <w:r>
        <w:rPr>
          <w:bCs/>
          <w:b/>
        </w:rPr>
        <w:t xml:space="preserve">Example roles and responsibilities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Johns Hopkins Institute for Clinical and Translational Research Best Practices for Research Data Management</w:t>
            </w:r>
            <w:r>
              <w:rPr>
                <w:rStyle w:val="FootnoteReference"/>
              </w:rPr>
              <w:footnoteReference w:id="383"/>
            </w:r>
          </w:p>
        </w:tc>
        <w:tc>
          <w:tcPr/>
          <w:p>
            <w:pPr>
              <w:pStyle w:val="Compact"/>
              <w:jc w:val="left"/>
            </w:pPr>
            <w:r>
              <w:t xml:space="preserve">Example roles and responsibilities are assigned throughout this resource</w:t>
            </w:r>
          </w:p>
        </w:tc>
      </w:tr>
    </w:tbl>
    <w:bookmarkEnd w:id="385"/>
    <w:bookmarkStart w:id="397" w:name="research-protocol"/>
    <w:p>
      <w:pPr>
        <w:pStyle w:val="Heading3"/>
      </w:pPr>
      <w:r>
        <w:rPr>
          <w:rStyle w:val="SectionNumber"/>
        </w:rPr>
        <w:t xml:space="preserve">7.2.4</w:t>
      </w:r>
      <w:r>
        <w:tab/>
      </w:r>
      <w:r>
        <w:t xml:space="preserve">Research Protocol</w:t>
      </w:r>
    </w:p>
    <w:p>
      <w:pPr>
        <w:pStyle w:val="FirstParagraph"/>
      </w:pPr>
      <w:r>
        <w:t xml:space="preserve">The research protocol will be a comprehensive project summary document. If you are submitting your study to your Institutional Review Board, you will most likely be required to submit this document as part of your application. A research protocol assists the board in determining if your methods provide adequate protection for human subjects. In addition to serving this required purpose, the research protocol is also an excellent document to deposit along with your data at the time of data sharing, and an excellent resource for you when writing technical reports or manuscripts. This document provides all context needed for you and others to effectively interpret and use your data. It generally provides the what, who, when, where, and how of your study. Make sure to follow your university’s specific template if provided, but common items typically included in a protocol are provided in Figure</w:t>
      </w:r>
      <w:r>
        <w:t xml:space="preserve"> </w:t>
      </w:r>
      <w:r>
        <w:t xml:space="preserve">7.6</w:t>
      </w:r>
      <w:r>
        <w:t xml:space="preserve">.</w:t>
      </w:r>
    </w:p>
    <w:p>
      <w:pPr>
        <w:pStyle w:val="CaptionedFigure"/>
      </w:pPr>
      <w:r>
        <w:drawing>
          <wp:inline>
            <wp:extent cx="5334000" cy="1635913"/>
            <wp:effectExtent b="0" l="0" r="0" t="0"/>
            <wp:docPr descr="Figure 7.6: Common research protocol elements" title="" id="387" name="Picture"/>
            <a:graphic>
              <a:graphicData uri="http://schemas.openxmlformats.org/drawingml/2006/picture">
                <pic:pic>
                  <pic:nvPicPr>
                    <pic:cNvPr descr="img/protocol2.PNG" id="388" name="Picture"/>
                    <pic:cNvPicPr>
                      <a:picLocks noChangeArrowheads="1" noChangeAspect="1"/>
                    </pic:cNvPicPr>
                  </pic:nvPicPr>
                  <pic:blipFill>
                    <a:blip r:embed="rId386"/>
                    <a:stretch>
                      <a:fillRect/>
                    </a:stretch>
                  </pic:blipFill>
                  <pic:spPr bwMode="auto">
                    <a:xfrm>
                      <a:off x="0" y="0"/>
                      <a:ext cx="5334000" cy="1635913"/>
                    </a:xfrm>
                    <a:prstGeom prst="rect">
                      <a:avLst/>
                    </a:prstGeom>
                    <a:noFill/>
                    <a:ln w="9525">
                      <a:noFill/>
                      <a:headEnd/>
                      <a:tailEnd/>
                    </a:ln>
                  </pic:spPr>
                </pic:pic>
              </a:graphicData>
            </a:graphic>
          </wp:inline>
        </w:drawing>
      </w:r>
    </w:p>
    <w:p>
      <w:pPr>
        <w:pStyle w:val="ImageCaption"/>
      </w:pPr>
      <w:r>
        <w:t xml:space="preserve">Figure 7.6: Common research protocol elements</w:t>
      </w:r>
    </w:p>
    <w:p>
      <w:pPr>
        <w:pStyle w:val="BodyText"/>
      </w:pPr>
      <w:r>
        <w:t xml:space="preserve">When it comes time to submit your data in a repository, the protocol can be revised to contain information helpful for a data end user. Content such as risks and benefits to participants might be removed, and numbers such as final study sample count should be updated to show your final numbers. Additional</w:t>
      </w:r>
      <w:r>
        <w:t xml:space="preserve"> </w:t>
      </w:r>
      <w:hyperlink w:anchor="supplement">
        <w:r>
          <w:rPr>
            <w:rStyle w:val="Hyperlink"/>
          </w:rPr>
          <w:t xml:space="preserve">supplemental information</w:t>
        </w:r>
      </w:hyperlink>
      <w:r>
        <w:t xml:space="preserve"> </w:t>
      </w:r>
      <w:r>
        <w:t xml:space="preserve">can also be added as needed.</w:t>
      </w:r>
    </w:p>
    <w:p>
      <w:pPr>
        <w:pStyle w:val="BodyText"/>
      </w:pPr>
      <w:r>
        <w:rPr>
          <w:bCs/>
          <w:b/>
        </w:rPr>
        <w:t xml:space="preserve">Example protocols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University of Washington Protocol Template</w:t>
            </w:r>
            <w:r>
              <w:rPr>
                <w:rStyle w:val="FootnoteReference"/>
              </w:rPr>
              <w:footnoteReference w:id="389"/>
            </w:r>
          </w:p>
        </w:tc>
        <w:tc>
          <w:tcPr/>
          <w:p>
            <w:pPr>
              <w:pStyle w:val="Compact"/>
              <w:jc w:val="left"/>
            </w:pPr>
            <w:r>
              <w:t xml:space="preserve">Protocol template</w:t>
            </w:r>
          </w:p>
        </w:tc>
      </w:tr>
      <w:tr>
        <w:tc>
          <w:tcPr/>
          <w:p>
            <w:pPr>
              <w:pStyle w:val="Compact"/>
              <w:jc w:val="left"/>
            </w:pPr>
            <w:r>
              <w:t xml:space="preserve">Ohio State Protocol Template</w:t>
            </w:r>
            <w:r>
              <w:rPr>
                <w:rStyle w:val="FootnoteReference"/>
              </w:rPr>
              <w:footnoteReference w:id="391"/>
            </w:r>
          </w:p>
        </w:tc>
        <w:tc>
          <w:tcPr/>
          <w:p>
            <w:pPr>
              <w:pStyle w:val="Compact"/>
              <w:jc w:val="left"/>
            </w:pPr>
            <w:r>
              <w:t xml:space="preserve">Protocol Template</w:t>
            </w:r>
          </w:p>
        </w:tc>
      </w:tr>
      <w:tr>
        <w:tc>
          <w:tcPr/>
          <w:p>
            <w:pPr>
              <w:pStyle w:val="Compact"/>
              <w:jc w:val="left"/>
            </w:pPr>
            <w:r>
              <w:t xml:space="preserve">University of Missouri Protocol Template</w:t>
            </w:r>
            <w:r>
              <w:rPr>
                <w:rStyle w:val="FootnoteReference"/>
              </w:rPr>
              <w:footnoteReference w:id="393"/>
            </w:r>
          </w:p>
        </w:tc>
        <w:tc>
          <w:tcPr/>
          <w:p>
            <w:pPr>
              <w:pStyle w:val="Compact"/>
              <w:jc w:val="left"/>
            </w:pPr>
            <w:r>
              <w:t xml:space="preserve">Protocol Template</w:t>
            </w:r>
          </w:p>
        </w:tc>
      </w:tr>
      <w:tr>
        <w:tc>
          <w:tcPr/>
          <w:p>
            <w:pPr>
              <w:pStyle w:val="Compact"/>
              <w:jc w:val="left"/>
            </w:pPr>
            <w:r>
              <w:t xml:space="preserve">SCOPE User Guide</w:t>
            </w:r>
            <w:r>
              <w:rPr>
                <w:rStyle w:val="FootnoteReference"/>
              </w:rPr>
              <w:footnoteReference w:id="395"/>
            </w:r>
          </w:p>
        </w:tc>
        <w:tc>
          <w:tcPr/>
          <w:p>
            <w:pPr>
              <w:pStyle w:val="Compact"/>
              <w:jc w:val="left"/>
            </w:pPr>
            <w:r>
              <w:t xml:space="preserve">Example data sharing documentation that can be created from a research protocol</w:t>
            </w:r>
          </w:p>
        </w:tc>
      </w:tr>
    </w:tbl>
    <w:bookmarkEnd w:id="397"/>
    <w:bookmarkStart w:id="411"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they can absolutely be standalone documents, I am calling supplemental documents here because they can be added to your research protocol as an addendum at any point to further clarify specifics of your project.</w:t>
      </w:r>
    </w:p>
    <w:p>
      <w:pPr>
        <w:numPr>
          <w:ilvl w:val="0"/>
          <w:numId w:val="1060"/>
        </w:numPr>
        <w:pStyle w:val="Compact"/>
      </w:pPr>
      <w:r>
        <w:t xml:space="preserve">Timeline</w:t>
      </w:r>
    </w:p>
    <w:p>
      <w:pPr>
        <w:pStyle w:val="FirstParagraph"/>
      </w:pPr>
      <w:r>
        <w:t xml:space="preserve">The first supplemental document that I highly recommend creating is a visual representation of your data collection timeline. When you first create these timelines they will be based on your best estimates of the time it will take to complete milestones, but like all documents we’ve discussed, they can be updated as needed as you learn more about the reality of the workload. This document can be both a helpful planning tool (for both project and data teams) in preparing for times of heavier and lighter workloads, as well as an excellent document to share with future data users to better understand waves of data collection. There is no one format for how to create this document. Figure</w:t>
      </w:r>
      <w:r>
        <w:t xml:space="preserve"> </w:t>
      </w:r>
      <w:r>
        <w:t xml:space="preserve">7.7</w:t>
      </w:r>
      <w:r>
        <w:t xml:space="preserve"> </w:t>
      </w:r>
      <w:r>
        <w:t xml:space="preserve">is an example of one way to visualize a data collection timeline.</w:t>
      </w:r>
    </w:p>
    <w:p>
      <w:pPr>
        <w:pStyle w:val="CaptionedFigure"/>
      </w:pPr>
      <w:r>
        <w:drawing>
          <wp:inline>
            <wp:extent cx="5334000" cy="726000"/>
            <wp:effectExtent b="0" l="0" r="0" t="0"/>
            <wp:docPr descr="Figure 7.7: Example data collection timeline" title="" id="399" name="Picture"/>
            <a:graphic>
              <a:graphicData uri="http://schemas.openxmlformats.org/drawingml/2006/picture">
                <pic:pic>
                  <pic:nvPicPr>
                    <pic:cNvPr descr="img/timeline.PNG" id="400" name="Picture"/>
                    <pic:cNvPicPr>
                      <a:picLocks noChangeArrowheads="1" noChangeAspect="1"/>
                    </pic:cNvPicPr>
                  </pic:nvPicPr>
                  <pic:blipFill>
                    <a:blip r:embed="rId398"/>
                    <a:stretch>
                      <a:fillRect/>
                    </a:stretch>
                  </pic:blipFill>
                  <pic:spPr bwMode="auto">
                    <a:xfrm>
                      <a:off x="0" y="0"/>
                      <a:ext cx="5334000" cy="726000"/>
                    </a:xfrm>
                    <a:prstGeom prst="rect">
                      <a:avLst/>
                    </a:prstGeom>
                    <a:noFill/>
                    <a:ln w="9525">
                      <a:noFill/>
                      <a:headEnd/>
                      <a:tailEnd/>
                    </a:ln>
                  </pic:spPr>
                </pic:pic>
              </a:graphicData>
            </a:graphic>
          </wp:inline>
        </w:drawing>
      </w:r>
    </w:p>
    <w:p>
      <w:pPr>
        <w:pStyle w:val="ImageCaption"/>
      </w:pPr>
      <w:r>
        <w:t xml:space="preserve">Figure 7.7: Example data collection timeline</w:t>
      </w:r>
    </w:p>
    <w:p>
      <w:pPr>
        <w:numPr>
          <w:ilvl w:val="0"/>
          <w:numId w:val="1061"/>
        </w:numPr>
        <w:pStyle w:val="Compact"/>
      </w:pPr>
      <w:r>
        <w:t xml:space="preserve">CONSORT Diagram</w:t>
      </w:r>
    </w:p>
    <w:p>
      <w:pPr>
        <w:pStyle w:val="FirstParagraph"/>
      </w:pPr>
      <w:r>
        <w:t xml:space="preserve">A CONSORT (Consolidated Standards of Reporting Trials) diagram displays the flow of participants through a program.</w:t>
      </w:r>
      <w:r>
        <w:rPr>
          <w:rStyle w:val="FootnoteReference"/>
        </w:rPr>
        <w:footnoteReference w:id="401"/>
      </w:r>
      <w:r>
        <w:t xml:space="preserve"> It visually portrays enrollment, randomization, as well as attrition in the study. As you can imagine though, this diagram cannot be created until at least one wave of data has been collected, and must be updated as more waves are collected. Your participant tracking database, which we will discuss in our</w:t>
      </w:r>
      <w:r>
        <w:t xml:space="preserve"> </w:t>
      </w:r>
      <w:hyperlink w:anchor="track">
        <w:r>
          <w:rPr>
            <w:rStyle w:val="Hyperlink"/>
          </w:rPr>
          <w:t xml:space="preserve">Data Tracking</w:t>
        </w:r>
      </w:hyperlink>
      <w:r>
        <w:t xml:space="preserve"> </w:t>
      </w:r>
      <w:r>
        <w:t xml:space="preserve">chapter, will inform the creation of this diagram.</w:t>
      </w:r>
    </w:p>
    <w:p>
      <w:pPr>
        <w:pStyle w:val="CaptionedFigure"/>
      </w:pPr>
      <w:r>
        <w:drawing>
          <wp:inline>
            <wp:extent cx="4245885" cy="3804671"/>
            <wp:effectExtent b="0" l="0" r="0" t="0"/>
            <wp:docPr descr="Figure 7.8: 2010 CONSORT flow diagram template" title="" id="404" name="Picture"/>
            <a:graphic>
              <a:graphicData uri="http://schemas.openxmlformats.org/drawingml/2006/picture">
                <pic:pic>
                  <pic:nvPicPr>
                    <pic:cNvPr descr="img/consort.PNG" id="405" name="Picture"/>
                    <pic:cNvPicPr>
                      <a:picLocks noChangeArrowheads="1" noChangeAspect="1"/>
                    </pic:cNvPicPr>
                  </pic:nvPicPr>
                  <pic:blipFill>
                    <a:blip r:embed="rId403"/>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7.8: 2010 CONSORT flow diagram template</w:t>
      </w:r>
    </w:p>
    <w:p>
      <w:pPr>
        <w:numPr>
          <w:ilvl w:val="0"/>
          <w:numId w:val="1062"/>
        </w:numPr>
        <w:pStyle w:val="Compact"/>
      </w:pPr>
      <w:r>
        <w:t xml:space="preserve">Instruments</w:t>
      </w:r>
    </w:p>
    <w:p>
      <w:pPr>
        <w:pStyle w:val="FirstParagraph"/>
      </w:pPr>
      <w:r>
        <w:t xml:space="preserve">Actual copies of instruments can be included as supplemental documentation. This includes copies of surveys, assessments, forms, and so forth. It can also include any technical documents associated with your instruments or measures (i.e. a technical document for an assessment or a publication associated with a measure you used).</w:t>
      </w:r>
    </w:p>
    <w:p>
      <w:pPr>
        <w:numPr>
          <w:ilvl w:val="0"/>
          <w:numId w:val="1063"/>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rPr>
          <w:rStyle w:val="FootnoteReference"/>
        </w:rPr>
        <w:footnoteReference w:id="406"/>
      </w:r>
    </w:p>
    <w:p>
      <w:pPr>
        <w:pStyle w:val="CaptionedFigure"/>
      </w:pPr>
      <w:r>
        <w:drawing>
          <wp:inline>
            <wp:extent cx="5334000" cy="4916439"/>
            <wp:effectExtent b="0" l="0" r="0" t="0"/>
            <wp:docPr descr="Figure 7.9: Flowchart of an ECLS-K:2011 kindergarten assessment" title="" id="409" name="Picture"/>
            <a:graphic>
              <a:graphicData uri="http://schemas.openxmlformats.org/drawingml/2006/picture">
                <pic:pic>
                  <pic:nvPicPr>
                    <pic:cNvPr descr="img/flowchart.PNG" id="410" name="Picture"/>
                    <pic:cNvPicPr>
                      <a:picLocks noChangeArrowheads="1" noChangeAspect="1"/>
                    </pic:cNvPicPr>
                  </pic:nvPicPr>
                  <pic:blipFill>
                    <a:blip r:embed="rId408"/>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7.9: Flowchart of an ECLS-K:2011 kindergarten assessment</w:t>
      </w:r>
    </w:p>
    <w:p>
      <w:pPr>
        <w:numPr>
          <w:ilvl w:val="0"/>
          <w:numId w:val="1064"/>
        </w:numPr>
        <w:pStyle w:val="Compact"/>
      </w:pPr>
      <w:r>
        <w:t xml:space="preserve">Consent Forms</w:t>
      </w:r>
    </w:p>
    <w:p>
      <w:pPr>
        <w:pStyle w:val="FirstParagraph"/>
      </w:pPr>
      <w:r>
        <w:t xml:space="preserve">Consent forms can also be added as an addendum to research protocols to give further insight into what information was provided to study participants.</w:t>
      </w:r>
    </w:p>
    <w:p>
      <w:pPr>
        <w:numPr>
          <w:ilvl w:val="0"/>
          <w:numId w:val="1065"/>
        </w:numPr>
        <w:pStyle w:val="Compact"/>
      </w:pPr>
      <w:r>
        <w:t xml:space="preserve">Related publications</w:t>
      </w:r>
    </w:p>
    <w:p>
      <w:pPr>
        <w:pStyle w:val="FirstParagraph"/>
      </w:pPr>
      <w:r>
        <w:t xml:space="preserve">You may also choose to attach any publications that have come from your data as an addendum to your protocol.</w:t>
      </w:r>
    </w:p>
    <w:bookmarkEnd w:id="411"/>
    <w:bookmarkStart w:id="426"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procedures associated with a project, we still need documents to inform how the procedures are actually implemented on a daily basis.</w:t>
      </w:r>
      <w:r>
        <w:rPr>
          <w:rStyle w:val="FootnoteReference"/>
        </w:rPr>
        <w:footnoteReference w:id="412"/>
      </w:r>
      <w:r>
        <w:t xml:space="preserve"> If you recall from our</w:t>
      </w:r>
      <w:r>
        <w:t xml:space="preserve"> </w:t>
      </w:r>
      <w:hyperlink w:anchor="plan">
        <w:r>
          <w:rPr>
            <w:rStyle w:val="Hyperlink"/>
          </w:rPr>
          <w:t xml:space="preserve">Planning</w:t>
        </w:r>
      </w:hyperlink>
      <w:r>
        <w:t xml:space="preserve"> </w:t>
      </w:r>
      <w:r>
        <w:t xml:space="preserve">chapter, every step that we added to a data collection workflow is then added to a standard operating procedure (SOP) and the details fleshed out. Not only will you have an SOP for each type of data you are collecting (survey, assessments, observations), you can also have SOPs for other types of decisions as well. Many of the decisions laid out in your protocol, will be further detailed in an SOP. Examples of procedures to include in an SOP are provided in Figure</w:t>
      </w:r>
      <w:r>
        <w:t xml:space="preserve"> </w:t>
      </w:r>
      <w:r>
        <w:t xml:space="preserve">7.10</w:t>
      </w:r>
      <w:r>
        <w:t xml:space="preserve">.</w:t>
      </w:r>
    </w:p>
    <w:p>
      <w:pPr>
        <w:pStyle w:val="CaptionedFigure"/>
      </w:pPr>
      <w:r>
        <w:drawing>
          <wp:inline>
            <wp:extent cx="5334000" cy="1326554"/>
            <wp:effectExtent b="0" l="0" r="0" t="0"/>
            <wp:docPr descr="Figure 7.10: Examples of processes or decisions to develop an SOP for" title="" id="415" name="Picture"/>
            <a:graphic>
              <a:graphicData uri="http://schemas.openxmlformats.org/drawingml/2006/picture">
                <pic:pic>
                  <pic:nvPicPr>
                    <pic:cNvPr descr="img/sopchecks.PNG" id="416" name="Picture"/>
                    <pic:cNvPicPr>
                      <a:picLocks noChangeArrowheads="1" noChangeAspect="1"/>
                    </pic:cNvPicPr>
                  </pic:nvPicPr>
                  <pic:blipFill>
                    <a:blip r:embed="rId414"/>
                    <a:stretch>
                      <a:fillRect/>
                    </a:stretch>
                  </pic:blipFill>
                  <pic:spPr bwMode="auto">
                    <a:xfrm>
                      <a:off x="0" y="0"/>
                      <a:ext cx="5334000" cy="1326554"/>
                    </a:xfrm>
                    <a:prstGeom prst="rect">
                      <a:avLst/>
                    </a:prstGeom>
                    <a:noFill/>
                    <a:ln w="9525">
                      <a:noFill/>
                      <a:headEnd/>
                      <a:tailEnd/>
                    </a:ln>
                  </pic:spPr>
                </pic:pic>
              </a:graphicData>
            </a:graphic>
          </wp:inline>
        </w:drawing>
      </w:r>
    </w:p>
    <w:p>
      <w:pPr>
        <w:pStyle w:val="ImageCaption"/>
      </w:pPr>
      <w:r>
        <w:t xml:space="preserve">Figure 7.10: Examples of processes or decisions to develop an SOP for</w:t>
      </w:r>
    </w:p>
    <w:p>
      <w:pPr>
        <w:pStyle w:val="BodyText"/>
      </w:pPr>
      <w:r>
        <w:t xml:space="preserve">SOPs not only help staff know how to perform tasks, they also create transparency, allow for continuity when staff turnover or go out on leave, create standardization in practices, and last, because an SOP should include versioning information, they allow you to accurately report changes in project procedures throughout the project. You will want to create a template that is used consistently across all procedures, by all staff who build SOPs.</w:t>
      </w:r>
    </w:p>
    <w:p>
      <w:pPr>
        <w:pStyle w:val="CaptionedFigure"/>
      </w:pPr>
      <w:r>
        <w:drawing>
          <wp:inline>
            <wp:extent cx="5334000" cy="3666725"/>
            <wp:effectExtent b="0" l="0" r="0" t="0"/>
            <wp:docPr descr="Figure 7.11: Standard operating procedure minimal template" title="" id="418" name="Picture"/>
            <a:graphic>
              <a:graphicData uri="http://schemas.openxmlformats.org/drawingml/2006/picture">
                <pic:pic>
                  <pic:nvPicPr>
                    <pic:cNvPr descr="img/sop.PNG" id="419" name="Picture"/>
                    <pic:cNvPicPr>
                      <a:picLocks noChangeArrowheads="1" noChangeAspect="1"/>
                    </pic:cNvPicPr>
                  </pic:nvPicPr>
                  <pic:blipFill>
                    <a:blip r:embed="rId417"/>
                    <a:stretch>
                      <a:fillRect/>
                    </a:stretch>
                  </pic:blipFill>
                  <pic:spPr bwMode="auto">
                    <a:xfrm>
                      <a:off x="0" y="0"/>
                      <a:ext cx="5334000" cy="3666725"/>
                    </a:xfrm>
                    <a:prstGeom prst="rect">
                      <a:avLst/>
                    </a:prstGeom>
                    <a:noFill/>
                    <a:ln w="9525">
                      <a:noFill/>
                      <a:headEnd/>
                      <a:tailEnd/>
                    </a:ln>
                  </pic:spPr>
                </pic:pic>
              </a:graphicData>
            </a:graphic>
          </wp:inline>
        </w:drawing>
      </w:r>
    </w:p>
    <w:p>
      <w:pPr>
        <w:pStyle w:val="ImageCaption"/>
      </w:pPr>
      <w:r>
        <w:t xml:space="preserve">Figure 7.11: Standard operating procedure minimal template</w:t>
      </w:r>
    </w:p>
    <w:p>
      <w:pPr>
        <w:pStyle w:val="BodyText"/>
      </w:pPr>
      <w:r>
        <w:t xml:space="preserve">In developing your SOP template, like the one in Figure</w:t>
      </w:r>
      <w:r>
        <w:t xml:space="preserve"> </w:t>
      </w:r>
      <w:r>
        <w:t xml:space="preserve">7.11</w:t>
      </w:r>
      <w:r>
        <w:t xml:space="preserve">, you should begin with</w:t>
      </w:r>
      <w:r>
        <w:t xml:space="preserve"> </w:t>
      </w:r>
      <w:r>
        <w:rPr>
          <w:bCs/>
          <w:b/>
        </w:rPr>
        <w:t xml:space="preserve">general information</w:t>
      </w:r>
      <w:r>
        <w:t xml:space="preserve"> </w:t>
      </w:r>
      <w:r>
        <w:t xml:space="preserve">about the scope and purpose of the procedure, as well as any relevant tools or terminology. This provides context for the user and gives them the background to use and interpret the SOP. The next section in the SOP template,</w:t>
      </w:r>
      <w:r>
        <w:t xml:space="preserve"> </w:t>
      </w:r>
      <w:r>
        <w:rPr>
          <w:bCs/>
          <w:b/>
        </w:rPr>
        <w:t xml:space="preserve">procedures</w:t>
      </w:r>
      <w:r>
        <w:t xml:space="preserve">, lists all activities in order. Each step provides the name of the staff member/s associated with that step to ensure no ambiguity. Each step should be as detailed as possible so that you could hand your SOP over to any new staff member with no background in this process and be confident they can implement the procedure with little trouble. Specifics such as names of files and links to their locations, names of contacts, methods of communication (ex: email vs instant message), and so forth should be included. Additions such as screenshots, links to other SOPs, or even links to tutorials can also be embedded. Last, any time an update is made to the SOP, clarifying information about the update is added to the</w:t>
      </w:r>
      <w:r>
        <w:t xml:space="preserve"> </w:t>
      </w:r>
      <w:r>
        <w:rPr>
          <w:bCs/>
          <w:b/>
        </w:rPr>
        <w:t xml:space="preserve">revision</w:t>
      </w:r>
      <w:r>
        <w:t xml:space="preserve"> </w:t>
      </w:r>
      <w:r>
        <w:t xml:space="preserve">section. This allows you to keep track of changes over time: when were changes made, who made those changes, and why.</w:t>
      </w:r>
    </w:p>
    <w:p>
      <w:pPr>
        <w:pStyle w:val="BodyText"/>
      </w:pPr>
      <w:r>
        <w:rPr>
          <w:bCs/>
          <w:b/>
        </w:rPr>
        <w:t xml:space="preserve">Example SOPS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Northwestern University Writing Standard Operating Procedures and Templates</w:t>
            </w:r>
            <w:r>
              <w:rPr>
                <w:rStyle w:val="FootnoteReference"/>
              </w:rPr>
              <w:footnoteReference w:id="420"/>
            </w:r>
          </w:p>
        </w:tc>
        <w:tc>
          <w:tcPr/>
          <w:p>
            <w:pPr>
              <w:pStyle w:val="Compact"/>
              <w:jc w:val="left"/>
            </w:pPr>
            <w:r>
              <w:t xml:space="preserve">SOP Template</w:t>
            </w:r>
          </w:p>
        </w:tc>
      </w:tr>
      <w:tr>
        <w:tc>
          <w:tcPr/>
          <w:p>
            <w:pPr>
              <w:pStyle w:val="Compact"/>
              <w:jc w:val="left"/>
            </w:pPr>
            <w:r>
              <w:t xml:space="preserve">IMPACCT Trials Coordination Centre Standard Operating Procedure for Allocation of Participant Identification Numbers</w:t>
            </w:r>
            <w:r>
              <w:rPr>
                <w:rStyle w:val="FootnoteReference"/>
              </w:rPr>
              <w:footnoteReference w:id="422"/>
            </w:r>
          </w:p>
        </w:tc>
        <w:tc>
          <w:tcPr/>
          <w:p>
            <w:pPr>
              <w:pStyle w:val="Compact"/>
              <w:jc w:val="left"/>
            </w:pPr>
            <w:r>
              <w:t xml:space="preserve">Example SOP for assigning IDs</w:t>
            </w:r>
          </w:p>
        </w:tc>
      </w:tr>
      <w:tr>
        <w:tc>
          <w:tcPr/>
          <w:p>
            <w:pPr>
              <w:pStyle w:val="Compact"/>
              <w:jc w:val="left"/>
            </w:pPr>
            <w:r>
              <w:t xml:space="preserve">CITI Template and Sample SOP</w:t>
            </w:r>
            <w:r>
              <w:rPr>
                <w:rStyle w:val="FootnoteReference"/>
              </w:rPr>
              <w:footnoteReference w:id="424"/>
            </w:r>
          </w:p>
        </w:tc>
        <w:tc>
          <w:tcPr/>
          <w:p>
            <w:pPr>
              <w:pStyle w:val="Compact"/>
              <w:jc w:val="left"/>
            </w:pPr>
            <w:r>
              <w:t xml:space="preserve">Sample Activitiy Monitor Configuration SOP</w:t>
            </w:r>
          </w:p>
        </w:tc>
      </w:tr>
    </w:tbl>
    <w:bookmarkEnd w:id="426"/>
    <w:bookmarkEnd w:id="427"/>
    <w:bookmarkStart w:id="445"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and how they are related. It also captures things such as planned transformations for the data, potential issues to be aware of, and any alterations to the data. In addition to being helpful descriptive documentation, a huge reason for creating dataset documentation is authenticity. Datasets go through many iterations of processing which can result in multiple versions of a dataset.</w:t>
      </w:r>
      <w:r>
        <w:rPr>
          <w:rStyle w:val="FootnoteReference"/>
        </w:rPr>
        <w:footnoteReference w:id="428"/>
      </w:r>
      <w:r>
        <w:t xml:space="preserve"> Preserving data lineage by tracking data errors and transformations is key to ensuring that you know where your data come from, what processing has already been completed, and that you are using the correct version of the data.</w:t>
      </w:r>
    </w:p>
    <w:p>
      <w:pPr>
        <w:pStyle w:val="BodyText"/>
      </w:pPr>
      <w:r>
        <w:t xml:space="preserve">Not</w:t>
      </w:r>
      <w:r>
        <w:t xml:space="preserve"> </w:t>
      </w:r>
      <w:r>
        <w:rPr>
          <w:bCs/>
          <w:b/>
        </w:rPr>
        <w:t xml:space="preserve">all</w:t>
      </w:r>
      <w:r>
        <w:t xml:space="preserve"> </w:t>
      </w:r>
      <w:r>
        <w:t xml:space="preserve">of your dataset-level documentation will be created in the documentation phase and we will talk about the timing as we review each document.</w:t>
      </w:r>
    </w:p>
    <w:bookmarkStart w:id="434"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stem from the field of computer science but are now prevalent in the research world. These documents are a way to convey pertinent information to collaborators in a simple, no frills manner. Readmes can be used in many different ways but I will cover three ways they are often used in data management.</w:t>
      </w:r>
    </w:p>
    <w:p>
      <w:pPr>
        <w:numPr>
          <w:ilvl w:val="0"/>
          <w:numId w:val="1066"/>
        </w:numPr>
        <w:pStyle w:val="Compact"/>
      </w:pPr>
      <w:r>
        <w:t xml:space="preserve">For conveying information to your colleagues</w:t>
      </w:r>
    </w:p>
    <w:p>
      <w:pPr>
        <w:numPr>
          <w:ilvl w:val="1"/>
          <w:numId w:val="1067"/>
        </w:numPr>
        <w:pStyle w:val="Compact"/>
      </w:pPr>
      <w:r>
        <w:t xml:space="preserve">An example of this is if a study participant reaches out to a project coordinator to let them know that they entered the incorrect ID in their survey. When the project coordinator downloads the raw data file to be cleaned by the data manager, they also create a 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pStyle w:val="SourceCode"/>
      </w:pPr>
      <w:r>
        <w:rPr>
          <w:rStyle w:val="VerbatimChar"/>
        </w:rPr>
        <w:t xml:space="preserve">  - ID 5051 entered incorrectly. Should be 5015.</w:t>
      </w:r>
      <w:r>
        <w:br/>
      </w:r>
      <w:r>
        <w:rPr>
          <w:rStyle w:val="VerbatimChar"/>
        </w:rPr>
        <w:t xml:space="preserve">  - ID 5089 completed the survey twice</w:t>
      </w:r>
      <w:r>
        <w:br/>
      </w:r>
      <w:r>
        <w:rPr>
          <w:rStyle w:val="VerbatimChar"/>
        </w:rPr>
        <w:t xml:space="preserve">    - First survey is only partially completed</w:t>
      </w:r>
    </w:p>
    <w:p>
      <w:pPr>
        <w:numPr>
          <w:ilvl w:val="0"/>
          <w:numId w:val="1068"/>
        </w:numPr>
        <w:pStyle w:val="Compact"/>
      </w:pPr>
      <w:r>
        <w:t xml:space="preserve">For conveying steps in a process (sometimes also called a setup file)</w:t>
      </w:r>
    </w:p>
    <w:p>
      <w:pPr>
        <w:numPr>
          <w:ilvl w:val="1"/>
          <w:numId w:val="1069"/>
        </w:numPr>
        <w:pStyle w:val="Compact"/>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done using a series of scripts, it might be easiest to put a simple file named</w:t>
      </w:r>
      <w:r>
        <w:t xml:space="preserve"> </w:t>
      </w:r>
      <w:r>
        <w:t xml:space="preserve">“</w:t>
      </w:r>
      <w:r>
        <w:t xml:space="preserve">readme_setup.txt</w:t>
      </w:r>
      <w:r>
        <w:t xml:space="preserve">”</w:t>
      </w:r>
      <w:r>
        <w:t xml:space="preserve"> </w:t>
      </w:r>
      <w:r>
        <w:t xml:space="preserve">in the same folder as your scripts so that someone can easily open the file to see what they need to run.</w:t>
      </w:r>
    </w:p>
    <w:p>
      <w:pPr>
        <w:pStyle w:val="SourceCode"/>
      </w:pPr>
      <w:r>
        <w:rPr>
          <w:rStyle w:val="VerbatimChar"/>
        </w:rPr>
        <w:t xml:space="preserve">  Step 1: Run the file 01_clean_data.R to clean the data  </w:t>
      </w:r>
      <w:r>
        <w:br/>
      </w:r>
      <w:r>
        <w:rPr>
          <w:rStyle w:val="VerbatimChar"/>
        </w:rPr>
        <w:t xml:space="preserve">  Step 2: Run the file 02_check_errors.R to check for errors  </w:t>
      </w:r>
      <w:r>
        <w:br/>
      </w:r>
      <w:r>
        <w:rPr>
          <w:rStyle w:val="VerbatimChar"/>
        </w:rPr>
        <w:t xml:space="preserve">  Step 3: Run the file 03_run_report.R to create report </w:t>
      </w:r>
    </w:p>
    <w:p>
      <w:pPr>
        <w:numPr>
          <w:ilvl w:val="0"/>
          <w:numId w:val="1070"/>
        </w:numPr>
        <w:pStyle w:val="Compact"/>
      </w:pPr>
      <w:r>
        <w:t xml:space="preserve">For providing information about a set of files in a directory</w:t>
      </w:r>
    </w:p>
    <w:p>
      <w:pPr>
        <w:numPr>
          <w:ilvl w:val="1"/>
          <w:numId w:val="1071"/>
        </w:numPr>
        <w:pStyle w:val="Compact"/>
      </w:pPr>
      <w:r>
        <w:t xml:space="preserve">If colleagues are accessing your clean datasets in your project directory, it can be helpful to add Readmes to the top of those directories. Doing so can provide information about what datasets are available in the directory and pertinent information about those datasets, including how the datasets are related/can be linked.</w:t>
      </w:r>
      <w:r>
        <w:rPr>
          <w:rStyle w:val="FootnoteReference"/>
        </w:rPr>
        <w:footnoteReference w:id="430"/>
      </w:r>
    </w:p>
    <w:p>
      <w:pPr>
        <w:pStyle w:val="CaptionedFigure"/>
      </w:pPr>
      <w:r>
        <w:drawing>
          <wp:inline>
            <wp:extent cx="5334000" cy="2871807"/>
            <wp:effectExtent b="0" l="0" r="0" t="0"/>
            <wp:docPr descr="Figure 7.12: Institute of Education Sciences example Readme for conveying information on files in a directory" title="" id="432" name="Picture"/>
            <a:graphic>
              <a:graphicData uri="http://schemas.openxmlformats.org/drawingml/2006/picture">
                <pic:pic>
                  <pic:nvPicPr>
                    <pic:cNvPr descr="img/readme3.PNG" id="433" name="Picture"/>
                    <pic:cNvPicPr>
                      <a:picLocks noChangeArrowheads="1" noChangeAspect="1"/>
                    </pic:cNvPicPr>
                  </pic:nvPicPr>
                  <pic:blipFill>
                    <a:blip r:embed="rId431"/>
                    <a:stretch>
                      <a:fillRect/>
                    </a:stretch>
                  </pic:blipFill>
                  <pic:spPr bwMode="auto">
                    <a:xfrm>
                      <a:off x="0" y="0"/>
                      <a:ext cx="5334000" cy="2871807"/>
                    </a:xfrm>
                    <a:prstGeom prst="rect">
                      <a:avLst/>
                    </a:prstGeom>
                    <a:noFill/>
                    <a:ln w="9525">
                      <a:noFill/>
                      <a:headEnd/>
                      <a:tailEnd/>
                    </a:ln>
                  </pic:spPr>
                </pic:pic>
              </a:graphicData>
            </a:graphic>
          </wp:inline>
        </w:drawing>
      </w:r>
    </w:p>
    <w:p>
      <w:pPr>
        <w:pStyle w:val="ImageCaption"/>
      </w:pPr>
      <w:r>
        <w:t xml:space="preserve">Figure 7.12: Institute of Education Sciences example Readme for conveying information on files in a directory</w:t>
      </w:r>
    </w:p>
    <w:bookmarkEnd w:id="434"/>
    <w:bookmarkStart w:id="440" w:name="change"/>
    <w:p>
      <w:pPr>
        <w:pStyle w:val="Heading3"/>
      </w:pPr>
      <w:r>
        <w:rPr>
          <w:rStyle w:val="SectionNumber"/>
        </w:rPr>
        <w:t xml:space="preserve">7.3.2</w:t>
      </w:r>
      <w:r>
        <w:tab/>
      </w:r>
      <w:r>
        <w:t xml:space="preserve">Changelog</w:t>
      </w:r>
    </w:p>
    <w:p>
      <w:pPr>
        <w:pStyle w:val="FirstParagraph"/>
      </w:pPr>
      <w:r>
        <w:t xml:space="preserve">A changelog is a record of all of the versions of your data and code. While there are automatic ways to track your data and code through programs such as Git and GitHub, in the education field where researchers often work with human subjects and identifiable data, users are most often not keeping their study data during an active project, in a remote repository. Instead, data are usually kept in an institution-approved storage location. Even if your storage location has versioning such as Box or SharePoint, unless users are able to add contextual messages about changes made when saving your versions (like a commit message with Git), you will still want to keep a changelog.</w:t>
      </w:r>
    </w:p>
    <w:p>
      <w:pPr>
        <w:pStyle w:val="BodyText"/>
      </w:pPr>
      <w:r>
        <w:t xml:space="preserve">A changelog provides data lineage, allowing the user to understand where the data originated as well as all transformations made to the data. It also supports data confidence, allowing the user to understand what version of the data they are currently using and to see if more recent versions have been created and why.</w:t>
      </w:r>
    </w:p>
    <w:p>
      <w:pPr>
        <w:pStyle w:val="BodyText"/>
      </w:pPr>
      <w:r>
        <w:t xml:space="preserve">In its simplest form a changelog should contain the following:</w:t>
      </w:r>
      <w:r>
        <w:t xml:space="preserve"> </w:t>
      </w:r>
      <w:r>
        <w:t xml:space="preserve">- The file name (versioned consistently)</w:t>
      </w:r>
      <w:r>
        <w:t xml:space="preserve"> </w:t>
      </w:r>
      <w:r>
        <w:t xml:space="preserve">- The date the file was created</w:t>
      </w:r>
      <w:r>
        <w:t xml:space="preserve"> </w:t>
      </w:r>
      <w:r>
        <w:t xml:space="preserve">- A description of the dataset (including what changes were made compared to the previous version)</w:t>
      </w:r>
    </w:p>
    <w:p>
      <w:pPr>
        <w:pStyle w:val="BodyText"/>
      </w:pPr>
      <w:r>
        <w:t xml:space="preserve">It could also include additional information such as who made the change and a link to any code used to transform the data.</w:t>
      </w:r>
      <w:r>
        <w:rPr>
          <w:rStyle w:val="FootnoteReference"/>
        </w:rPr>
        <w:footnoteReference w:id="435"/>
      </w:r>
    </w:p>
    <w:p>
      <w:pPr>
        <w:pStyle w:val="CaptionedFigure"/>
      </w:pPr>
      <w:r>
        <w:drawing>
          <wp:inline>
            <wp:extent cx="5334000" cy="1804705"/>
            <wp:effectExtent b="0" l="0" r="0" t="0"/>
            <wp:docPr descr="Figure 7.13: Example changelog for a clean student survey data file" title="" id="438" name="Picture"/>
            <a:graphic>
              <a:graphicData uri="http://schemas.openxmlformats.org/drawingml/2006/picture">
                <pic:pic>
                  <pic:nvPicPr>
                    <pic:cNvPr descr="img/changelog.PNG" id="439" name="Picture"/>
                    <pic:cNvPicPr>
                      <a:picLocks noChangeArrowheads="1" noChangeAspect="1"/>
                    </pic:cNvPicPr>
                  </pic:nvPicPr>
                  <pic:blipFill>
                    <a:blip r:embed="rId437"/>
                    <a:stretch>
                      <a:fillRect/>
                    </a:stretch>
                  </pic:blipFill>
                  <pic:spPr bwMode="auto">
                    <a:xfrm>
                      <a:off x="0" y="0"/>
                      <a:ext cx="5334000" cy="1804705"/>
                    </a:xfrm>
                    <a:prstGeom prst="rect">
                      <a:avLst/>
                    </a:prstGeom>
                    <a:noFill/>
                    <a:ln w="9525">
                      <a:noFill/>
                      <a:headEnd/>
                      <a:tailEnd/>
                    </a:ln>
                  </pic:spPr>
                </pic:pic>
              </a:graphicData>
            </a:graphic>
          </wp:inline>
        </w:drawing>
      </w:r>
    </w:p>
    <w:p>
      <w:pPr>
        <w:pStyle w:val="ImageCaption"/>
      </w:pPr>
      <w:r>
        <w:t xml:space="preserve">Figure 7.13: Example changelog for a clean student survey data file</w:t>
      </w:r>
    </w:p>
    <w:p>
      <w:pPr>
        <w:pStyle w:val="BodyText"/>
      </w:pPr>
      <w:r>
        <w:t xml:space="preserve">These changelogs will most likely not be created until the data capture and data cleaning phases of the life cycle when data transformations begin happening, and can be updated at any point as needed.</w:t>
      </w:r>
    </w:p>
    <w:bookmarkEnd w:id="440"/>
    <w:bookmarkStart w:id="444"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clean, usable data. This document contains no code and is not technical skills dependent. A data cleaning plan is created for each dataset you plan to collect (ex: student survey, student assessment, teacher survey, district student demographic data). Because this document lays out your intended transformations for each raw dataset, it allows any team member to provide feedback on the data cleaning process.</w:t>
      </w:r>
    </w:p>
    <w:p>
      <w:pPr>
        <w:pStyle w:val="BodyText"/>
      </w:pPr>
      <w:r>
        <w:t xml:space="preserve">This document can be started in the documentation phase, but will most likely continue to be updated throughout the study, especially as you start digging in to your collected raw data and seeing what additional transformations are needed. Typically the person responsible for cleaning the data will write the data cleaning plans, but those documents can then be brought to a planning meeting allowing other team members, such as PIs, to provide input on the plan. This ensures that everyone agrees on the transformations to be performed. Once finalized, this data cleaning plan serves as a guide in the cleaning process. In addition to the changelog, this data cleaning plan (as well as any syntax used) provides all documentation necessary to assess data provenance, a historical record of a data file’s journey.</w:t>
      </w:r>
    </w:p>
    <w:p>
      <w:pPr>
        <w:pStyle w:val="BodyText"/>
      </w:pPr>
      <w:r>
        <w:t xml:space="preserve">It can be very helpful for your team to have agreed upon general norms for what constitutes a clean dataset to help ensure that all datasets are cleaned and formatted consistently. These standards can be written down and stored in a central team or project location for referral and then used to guide your process as you write your data cleaning plan. We will review what types of transformations you should consider adding to this type of document in our</w:t>
      </w:r>
      <w:r>
        <w:t xml:space="preserve"> </w:t>
      </w:r>
      <w:hyperlink w:anchor="clean">
        <w:r>
          <w:rPr>
            <w:rStyle w:val="Hyperlink"/>
          </w:rPr>
          <w:t xml:space="preserve">Data Cleaning</w:t>
        </w:r>
      </w:hyperlink>
      <w:r>
        <w:t xml:space="preserve"> </w:t>
      </w:r>
      <w:r>
        <w:t xml:space="preserve">chapter.</w:t>
      </w:r>
    </w:p>
    <w:p>
      <w:pPr>
        <w:pStyle w:val="CaptionedFigure"/>
      </w:pPr>
      <w:r>
        <w:drawing>
          <wp:inline>
            <wp:extent cx="3855826" cy="2877482"/>
            <wp:effectExtent b="0" l="0" r="0" t="0"/>
            <wp:docPr descr="Figure 7.14: A simplistic data cleaning plan" title="" id="442" name="Picture"/>
            <a:graphic>
              <a:graphicData uri="http://schemas.openxmlformats.org/drawingml/2006/picture">
                <pic:pic>
                  <pic:nvPicPr>
                    <pic:cNvPr descr="img/data_cleaning_plan.PNG" id="443" name="Picture"/>
                    <pic:cNvPicPr>
                      <a:picLocks noChangeArrowheads="1" noChangeAspect="1"/>
                    </pic:cNvPicPr>
                  </pic:nvPicPr>
                  <pic:blipFill>
                    <a:blip r:embed="rId441"/>
                    <a:stretch>
                      <a:fillRect/>
                    </a:stretch>
                  </pic:blipFill>
                  <pic:spPr bwMode="auto">
                    <a:xfrm>
                      <a:off x="0" y="0"/>
                      <a:ext cx="3855826" cy="2877482"/>
                    </a:xfrm>
                    <a:prstGeom prst="rect">
                      <a:avLst/>
                    </a:prstGeom>
                    <a:noFill/>
                    <a:ln w="9525">
                      <a:noFill/>
                      <a:headEnd/>
                      <a:tailEnd/>
                    </a:ln>
                  </pic:spPr>
                </pic:pic>
              </a:graphicData>
            </a:graphic>
          </wp:inline>
        </w:drawing>
      </w:r>
    </w:p>
    <w:p>
      <w:pPr>
        <w:pStyle w:val="ImageCaption"/>
      </w:pPr>
      <w:r>
        <w:t xml:space="preserve">Figure 7.14: A simplistic data cleaning plan</w:t>
      </w:r>
    </w:p>
    <w:bookmarkEnd w:id="444"/>
    <w:bookmarkEnd w:id="445"/>
    <w:bookmarkStart w:id="482" w:name="variable-level"/>
    <w:p>
      <w:pPr>
        <w:pStyle w:val="Heading2"/>
      </w:pPr>
      <w:r>
        <w:rPr>
          <w:rStyle w:val="SectionNumber"/>
        </w:rPr>
        <w:t xml:space="preserve">7.4</w:t>
      </w:r>
      <w:r>
        <w:tab/>
      </w:r>
      <w:r>
        <w:t xml:space="preserve">Variable Level</w:t>
      </w:r>
    </w:p>
    <w:p>
      <w:pPr>
        <w:pStyle w:val="FirstParagraph"/>
      </w:pPr>
      <w:r>
        <w:t xml:space="preserve">Our last category of documentation is variable-level documentation. When we think about data management, I think this is most likely the first type of documentation that pops into people’s minds. This documentation tells us all pertinent information about the variables in our datasets: variable names, descriptions, types, and so forth. While variable-level documentation is often used to interpret existing datasets, it can also serve many other vital purposes including guiding the construction of data collection instruments, assisting in data cleaning, or validating the accuracy of data.</w:t>
      </w:r>
      <w:r>
        <w:rPr>
          <w:rStyle w:val="FootnoteReference"/>
        </w:rPr>
        <w:footnoteReference w:id="446"/>
      </w:r>
      <w:r>
        <w:t xml:space="preserve"> We will discuss this more throughout the chapters in this book.</w:t>
      </w:r>
    </w:p>
    <w:bookmarkStart w:id="467" w:name="data-dictionary"/>
    <w:p>
      <w:pPr>
        <w:pStyle w:val="Heading3"/>
      </w:pPr>
      <w:r>
        <w:rPr>
          <w:rStyle w:val="SectionNumber"/>
        </w:rPr>
        <w:t xml:space="preserve">7.4.1</w:t>
      </w:r>
      <w:r>
        <w:tab/>
      </w:r>
      <w:r>
        <w:t xml:space="preserve">Data dictionary</w:t>
      </w:r>
    </w:p>
    <w:p>
      <w:pPr>
        <w:pStyle w:val="FirstParagraph"/>
      </w:pPr>
      <w:r>
        <w:t xml:space="preserve">A data dictionary is a rectangular format (rows and columns) collection of names, definitions, and attributes about variables in a dataset.</w:t>
      </w:r>
      <w:r>
        <w:rPr>
          <w:rStyle w:val="FootnoteReference"/>
        </w:rPr>
        <w:footnoteReference w:id="448"/>
      </w:r>
      <w:r>
        <w:t xml:space="preserve"> This document is both a planning tool and a tool used for interpretation. A data dictionary is most useful if created in the documentation phase, before a project begins, because it is integral to many other phases of a study.</w:t>
      </w:r>
    </w:p>
    <w:p>
      <w:pPr>
        <w:pStyle w:val="BodyText"/>
      </w:pPr>
      <w:r>
        <w:t xml:space="preserve">A data dictionary is typically created in a rectangular format. What tool you use to build your data dictionary is up to you, but there are key pieces of information that should be included, as well as optional fields that can be helpful as well.</w:t>
      </w:r>
      <w:r>
        <w:rPr>
          <w:rStyle w:val="FootnoteReference"/>
        </w:rPr>
        <w:footnoteReference w:id="450"/>
      </w:r>
    </w:p>
    <w:p>
      <w:pPr>
        <w:pStyle w:val="CaptionedFigure"/>
      </w:pPr>
      <w:r>
        <w:drawing>
          <wp:inline>
            <wp:extent cx="5334000" cy="2493065"/>
            <wp:effectExtent b="0" l="0" r="0" t="0"/>
            <wp:docPr descr="Figure 7.15: Fields to include in a data dictionary" title="" id="453" name="Picture"/>
            <a:graphic>
              <a:graphicData uri="http://schemas.openxmlformats.org/drawingml/2006/picture">
                <pic:pic>
                  <pic:nvPicPr>
                    <pic:cNvPr descr="img/dictionary.PNG" id="454" name="Picture"/>
                    <pic:cNvPicPr>
                      <a:picLocks noChangeArrowheads="1" noChangeAspect="1"/>
                    </pic:cNvPicPr>
                  </pic:nvPicPr>
                  <pic:blipFill>
                    <a:blip r:embed="rId452"/>
                    <a:stretch>
                      <a:fillRect/>
                    </a:stretch>
                  </pic:blipFill>
                  <pic:spPr bwMode="auto">
                    <a:xfrm>
                      <a:off x="0" y="0"/>
                      <a:ext cx="5334000" cy="2493065"/>
                    </a:xfrm>
                    <a:prstGeom prst="rect">
                      <a:avLst/>
                    </a:prstGeom>
                    <a:noFill/>
                    <a:ln w="9525">
                      <a:noFill/>
                      <a:headEnd/>
                      <a:tailEnd/>
                    </a:ln>
                  </pic:spPr>
                </pic:pic>
              </a:graphicData>
            </a:graphic>
          </wp:inline>
        </w:drawing>
      </w:r>
    </w:p>
    <w:p>
      <w:pPr>
        <w:pStyle w:val="ImageCaption"/>
      </w:pPr>
      <w:r>
        <w:t xml:space="preserve">Figure 7.15: Fields to include in a data dictionary</w:t>
      </w:r>
    </w:p>
    <w:bookmarkStart w:id="460" w:name="Xbb371636aa30827eb73304c9333e985a635dea2"/>
    <w:p>
      <w:pPr>
        <w:pStyle w:val="Heading4"/>
      </w:pPr>
      <w:r>
        <w:rPr>
          <w:rStyle w:val="SectionNumber"/>
        </w:rPr>
        <w:t xml:space="preserve">7.4.1.1</w:t>
      </w:r>
      <w:r>
        <w:tab/>
      </w:r>
      <w:r>
        <w:t xml:space="preserve">Creating a data dictionary for an original data source</w:t>
      </w:r>
    </w:p>
    <w:p>
      <w:pPr>
        <w:pStyle w:val="FirstParagraph"/>
      </w:pPr>
      <w:r>
        <w:t xml:space="preserve">Before you begin to build these dictionaries you will need to have the following:</w:t>
      </w:r>
    </w:p>
    <w:p>
      <w:pPr>
        <w:numPr>
          <w:ilvl w:val="0"/>
          <w:numId w:val="1072"/>
        </w:numPr>
        <w:pStyle w:val="Compact"/>
      </w:pPr>
      <w:r>
        <w:t xml:space="preserve">Your style guide already created: We will talk more about</w:t>
      </w:r>
      <w:r>
        <w:t xml:space="preserve"> </w:t>
      </w:r>
      <w:hyperlink w:anchor="style">
        <w:r>
          <w:rPr>
            <w:rStyle w:val="Hyperlink"/>
          </w:rPr>
          <w:t xml:space="preserve">style guides</w:t>
        </w:r>
      </w:hyperlink>
      <w:r>
        <w:t xml:space="preserve"> </w:t>
      </w:r>
      <w:r>
        <w:t xml:space="preserve">in the next chapter, but this document will provide standards for naming variables and coding response values.</w:t>
      </w:r>
      <w:r>
        <w:br/>
      </w:r>
    </w:p>
    <w:p>
      <w:pPr>
        <w:numPr>
          <w:ilvl w:val="0"/>
          <w:numId w:val="1072"/>
        </w:numPr>
        <w:pStyle w:val="Compact"/>
      </w:pPr>
      <w:r>
        <w:t xml:space="preserve">Documentation for your measures: If you are collecting data using existing measures, you will want to collect any documentation on those measures such as technical documents or copies of instruments. You will want your documentation to provide information such as:</w:t>
      </w:r>
    </w:p>
    <w:p>
      <w:pPr>
        <w:numPr>
          <w:ilvl w:val="1"/>
          <w:numId w:val="1073"/>
        </w:numPr>
        <w:pStyle w:val="Compact"/>
      </w:pPr>
      <w:r>
        <w:t xml:space="preserve">What items make up the measures/scales? What is the exact wording of the items?</w:t>
      </w:r>
      <w:r>
        <w:br/>
      </w:r>
    </w:p>
    <w:p>
      <w:pPr>
        <w:numPr>
          <w:ilvl w:val="1"/>
          <w:numId w:val="1073"/>
        </w:numPr>
        <w:pStyle w:val="Compact"/>
      </w:pPr>
      <w:r>
        <w:t xml:space="preserve">How are items coded?</w:t>
      </w:r>
      <w:r>
        <w:br/>
      </w:r>
    </w:p>
    <w:p>
      <w:pPr>
        <w:numPr>
          <w:ilvl w:val="1"/>
          <w:numId w:val="1073"/>
        </w:numPr>
        <w:pStyle w:val="Compact"/>
      </w:pPr>
      <w:r>
        <w:t xml:space="preserve">Are there any calculations/reverse coding needed?</w:t>
      </w:r>
    </w:p>
    <w:p>
      <w:pPr>
        <w:pStyle w:val="FirstParagraph"/>
      </w:pPr>
      <w:r>
        <w:t xml:space="preserve">You will then build one data dictionary for each instrument you plan to collect (ex: student survey data dictionary, teacher survey data dictionary, student assessment data dictionary). All measures/items for each instrument will be included in the data dictionary.</w:t>
      </w:r>
    </w:p>
    <w:p>
      <w:pPr>
        <w:pStyle w:val="BodyText"/>
      </w:pPr>
      <w:r>
        <w:t xml:space="preserve">As you build your data dictionary, consider the following:</w:t>
      </w:r>
    </w:p>
    <w:p>
      <w:pPr>
        <w:numPr>
          <w:ilvl w:val="0"/>
          <w:numId w:val="1074"/>
        </w:numPr>
        <w:pStyle w:val="Compact"/>
      </w:pPr>
      <w:r>
        <w:t xml:space="preserve">Are your variable names meeting the requirements laid out in your style guide?</w:t>
      </w:r>
      <w:r>
        <w:br/>
      </w:r>
    </w:p>
    <w:p>
      <w:pPr>
        <w:numPr>
          <w:ilvl w:val="0"/>
          <w:numId w:val="1074"/>
        </w:numPr>
        <w:pStyle w:val="Compact"/>
      </w:pPr>
      <w:r>
        <w:t xml:space="preserve">If your items come from an existing scale, does your value coding align with the coding laid out in the documentation? If your items do not come from an existing scale, does your value coding (the numeric values assigned to response options) align with the requirements in your style guide?</w:t>
      </w:r>
      <w:r>
        <w:br/>
      </w:r>
    </w:p>
    <w:p>
      <w:pPr>
        <w:numPr>
          <w:ilvl w:val="0"/>
          <w:numId w:val="1074"/>
        </w:numPr>
        <w:pStyle w:val="Compact"/>
      </w:pPr>
      <w:r>
        <w:t xml:space="preserve">What additional items will make up your final dataset (it could be items that you plan to add to the data after it is collected, i.e. treatment, unique identifiers, calculated variables)?</w:t>
      </w:r>
    </w:p>
    <w:p>
      <w:pPr>
        <w:pStyle w:val="FirstParagraph"/>
      </w:pPr>
      <w:r>
        <w:t xml:space="preserve">For demonstration purposes only, the data dictionary in Figure</w:t>
      </w:r>
      <w:r>
        <w:t xml:space="preserve"> </w:t>
      </w:r>
      <w:r>
        <w:t xml:space="preserve">7.16</w:t>
      </w:r>
      <w:r>
        <w:t xml:space="preserve"> </w:t>
      </w:r>
      <w:r>
        <w:t xml:space="preserve">uses items from Patterns of Adaptive Learning Scales (PALS).</w:t>
      </w:r>
      <w:r>
        <w:rPr>
          <w:rStyle w:val="FootnoteReference"/>
        </w:rPr>
        <w:footnoteReference w:id="455"/>
      </w:r>
      <w:r>
        <w:t xml:space="preserve"> In an actual research study your dictionary would most likely include many more items and a variety of measures.</w:t>
      </w:r>
    </w:p>
    <w:p>
      <w:pPr>
        <w:pStyle w:val="CaptionedFigure"/>
      </w:pPr>
      <w:r>
        <w:drawing>
          <wp:inline>
            <wp:extent cx="5334000" cy="2502278"/>
            <wp:effectExtent b="0" l="0" r="0" t="0"/>
            <wp:docPr descr="Figure 7.16: Example student survey data dictionary" title="" id="458" name="Picture"/>
            <a:graphic>
              <a:graphicData uri="http://schemas.openxmlformats.org/drawingml/2006/picture">
                <pic:pic>
                  <pic:nvPicPr>
                    <pic:cNvPr descr="img/dictionary3.PNG" id="459" name="Picture"/>
                    <pic:cNvPicPr>
                      <a:picLocks noChangeArrowheads="1" noChangeAspect="1"/>
                    </pic:cNvPicPr>
                  </pic:nvPicPr>
                  <pic:blipFill>
                    <a:blip r:embed="rId457"/>
                    <a:stretch>
                      <a:fillRect/>
                    </a:stretch>
                  </pic:blipFill>
                  <pic:spPr bwMode="auto">
                    <a:xfrm>
                      <a:off x="0" y="0"/>
                      <a:ext cx="5334000" cy="2502278"/>
                    </a:xfrm>
                    <a:prstGeom prst="rect">
                      <a:avLst/>
                    </a:prstGeom>
                    <a:noFill/>
                    <a:ln w="9525">
                      <a:noFill/>
                      <a:headEnd/>
                      <a:tailEnd/>
                    </a:ln>
                  </pic:spPr>
                </pic:pic>
              </a:graphicData>
            </a:graphic>
          </wp:inline>
        </w:drawing>
      </w:r>
    </w:p>
    <w:p>
      <w:pPr>
        <w:pStyle w:val="ImageCaption"/>
      </w:pPr>
      <w:r>
        <w:t xml:space="preserve">Figure 7.16: Example student survey data dictionary</w:t>
      </w:r>
    </w:p>
    <w:p>
      <w:pPr>
        <w:pStyle w:val="BodyText"/>
      </w:pPr>
      <w:r>
        <w:t xml:space="preserve">The last step of creating your data dictionary, as it should be for every document you create in this documentation phase, is to review the following with your team.</w:t>
      </w:r>
    </w:p>
    <w:p>
      <w:pPr>
        <w:numPr>
          <w:ilvl w:val="0"/>
          <w:numId w:val="1075"/>
        </w:numPr>
        <w:pStyle w:val="Compact"/>
      </w:pPr>
      <w:r>
        <w:t xml:space="preserve">Is everyone in agreement about how variables are named, how values are coded, and our variable types?</w:t>
      </w:r>
    </w:p>
    <w:p>
      <w:pPr>
        <w:numPr>
          <w:ilvl w:val="0"/>
          <w:numId w:val="1075"/>
        </w:numPr>
        <w:pStyle w:val="Compact"/>
      </w:pPr>
      <w:r>
        <w:t xml:space="preserve">Is everyone in agreement about who gets each item?</w:t>
      </w:r>
      <w:r>
        <w:br/>
      </w:r>
    </w:p>
    <w:p>
      <w:pPr>
        <w:numPr>
          <w:ilvl w:val="0"/>
          <w:numId w:val="1075"/>
        </w:numPr>
        <w:pStyle w:val="Compact"/>
      </w:pPr>
      <w:r>
        <w:t xml:space="preserve">Does the team want to adjust any of the question/item wording?</w:t>
      </w:r>
    </w:p>
    <w:p>
      <w:pPr>
        <w:numPr>
          <w:ilvl w:val="0"/>
          <w:numId w:val="1075"/>
        </w:numPr>
        <w:pStyle w:val="Compact"/>
      </w:pPr>
      <w:r>
        <w:t xml:space="preserve">You’ll also want to confirm that the data dictionary includes everything the team plans to collect and no items are missing.</w:t>
      </w:r>
    </w:p>
    <w:p>
      <w:pPr>
        <w:numPr>
          <w:ilvl w:val="0"/>
          <w:numId w:val="1075"/>
        </w:numPr>
        <w:pStyle w:val="Compact"/>
      </w:pPr>
      <w:r>
        <w:t xml:space="preserve">If additional items are added to instruments at later time points, adding fields such as (time periods available), can be really helpful to future users in understanding why some items may be missing data at certain time points.</w:t>
      </w:r>
    </w:p>
    <w:bookmarkEnd w:id="460"/>
    <w:bookmarkStart w:id="461" w:name="X17630cc52bbfb2ea830bee93c6a43c660df02b3"/>
    <w:p>
      <w:pPr>
        <w:pStyle w:val="Heading4"/>
      </w:pPr>
      <w:r>
        <w:rPr>
          <w:rStyle w:val="SectionNumber"/>
        </w:rPr>
        <w:t xml:space="preserve">7.4.1.2</w:t>
      </w:r>
      <w:r>
        <w:tab/>
      </w:r>
      <w:r>
        <w:t xml:space="preserve">Creating a data dictionary from an existing data source</w:t>
      </w:r>
    </w:p>
    <w:p>
      <w:pPr>
        <w:pStyle w:val="FirstParagraph"/>
      </w:pPr>
      <w:r>
        <w:t xml:space="preserve">Not all research study data will be gathered through original data collection methods. You may be collecting external data sources from organizations like school districts or state departments of education. In these cases, you will begin building your data dictionaries later in the cycle, when data is received, and rather than the forward-moving flow we discussed before where the dictionary is built first, we will now have to work backwards to answer questions about our data.</w:t>
      </w:r>
    </w:p>
    <w:p>
      <w:pPr>
        <w:pStyle w:val="BodyText"/>
      </w:pPr>
      <w:r>
        <w:t xml:space="preserve">The first step in building your data dictionary is to review your existing data. Yet, it turns out that all this tells you is what</w:t>
      </w:r>
      <w:r>
        <w:t xml:space="preserve"> </w:t>
      </w:r>
      <w:r>
        <w:rPr>
          <w:bCs/>
          <w:b/>
        </w:rPr>
        <w:t xml:space="preserve">does</w:t>
      </w:r>
      <w:r>
        <w:t xml:space="preserve"> </w:t>
      </w:r>
      <w:r>
        <w:t xml:space="preserve">exist in the data, not what</w:t>
      </w:r>
      <w:r>
        <w:t xml:space="preserve"> </w:t>
      </w:r>
      <w:r>
        <w:rPr>
          <w:bCs/>
          <w:b/>
        </w:rPr>
        <w:t xml:space="preserve">should</w:t>
      </w:r>
      <w:r>
        <w:t xml:space="preserve"> </w:t>
      </w:r>
      <w:r>
        <w:t xml:space="preserve">exist in the data. Items could be incorrectly coded, columns could be assigned the incorrect variable type, etc. As you review your data, start to collect questions such as:</w:t>
      </w:r>
    </w:p>
    <w:p>
      <w:pPr>
        <w:numPr>
          <w:ilvl w:val="0"/>
          <w:numId w:val="1076"/>
        </w:numPr>
        <w:pStyle w:val="Compact"/>
      </w:pPr>
      <w:r>
        <w:t xml:space="preserve">What do these variables represent?</w:t>
      </w:r>
    </w:p>
    <w:p>
      <w:pPr>
        <w:numPr>
          <w:ilvl w:val="1"/>
          <w:numId w:val="1077"/>
        </w:numPr>
        <w:pStyle w:val="Compact"/>
      </w:pPr>
      <w:r>
        <w:t xml:space="preserve">What was the wording of these items?</w:t>
      </w:r>
    </w:p>
    <w:p>
      <w:pPr>
        <w:numPr>
          <w:ilvl w:val="0"/>
          <w:numId w:val="1076"/>
        </w:numPr>
        <w:pStyle w:val="Compact"/>
      </w:pPr>
      <w:r>
        <w:t xml:space="preserve">Who received the items?</w:t>
      </w:r>
    </w:p>
    <w:p>
      <w:pPr>
        <w:numPr>
          <w:ilvl w:val="0"/>
          <w:numId w:val="1076"/>
        </w:numPr>
        <w:pStyle w:val="Compact"/>
      </w:pPr>
      <w:r>
        <w:t xml:space="preserve">What do these values represent?</w:t>
      </w:r>
    </w:p>
    <w:p>
      <w:pPr>
        <w:numPr>
          <w:ilvl w:val="1"/>
          <w:numId w:val="1078"/>
        </w:numPr>
        <w:pStyle w:val="Compact"/>
      </w:pPr>
      <w:r>
        <w:t xml:space="preserve">Am I seeing the full range of values/categorical options for each item? Or was the range larger than what I am seeing?</w:t>
      </w:r>
    </w:p>
    <w:p>
      <w:pPr>
        <w:numPr>
          <w:ilvl w:val="1"/>
          <w:numId w:val="1078"/>
        </w:numPr>
        <w:pStyle w:val="Compact"/>
      </w:pPr>
      <w:r>
        <w:t xml:space="preserve">Do I have values in my data that don’t make sense for an item?</w:t>
      </w:r>
    </w:p>
    <w:p>
      <w:pPr>
        <w:numPr>
          <w:ilvl w:val="0"/>
          <w:numId w:val="1076"/>
        </w:numPr>
        <w:pStyle w:val="Compact"/>
      </w:pPr>
      <w:r>
        <w:t xml:space="preserve">What data types are the items currently? What types should they be?</w:t>
      </w:r>
    </w:p>
    <w:p>
      <w:pPr>
        <w:pStyle w:val="FirstParagraph"/>
      </w:pPr>
      <w:r>
        <w:t xml:space="preserve">To answer those questions, you may need to do some additional detective work.</w:t>
      </w:r>
    </w:p>
    <w:p>
      <w:pPr>
        <w:numPr>
          <w:ilvl w:val="0"/>
          <w:numId w:val="1079"/>
        </w:numPr>
        <w:pStyle w:val="Compact"/>
      </w:pPr>
      <w:r>
        <w:t xml:space="preserve">Contact the person who originally collected the data to learn more about the instrument and the data.</w:t>
      </w:r>
      <w:r>
        <w:br/>
      </w:r>
    </w:p>
    <w:p>
      <w:pPr>
        <w:numPr>
          <w:ilvl w:val="0"/>
          <w:numId w:val="1079"/>
        </w:numPr>
        <w:pStyle w:val="Compact"/>
      </w:pPr>
      <w:r>
        <w:t xml:space="preserve">Contact the person who cleaned the data (if cleaned) to see what transformations they completed on the raw data.</w:t>
      </w:r>
      <w:r>
        <w:br/>
      </w:r>
    </w:p>
    <w:p>
      <w:pPr>
        <w:numPr>
          <w:ilvl w:val="0"/>
          <w:numId w:val="1079"/>
        </w:numPr>
        <w:pStyle w:val="Compact"/>
      </w:pPr>
      <w:r>
        <w:t xml:space="preserve">Request access to the original instruments to review exact question wording, item response options, skip patterns, etc.</w:t>
      </w:r>
    </w:p>
    <w:p>
      <w:pPr>
        <w:numPr>
          <w:ilvl w:val="0"/>
          <w:numId w:val="1079"/>
        </w:numPr>
        <w:pStyle w:val="Compact"/>
      </w:pPr>
      <w:r>
        <w:t xml:space="preserve">Request any documentation they have. For example, do they have their own data dictionaries, codebooks, or syntax that might help you understand what is going on in the data?</w:t>
      </w:r>
    </w:p>
    <w:p>
      <w:pPr>
        <w:pStyle w:val="FirstParagraph"/>
      </w:pPr>
      <w:r>
        <w:t xml:space="preserve">Ultimately you should end up with a data dictionary structured similarly to the one above. You may add additional fields that help you keep track of further changes (ex: a column for the old variable name and a column for your new variable name), and your transformations section may become more verbose as the values assigned previously may not align with the values you prefer based on your style guide or the existing measures. Otherwise, the data dictionary should still be constructed in the same manner mentioned above.</w:t>
      </w:r>
    </w:p>
    <w:bookmarkEnd w:id="461"/>
    <w:bookmarkStart w:id="466" w:name="time-well-spent"/>
    <w:p>
      <w:pPr>
        <w:pStyle w:val="Heading4"/>
      </w:pPr>
      <w:r>
        <w:rPr>
          <w:rStyle w:val="SectionNumber"/>
        </w:rPr>
        <w:t xml:space="preserve">7.4.1.3</w:t>
      </w:r>
      <w:r>
        <w:tab/>
      </w:r>
      <w:r>
        <w:t xml:space="preserve">Time well spent</w:t>
      </w:r>
    </w:p>
    <w:p>
      <w:pPr>
        <w:pStyle w:val="FirstParagraph"/>
      </w:pPr>
      <w:r>
        <w:t xml:space="preserve">The process described in this section is a manual, time consuming process. This is intentional. Building your data dictionary is an information seeking journey where you take time to understand your dataset, create standardization of items, and plan for data transformations. Spending time manually creating this document before collecting data prevents many potential errors and time lost fixing data in the future. While there are absolutely ways you can automate the creation of a data dictionary using an existing dataset, the only time I can imagine that being useful is when you have a clean dataset that you have confidently already verified is accurate and ready to be shared. However, as mentioned before, a data dictionary is so much more than a document to be shared alongside a public dataset. It is a tool for guiding many other processes in your research data life cycle.</w:t>
      </w:r>
    </w:p>
    <w:p>
      <w:pPr>
        <w:pStyle w:val="BodyText"/>
      </w:pPr>
      <w:r>
        <w:rPr>
          <w:bCs/>
          <w:b/>
        </w:rPr>
        <w:t xml:space="preserve">Example data dictionaries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USDA data dictionary template</w:t>
            </w:r>
            <w:r>
              <w:rPr>
                <w:rStyle w:val="FootnoteReference"/>
              </w:rPr>
              <w:footnoteReference w:id="462"/>
            </w:r>
          </w:p>
        </w:tc>
        <w:tc>
          <w:tcPr/>
          <w:p>
            <w:pPr>
              <w:pStyle w:val="Compact"/>
              <w:jc w:val="left"/>
            </w:pPr>
            <w:r>
              <w:t xml:space="preserve">Example data dictionary template</w:t>
            </w:r>
          </w:p>
        </w:tc>
      </w:tr>
      <w:tr>
        <w:tc>
          <w:tcPr/>
          <w:p>
            <w:pPr>
              <w:pStyle w:val="Compact"/>
              <w:jc w:val="left"/>
            </w:pPr>
            <w:r>
              <w:t xml:space="preserve">OSF data dictionary template</w:t>
            </w:r>
            <w:r>
              <w:rPr>
                <w:rStyle w:val="FootnoteReference"/>
              </w:rPr>
              <w:footnoteReference w:id="464"/>
            </w:r>
          </w:p>
        </w:tc>
        <w:tc>
          <w:tcPr/>
          <w:p>
            <w:pPr>
              <w:pStyle w:val="Compact"/>
              <w:jc w:val="left"/>
            </w:pPr>
            <w:r>
              <w:t xml:space="preserve">Example data dictionary template</w:t>
            </w:r>
          </w:p>
        </w:tc>
      </w:tr>
    </w:tbl>
    <w:bookmarkEnd w:id="466"/>
    <w:bookmarkEnd w:id="467"/>
    <w:bookmarkStart w:id="481" w:name="codebook"/>
    <w:p>
      <w:pPr>
        <w:pStyle w:val="Heading3"/>
      </w:pPr>
      <w:r>
        <w:rPr>
          <w:rStyle w:val="SectionNumber"/>
        </w:rPr>
        <w:t xml:space="preserve">7.4.2</w:t>
      </w:r>
      <w:r>
        <w:tab/>
      </w:r>
      <w:r>
        <w:t xml:space="preserve">Codebook</w:t>
      </w:r>
    </w:p>
    <w:p>
      <w:pPr>
        <w:pStyle w:val="FirstParagraph"/>
      </w:pPr>
      <w:r>
        <w:t xml:space="preserve">A codebook documents the contents, structure, and layout of a data file</w:t>
      </w:r>
      <w:r>
        <w:rPr>
          <w:rStyle w:val="FootnoteReference"/>
        </w:rPr>
        <w:footnoteReference w:id="468"/>
      </w:r>
      <w:r>
        <w:t xml:space="preserve">. It enables the user to quickly ascertain some of the details about a dataset without ever opening the file. Unlike a data dictionary, a codebook is created</w:t>
      </w:r>
      <w:r>
        <w:t xml:space="preserve"> </w:t>
      </w:r>
      <w:r>
        <w:rPr>
          <w:bCs/>
          <w:b/>
        </w:rPr>
        <w:t xml:space="preserve">after</w:t>
      </w:r>
      <w:r>
        <w:t xml:space="preserve"> </w:t>
      </w:r>
      <w:r>
        <w:t xml:space="preserve">your data is collected and cleaned and its value lies in data interpretation and data validation.</w:t>
      </w:r>
    </w:p>
    <w:p>
      <w:pPr>
        <w:pStyle w:val="BodyText"/>
      </w:pPr>
      <w:r>
        <w:t xml:space="preserve">The codebook contains some information that overlaps with a data dictionary, but is more of a summary document of what actually exists in your dataset.</w:t>
      </w:r>
    </w:p>
    <w:p>
      <w:pPr>
        <w:pStyle w:val="CaptionedFigure"/>
      </w:pPr>
      <w:r>
        <w:drawing>
          <wp:inline>
            <wp:extent cx="5334000" cy="1727133"/>
            <wp:effectExtent b="0" l="0" r="0" t="0"/>
            <wp:docPr descr="Figure 7.17: Codebook content that overlaps and is unique to a data dictionary" title="" id="471" name="Picture"/>
            <a:graphic>
              <a:graphicData uri="http://schemas.openxmlformats.org/drawingml/2006/picture">
                <pic:pic>
                  <pic:nvPicPr>
                    <pic:cNvPr descr="img/codebook.PNG" id="472" name="Picture"/>
                    <pic:cNvPicPr>
                      <a:picLocks noChangeArrowheads="1" noChangeAspect="1"/>
                    </pic:cNvPicPr>
                  </pic:nvPicPr>
                  <pic:blipFill>
                    <a:blip r:embed="rId470"/>
                    <a:stretch>
                      <a:fillRect/>
                    </a:stretch>
                  </pic:blipFill>
                  <pic:spPr bwMode="auto">
                    <a:xfrm>
                      <a:off x="0" y="0"/>
                      <a:ext cx="5334000" cy="1727133"/>
                    </a:xfrm>
                    <a:prstGeom prst="rect">
                      <a:avLst/>
                    </a:prstGeom>
                    <a:noFill/>
                    <a:ln w="9525">
                      <a:noFill/>
                      <a:headEnd/>
                      <a:tailEnd/>
                    </a:ln>
                  </pic:spPr>
                </pic:pic>
              </a:graphicData>
            </a:graphic>
          </wp:inline>
        </w:drawing>
      </w:r>
    </w:p>
    <w:p>
      <w:pPr>
        <w:pStyle w:val="ImageCaption"/>
      </w:pPr>
      <w:r>
        <w:t xml:space="preserve">Figure 7.17: Codebook content that overlaps and is unique to a data dictionary</w:t>
      </w:r>
    </w:p>
    <w:p>
      <w:pPr>
        <w:pStyle w:val="BodyText"/>
      </w:pPr>
      <w:r>
        <w:t xml:space="preserve">Ultimately, you want to export a codebook that contains variable-level information like this document in Figure</w:t>
      </w:r>
      <w:r>
        <w:t xml:space="preserve"> </w:t>
      </w:r>
      <w:r>
        <w:t xml:space="preserve">7.18</w:t>
      </w:r>
      <w:r>
        <w:t xml:space="preserve"> </w:t>
      </w:r>
      <w:r>
        <w:t xml:space="preserve">from the United States Department of Health and</w:t>
      </w:r>
      <w:r>
        <w:t xml:space="preserve"> </w:t>
      </w:r>
      <w:r>
        <w:t xml:space="preserve">Human Services.</w:t>
      </w:r>
      <w:r>
        <w:rPr>
          <w:rStyle w:val="FootnoteReference"/>
        </w:rPr>
        <w:footnoteReference w:id="473"/>
      </w:r>
    </w:p>
    <w:p>
      <w:pPr>
        <w:pStyle w:val="CaptionedFigure"/>
      </w:pPr>
      <w:r>
        <w:drawing>
          <wp:inline>
            <wp:extent cx="4968453" cy="5492794"/>
            <wp:effectExtent b="0" l="0" r="0" t="0"/>
            <wp:docPr descr="Figure 7.18: Example codebook content from the SCOPE Coach Survey" title="" id="475" name="Picture"/>
            <a:graphic>
              <a:graphicData uri="http://schemas.openxmlformats.org/drawingml/2006/picture">
                <pic:pic>
                  <pic:nvPicPr>
                    <pic:cNvPr descr="img/codebook2.PNG" id="476" name="Picture"/>
                    <pic:cNvPicPr>
                      <a:picLocks noChangeArrowheads="1" noChangeAspect="1"/>
                    </pic:cNvPicPr>
                  </pic:nvPicPr>
                  <pic:blipFill>
                    <a:blip r:embed="rId474"/>
                    <a:stretch>
                      <a:fillRect/>
                    </a:stretch>
                  </pic:blipFill>
                  <pic:spPr bwMode="auto">
                    <a:xfrm>
                      <a:off x="0" y="0"/>
                      <a:ext cx="4968453" cy="5492794"/>
                    </a:xfrm>
                    <a:prstGeom prst="rect">
                      <a:avLst/>
                    </a:prstGeom>
                    <a:noFill/>
                    <a:ln w="9525">
                      <a:noFill/>
                      <a:headEnd/>
                      <a:tailEnd/>
                    </a:ln>
                  </pic:spPr>
                </pic:pic>
              </a:graphicData>
            </a:graphic>
          </wp:inline>
        </w:drawing>
      </w:r>
    </w:p>
    <w:p>
      <w:pPr>
        <w:pStyle w:val="ImageCaption"/>
      </w:pPr>
      <w:r>
        <w:t xml:space="preserve">Figure 7.18: Example codebook content from the SCOPE Coach Survey</w:t>
      </w:r>
    </w:p>
    <w:p>
      <w:pPr>
        <w:pStyle w:val="BodyText"/>
      </w:pPr>
      <w:r>
        <w:t xml:space="preserve">In addition to being an excellent resource for users to review your data without ever opening the file, this document may also help you catch errors in your data if out of range or unexpected values appear.</w:t>
      </w:r>
    </w:p>
    <w:p>
      <w:pPr>
        <w:pStyle w:val="BodyText"/>
      </w:pPr>
      <w:r>
        <w:t xml:space="preserve">You can create separate codebooks per dataset or have them all contained in one document, clickable through a table of contents. Unlike a data dictionary, which I recommend creating manually, a codebook should be created through an automated process. Automating codebooks will not only save you tons of time, but it will also reduce errors that are made in manual entry. You can use many tools to create codebooks, including point and click statistical programs such as SPSS, or with a little programming knowledge you can more flexibly design codebooks using programs like R or SAS. Fo example, the R programming language has many packages that will create and export codebooks in a variety of formats from your existing dataset by just running a few functions</w:t>
      </w:r>
      <w:r>
        <w:rPr>
          <w:rStyle w:val="FootnoteReference"/>
        </w:rPr>
        <w:footnoteReference w:id="477"/>
      </w:r>
      <w:r>
        <w:t xml:space="preserve">.</w:t>
      </w:r>
    </w:p>
    <w:p>
      <w:pPr>
        <w:pStyle w:val="BodyText"/>
      </w:pPr>
      <w:r>
        <w:t xml:space="preserve">Last, you may notice as you review codebooks that many will start with several pages of text, usually containing information about the project. When it comes time to share their data, it’s common for people to combine information from their research protocol or readme files, into their codebooks, rather than sharing separate documents.</w:t>
      </w:r>
    </w:p>
    <w:p>
      <w:pPr>
        <w:pStyle w:val="BodyText"/>
      </w:pPr>
      <w:r>
        <w:rPr>
          <w:bCs/>
          <w:b/>
        </w:rPr>
        <w:t xml:space="preserve">Example codebooks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ICPSR Guide to Codebooks</w:t>
            </w:r>
            <w:r>
              <w:rPr>
                <w:rStyle w:val="FootnoteReference"/>
              </w:rPr>
              <w:footnoteReference w:id="479"/>
            </w:r>
          </w:p>
        </w:tc>
        <w:tc>
          <w:tcPr/>
          <w:p>
            <w:pPr>
              <w:pStyle w:val="Compact"/>
              <w:jc w:val="left"/>
            </w:pPr>
            <w:r>
              <w:t xml:space="preserve">Guide for creating codebooks</w:t>
            </w:r>
          </w:p>
        </w:tc>
      </w:tr>
      <w:tr>
        <w:tc>
          <w:tcPr/>
          <w:p>
            <w:pPr>
              <w:pStyle w:val="Compact"/>
              <w:jc w:val="left"/>
            </w:pPr>
            <w:r>
              <w:t xml:space="preserve">SCOPE Codebook, US Department of Health and Human Services</w:t>
            </w:r>
            <w:r>
              <w:rPr>
                <w:rStyle w:val="FootnoteReference"/>
              </w:rPr>
              <w:footnoteReference w:id="480"/>
            </w:r>
          </w:p>
        </w:tc>
        <w:tc>
          <w:tcPr/>
          <w:p>
            <w:pPr>
              <w:pStyle w:val="Compact"/>
              <w:jc w:val="left"/>
            </w:pPr>
            <w:r>
              <w:t xml:space="preserve">A codebook for this study can be obtained from their ICPSR repository</w:t>
            </w:r>
          </w:p>
        </w:tc>
      </w:tr>
    </w:tbl>
    <w:bookmarkEnd w:id="481"/>
    <w:bookmarkEnd w:id="482"/>
    <w:bookmarkStart w:id="547" w:name="metadata"/>
    <w:p>
      <w:pPr>
        <w:pStyle w:val="Heading2"/>
      </w:pPr>
      <w:r>
        <w:rPr>
          <w:rStyle w:val="SectionNumber"/>
        </w:rPr>
        <w:t xml:space="preserve">7.5</w:t>
      </w:r>
      <w:r>
        <w:tab/>
      </w:r>
      <w:r>
        <w:t xml:space="preserve">Metadata</w:t>
      </w:r>
    </w:p>
    <w:p>
      <w:pPr>
        <w:pStyle w:val="FirstParagraph"/>
      </w:pPr>
      <w:r>
        <w:t xml:space="preserve">The last type of documentation to discuss is metadata, which is created in the</w:t>
      </w:r>
      <w:r>
        <w:t xml:space="preserve"> </w:t>
      </w:r>
      <w:r>
        <w:t xml:space="preserve">“</w:t>
      </w:r>
      <w:r>
        <w:t xml:space="preserve">prepare for archiving</w:t>
      </w:r>
      <w:r>
        <w:t xml:space="preserve">”</w:t>
      </w:r>
      <w:r>
        <w:t xml:space="preserve"> </w:t>
      </w:r>
      <w:r>
        <w:t xml:space="preserve">phase. When depositing your data in a repository, you will submit two types of documentation, human-readable documentation, which includes any of the documents we’ve previously discussed, and metadata. Metadata, data about your data, is documentation that is meant to be processed by machines and serves the purpose of making your files searchable.</w:t>
      </w:r>
      <w:r>
        <w:rPr>
          <w:rStyle w:val="FootnoteReference"/>
        </w:rPr>
        <w:footnoteReference w:id="483"/>
      </w:r>
      <w:r>
        <w:t xml:space="preserve"> Metadata aids in the cataloging, citing, discovering, and retrieving of data and its creation is a critical step in creating FAIR data</w:t>
      </w:r>
      <w:r>
        <w:rPr>
          <w:rStyle w:val="FootnoteReference"/>
        </w:rPr>
        <w:footnoteReference w:id="486"/>
      </w:r>
      <w:r>
        <w:t xml:space="preserve">.</w:t>
      </w:r>
    </w:p>
    <w:p>
      <w:pPr>
        <w:pStyle w:val="BodyText"/>
      </w:pPr>
      <w:r>
        <w:t xml:space="preserve">For the most part, no additional work is needed to create metadata when depositing your data in a repository. It will simply be created as part of the depositing process.</w:t>
      </w:r>
      <w:r>
        <w:rPr>
          <w:rStyle w:val="FootnoteReference"/>
        </w:rPr>
        <w:footnoteReference w:id="489"/>
      </w:r>
      <w:r>
        <w:t xml:space="preserve"> As you deposit your data, the repository may have you fill out a form that contains descriptive (description of project and files - enables discovery), administrative (licensing and ownership), and structural metadata (technical considerations).</w:t>
      </w:r>
      <w:r>
        <w:rPr>
          <w:rStyle w:val="FootnoteReference"/>
        </w:rPr>
        <w:footnoteReference w:id="491"/>
      </w:r>
      <w:r>
        <w:t xml:space="preserve"> The information from this form will become your metadata.</w:t>
      </w:r>
      <w:r>
        <w:rPr>
          <w:rStyle w:val="FootnoteReference"/>
        </w:rPr>
        <w:footnoteReference w:id="493"/>
      </w:r>
    </w:p>
    <w:p>
      <w:pPr>
        <w:pStyle w:val="CaptionedFigure"/>
      </w:pPr>
      <w:r>
        <w:drawing>
          <wp:inline>
            <wp:extent cx="5334000" cy="7252297"/>
            <wp:effectExtent b="0" l="0" r="0" t="0"/>
            <wp:docPr descr="Figure 7.19: Example intake metadata form for Figshare repository" title="" id="496" name="Picture"/>
            <a:graphic>
              <a:graphicData uri="http://schemas.openxmlformats.org/drawingml/2006/picture">
                <pic:pic>
                  <pic:nvPicPr>
                    <pic:cNvPr descr="img/metadata4.PNG" id="497" name="Picture"/>
                    <pic:cNvPicPr>
                      <a:picLocks noChangeArrowheads="1" noChangeAspect="1"/>
                    </pic:cNvPicPr>
                  </pic:nvPicPr>
                  <pic:blipFill>
                    <a:blip r:embed="rId495"/>
                    <a:stretch>
                      <a:fillRect/>
                    </a:stretch>
                  </pic:blipFill>
                  <pic:spPr bwMode="auto">
                    <a:xfrm>
                      <a:off x="0" y="0"/>
                      <a:ext cx="5334000" cy="7252297"/>
                    </a:xfrm>
                    <a:prstGeom prst="rect">
                      <a:avLst/>
                    </a:prstGeom>
                    <a:noFill/>
                    <a:ln w="9525">
                      <a:noFill/>
                      <a:headEnd/>
                      <a:tailEnd/>
                    </a:ln>
                  </pic:spPr>
                </pic:pic>
              </a:graphicData>
            </a:graphic>
          </wp:inline>
        </w:drawing>
      </w:r>
    </w:p>
    <w:p>
      <w:pPr>
        <w:pStyle w:val="ImageCaption"/>
      </w:pPr>
      <w:r>
        <w:t xml:space="preserve">Figure 7.19: Example intake metadata form for Figshare repository</w:t>
      </w:r>
    </w:p>
    <w:p>
      <w:pPr>
        <w:pStyle w:val="BodyText"/>
      </w:pPr>
      <w:r>
        <w:t xml:space="preserve">The most common metadata elements</w:t>
      </w:r>
      <w:r>
        <w:rPr>
          <w:rStyle w:val="FootnoteReference"/>
        </w:rPr>
        <w:footnoteReference w:id="498"/>
      </w:r>
      <w:r>
        <w:t xml:space="preserve"> </w:t>
      </w:r>
      <w:r>
        <w:t xml:space="preserve">are included in Figure</w:t>
      </w:r>
      <w:r>
        <w:t xml:space="preserve"> </w:t>
      </w:r>
      <w:r>
        <w:t xml:space="preserve">7.20</w:t>
      </w:r>
      <w:r>
        <w:t xml:space="preserve">.</w:t>
      </w:r>
    </w:p>
    <w:p>
      <w:pPr>
        <w:pStyle w:val="CaptionedFigure"/>
      </w:pPr>
      <w:r>
        <w:drawing>
          <wp:inline>
            <wp:extent cx="5334000" cy="3177208"/>
            <wp:effectExtent b="0" l="0" r="0" t="0"/>
            <wp:docPr descr="Figure 7.20: Common metadata elements" title="" id="501" name="Picture"/>
            <a:graphic>
              <a:graphicData uri="http://schemas.openxmlformats.org/drawingml/2006/picture">
                <pic:pic>
                  <pic:nvPicPr>
                    <pic:cNvPr descr="img/metadata.PNG" id="502" name="Picture"/>
                    <pic:cNvPicPr>
                      <a:picLocks noChangeArrowheads="1" noChangeAspect="1"/>
                    </pic:cNvPicPr>
                  </pic:nvPicPr>
                  <pic:blipFill>
                    <a:blip r:embed="rId500"/>
                    <a:stretch>
                      <a:fillRect/>
                    </a:stretch>
                  </pic:blipFill>
                  <pic:spPr bwMode="auto">
                    <a:xfrm>
                      <a:off x="0" y="0"/>
                      <a:ext cx="5334000" cy="3177208"/>
                    </a:xfrm>
                    <a:prstGeom prst="rect">
                      <a:avLst/>
                    </a:prstGeom>
                    <a:noFill/>
                    <a:ln w="9525">
                      <a:noFill/>
                      <a:headEnd/>
                      <a:tailEnd/>
                    </a:ln>
                  </pic:spPr>
                </pic:pic>
              </a:graphicData>
            </a:graphic>
          </wp:inline>
        </w:drawing>
      </w:r>
    </w:p>
    <w:p>
      <w:pPr>
        <w:pStyle w:val="ImageCaption"/>
      </w:pPr>
      <w:r>
        <w:t xml:space="preserve">Figure 7.20: Common metadata elements</w:t>
      </w:r>
    </w:p>
    <w:p>
      <w:pPr>
        <w:pStyle w:val="BodyText"/>
      </w:pPr>
      <w:r>
        <w:t xml:space="preserve">Depending on the repository, at minimum, you will enter basic project-level metadata similar to above, but you may be required or have the option to enter more comprehensive information, such as project-level information covered in your research protocol. You may also have the option to enter additional levels of metadata that will help make each level more searchable, such as dataset-level or and variable-level metadata.</w:t>
      </w:r>
      <w:r>
        <w:rPr>
          <w:rStyle w:val="FootnoteReference"/>
        </w:rPr>
        <w:footnoteReference w:id="503"/>
      </w:r>
      <w:r>
        <w:t xml:space="preserve"> All of the information needed for this metadata can be gathered from the documents we’ve discussed earlier in this chapter.</w:t>
      </w:r>
    </w:p>
    <w:p>
      <w:pPr>
        <w:pStyle w:val="BodyText"/>
      </w:pPr>
      <w:r>
        <w:t xml:space="preserve">Once entered into the form, the repository converts entries into both human-readable and machine-readable, searchable formats such as XML</w:t>
      </w:r>
      <w:r>
        <w:rPr>
          <w:rStyle w:val="FootnoteReference"/>
        </w:rPr>
        <w:footnoteReference w:id="507"/>
      </w:r>
      <w:r>
        <w:t xml:space="preserve"> </w:t>
      </w:r>
      <w:r>
        <w:t xml:space="preserve">or JSON-LD. We can see what this metadata looks like to humans once it is submitted. Figure</w:t>
      </w:r>
      <w:r>
        <w:t xml:space="preserve"> </w:t>
      </w:r>
      <w:r>
        <w:t xml:space="preserve">7.21</w:t>
      </w:r>
      <w:r>
        <w:t xml:space="preserve"> </w:t>
      </w:r>
      <w:r>
        <w:t xml:space="preserve">an example of how ICPSR Open displays the metadata information on a project page.</w:t>
      </w:r>
      <w:r>
        <w:rPr>
          <w:rStyle w:val="FootnoteReference"/>
        </w:rPr>
        <w:footnoteReference w:id="508"/>
      </w:r>
      <w:r>
        <w:t xml:space="preserve"> Notice we even have the option to download the XML formatted metadata files in one of two</w:t>
      </w:r>
      <w:r>
        <w:t xml:space="preserve"> </w:t>
      </w:r>
      <w:hyperlink w:anchor="metastandards">
        <w:r>
          <w:rPr>
            <w:rStyle w:val="Hyperlink"/>
          </w:rPr>
          <w:t xml:space="preserve">standards</w:t>
        </w:r>
      </w:hyperlink>
      <w:r>
        <w:t xml:space="preserve"> </w:t>
      </w:r>
      <w:r>
        <w:t xml:space="preserve">if we want as well.</w:t>
      </w:r>
    </w:p>
    <w:p>
      <w:pPr>
        <w:pStyle w:val="CaptionedFigure"/>
      </w:pPr>
      <w:r>
        <w:drawing>
          <wp:inline>
            <wp:extent cx="5334000" cy="2750769"/>
            <wp:effectExtent b="0" l="0" r="0" t="0"/>
            <wp:docPr descr="Figure 7.21: Example metadata displayed on an ICPSR Open project page" title="" id="511" name="Picture"/>
            <a:graphic>
              <a:graphicData uri="http://schemas.openxmlformats.org/drawingml/2006/picture">
                <pic:pic>
                  <pic:nvPicPr>
                    <pic:cNvPr descr="img/metadata_project.PNG" id="512" name="Picture"/>
                    <pic:cNvPicPr>
                      <a:picLocks noChangeArrowheads="1" noChangeAspect="1"/>
                    </pic:cNvPicPr>
                  </pic:nvPicPr>
                  <pic:blipFill>
                    <a:blip r:embed="rId510"/>
                    <a:stretch>
                      <a:fillRect/>
                    </a:stretch>
                  </pic:blipFill>
                  <pic:spPr bwMode="auto">
                    <a:xfrm>
                      <a:off x="0" y="0"/>
                      <a:ext cx="5334000" cy="2750769"/>
                    </a:xfrm>
                    <a:prstGeom prst="rect">
                      <a:avLst/>
                    </a:prstGeom>
                    <a:noFill/>
                    <a:ln w="9525">
                      <a:noFill/>
                      <a:headEnd/>
                      <a:tailEnd/>
                    </a:ln>
                  </pic:spPr>
                </pic:pic>
              </a:graphicData>
            </a:graphic>
          </wp:inline>
        </w:drawing>
      </w:r>
    </w:p>
    <w:p>
      <w:pPr>
        <w:pStyle w:val="ImageCaption"/>
      </w:pPr>
      <w:r>
        <w:t xml:space="preserve">Figure 7.21: Example metadata displayed on an ICPSR Open project page</w:t>
      </w:r>
    </w:p>
    <w:p>
      <w:pPr>
        <w:pStyle w:val="BodyText"/>
      </w:pPr>
      <w:r>
        <w:t xml:space="preserve">There are other ways metadata can be gathered as well. For instance, for variable-level metadata, rather than having users input metadata, repositories may create metadata from the deposited statistical data files that contain inherent metadata (such as variable types or labels) or from deposited documentation such as data dictionaries or codebooks.</w:t>
      </w:r>
      <w:r>
        <w:rPr>
          <w:rStyle w:val="FootnoteReference"/>
        </w:rPr>
        <w:footnoteReference w:id="513"/>
      </w:r>
    </w:p>
    <w:p>
      <w:pPr>
        <w:pStyle w:val="BodyText"/>
      </w:pPr>
      <w:r>
        <w:t xml:space="preserve">If your repository provides limited forms for metadata entry, you can also choose to increase the searchability of your files by creating your own machine-readable documents. There are several tools to help users create machine-readable codebooks and data dictionaries that will be findable through search engines such as Google Dataset Search.</w:t>
      </w:r>
      <w:r>
        <w:rPr>
          <w:rStyle w:val="FootnoteReference"/>
        </w:rPr>
        <w:footnoteReference w:id="514"/>
      </w:r>
    </w:p>
    <w:bookmarkStart w:id="546" w:name="metastandards"/>
    <w:p>
      <w:pPr>
        <w:pStyle w:val="Heading3"/>
      </w:pPr>
      <w:r>
        <w:rPr>
          <w:rStyle w:val="SectionNumber"/>
        </w:rPr>
        <w:t xml:space="preserve">7.5.1</w:t>
      </w:r>
      <w:r>
        <w:tab/>
      </w:r>
      <w:r>
        <w:t xml:space="preserve">Standards</w:t>
      </w:r>
    </w:p>
    <w:p>
      <w:pPr>
        <w:pStyle w:val="FirstParagraph"/>
      </w:pPr>
      <w:r>
        <w:t xml:space="preserve">Metadata standards, typically field specific, establish common structuring and meaning of data and improve data interoperability in addition to increasing the ability of users to find and understand data.</w:t>
      </w:r>
      <w:r>
        <w:rPr>
          <w:rStyle w:val="FootnoteReference"/>
        </w:rPr>
        <w:footnoteReference w:id="518"/>
      </w:r>
      <w:r>
        <w:t xml:space="preserve"> Metadata standards can be applied in several ways.</w:t>
      </w:r>
      <w:r>
        <w:rPr>
          <w:rStyle w:val="FootnoteReference"/>
        </w:rPr>
        <w:footnoteReference w:id="519"/>
      </w:r>
    </w:p>
    <w:p>
      <w:pPr>
        <w:numPr>
          <w:ilvl w:val="0"/>
          <w:numId w:val="1080"/>
        </w:numPr>
        <w:pStyle w:val="Compact"/>
      </w:pPr>
      <w:r>
        <w:t xml:space="preserve">Formats: What machine-readable format should metadata be in?</w:t>
      </w:r>
      <w:r>
        <w:br/>
      </w:r>
    </w:p>
    <w:p>
      <w:pPr>
        <w:numPr>
          <w:ilvl w:val="0"/>
          <w:numId w:val="1080"/>
        </w:numPr>
        <w:pStyle w:val="Compact"/>
      </w:pPr>
      <w:r>
        <w:t xml:space="preserve">Schema: What fields are recommended verses mandatory for project, dataset and variable level metadata?</w:t>
      </w:r>
    </w:p>
    <w:p>
      <w:pPr>
        <w:numPr>
          <w:ilvl w:val="0"/>
          <w:numId w:val="1080"/>
        </w:numPr>
        <w:pStyle w:val="Compact"/>
      </w:pPr>
      <w:r>
        <w:t xml:space="preserve">Controlled vocabularies: A controlled list of terms used to index and retrieve data.</w:t>
      </w:r>
    </w:p>
    <w:p>
      <w:pPr>
        <w:pStyle w:val="FirstParagraph"/>
      </w:pPr>
      <w:r>
        <w:t xml:space="preserve">Many fields have chosen metadata standards to adhere to. Some fields, like psychology,</w:t>
      </w:r>
      <w:r>
        <w:rPr>
          <w:rStyle w:val="FootnoteReference"/>
        </w:rPr>
        <w:footnoteReference w:id="522"/>
      </w:r>
      <w:r>
        <w:t xml:space="preserve"> are developing their own metadata standards, including formats, schemas, and vocabularies grounded in the FAIR principles and the Schema.org schema.</w:t>
      </w:r>
      <w:r>
        <w:rPr>
          <w:rStyle w:val="FootnoteReference"/>
        </w:rPr>
        <w:footnoteReference w:id="523"/>
      </w:r>
      <w:r>
        <w:t xml:space="preserve"> Yet, the Institute of Education Sciences recognizes that there are currently no agreed upon standards in the field of education.</w:t>
      </w:r>
      <w:r>
        <w:rPr>
          <w:rStyle w:val="FootnoteReference"/>
        </w:rPr>
        <w:footnoteReference w:id="525"/>
      </w:r>
    </w:p>
    <w:p>
      <w:pPr>
        <w:pStyle w:val="CaptionedFigure"/>
      </w:pPr>
      <w:r>
        <w:drawing>
          <wp:inline>
            <wp:extent cx="5334000" cy="3192834"/>
            <wp:effectExtent b="0" l="0" r="0" t="0"/>
            <wp:docPr descr="Figure 7.22: A sampling of field metadata standards" title="" id="527" name="Picture"/>
            <a:graphic>
              <a:graphicData uri="http://schemas.openxmlformats.org/drawingml/2006/picture">
                <pic:pic>
                  <pic:nvPicPr>
                    <pic:cNvPr descr="img/metadata_standards.PNG" id="528" name="Picture"/>
                    <pic:cNvPicPr>
                      <a:picLocks noChangeArrowheads="1" noChangeAspect="1"/>
                    </pic:cNvPicPr>
                  </pic:nvPicPr>
                  <pic:blipFill>
                    <a:blip r:embed="rId526"/>
                    <a:stretch>
                      <a:fillRect/>
                    </a:stretch>
                  </pic:blipFill>
                  <pic:spPr bwMode="auto">
                    <a:xfrm>
                      <a:off x="0" y="0"/>
                      <a:ext cx="5334000" cy="3192834"/>
                    </a:xfrm>
                    <a:prstGeom prst="rect">
                      <a:avLst/>
                    </a:prstGeom>
                    <a:noFill/>
                    <a:ln w="9525">
                      <a:noFill/>
                      <a:headEnd/>
                      <a:tailEnd/>
                    </a:ln>
                  </pic:spPr>
                </pic:pic>
              </a:graphicData>
            </a:graphic>
          </wp:inline>
        </w:drawing>
      </w:r>
    </w:p>
    <w:p>
      <w:pPr>
        <w:pStyle w:val="ImageCaption"/>
      </w:pPr>
      <w:r>
        <w:t xml:space="preserve">Figure 7.22: A sampling of field metadata standards</w:t>
      </w:r>
    </w:p>
    <w:p>
      <w:pPr>
        <w:pStyle w:val="BodyText"/>
      </w:pPr>
      <w:r>
        <w:t xml:space="preserve">It can be helpful to see how standards differ as well as overlap. The DDI Alliance put together this table in Figure</w:t>
      </w:r>
      <w:r>
        <w:t xml:space="preserve"> </w:t>
      </w:r>
      <w:r>
        <w:t xml:space="preserve">7.23</w:t>
      </w:r>
      <w:r>
        <w:t xml:space="preserve"> </w:t>
      </w:r>
      <w:r>
        <w:t xml:space="preserve">for instance, mapping the DDI Elements (and vocabularies) to the Dublin Core,</w:t>
      </w:r>
      <w:r>
        <w:rPr>
          <w:rStyle w:val="FootnoteReference"/>
        </w:rPr>
        <w:footnoteReference w:id="529"/>
      </w:r>
      <w:r>
        <w:t xml:space="preserve"> two commonly used standards.</w:t>
      </w:r>
    </w:p>
    <w:p>
      <w:pPr>
        <w:pStyle w:val="CaptionedFigure"/>
      </w:pPr>
      <w:r>
        <w:drawing>
          <wp:inline>
            <wp:extent cx="5334000" cy="4612768"/>
            <wp:effectExtent b="0" l="0" r="0" t="0"/>
            <wp:docPr descr="Figure 7.23: A comparison of DDI Version 2 standards to Dublin Core standards" title="" id="532" name="Picture"/>
            <a:graphic>
              <a:graphicData uri="http://schemas.openxmlformats.org/drawingml/2006/picture">
                <pic:pic>
                  <pic:nvPicPr>
                    <pic:cNvPr descr="img/metadata_mapping.PNG" id="533" name="Picture"/>
                    <pic:cNvPicPr>
                      <a:picLocks noChangeArrowheads="1" noChangeAspect="1"/>
                    </pic:cNvPicPr>
                  </pic:nvPicPr>
                  <pic:blipFill>
                    <a:blip r:embed="rId531"/>
                    <a:stretch>
                      <a:fillRect/>
                    </a:stretch>
                  </pic:blipFill>
                  <pic:spPr bwMode="auto">
                    <a:xfrm>
                      <a:off x="0" y="0"/>
                      <a:ext cx="5334000" cy="4612768"/>
                    </a:xfrm>
                    <a:prstGeom prst="rect">
                      <a:avLst/>
                    </a:prstGeom>
                    <a:noFill/>
                    <a:ln w="9525">
                      <a:noFill/>
                      <a:headEnd/>
                      <a:tailEnd/>
                    </a:ln>
                  </pic:spPr>
                </pic:pic>
              </a:graphicData>
            </a:graphic>
          </wp:inline>
        </w:drawing>
      </w:r>
    </w:p>
    <w:p>
      <w:pPr>
        <w:pStyle w:val="ImageCaption"/>
      </w:pPr>
      <w:r>
        <w:t xml:space="preserve">Figure 7.23: A comparison of DDI Version 2 standards to Dublin Core standards</w:t>
      </w:r>
    </w:p>
    <w:p>
      <w:pPr>
        <w:pStyle w:val="BodyText"/>
      </w:pPr>
      <w:r>
        <w:t xml:space="preserve">We can see what this metadata comparison actually looks like if we download the Dublin Core and the DDI 2.5 XML format metadata files from the ICPSR Open project we saw above.</w:t>
      </w:r>
      <w:r>
        <w:rPr>
          <w:rStyle w:val="FootnoteReference"/>
        </w:rPr>
        <w:footnoteReference w:id="534"/>
      </w:r>
      <w:r>
        <w:t xml:space="preserve"> You can start to see the differences and similarities across standards.</w:t>
      </w:r>
    </w:p>
    <w:p>
      <w:pPr>
        <w:pStyle w:val="CaptionedFigure"/>
      </w:pPr>
      <w:r>
        <w:drawing>
          <wp:inline>
            <wp:extent cx="5334000" cy="2101128"/>
            <wp:effectExtent b="0" l="0" r="0" t="0"/>
            <wp:docPr descr="Figure 7.24: Metadata comparison from an AERA Open project" title="" id="536" name="Picture"/>
            <a:graphic>
              <a:graphicData uri="http://schemas.openxmlformats.org/drawingml/2006/picture">
                <pic:pic>
                  <pic:nvPicPr>
                    <pic:cNvPr descr="img/standard_compare.PNG" id="537" name="Picture"/>
                    <pic:cNvPicPr>
                      <a:picLocks noChangeArrowheads="1" noChangeAspect="1"/>
                    </pic:cNvPicPr>
                  </pic:nvPicPr>
                  <pic:blipFill>
                    <a:blip r:embed="rId535"/>
                    <a:stretch>
                      <a:fillRect/>
                    </a:stretch>
                  </pic:blipFill>
                  <pic:spPr bwMode="auto">
                    <a:xfrm>
                      <a:off x="0" y="0"/>
                      <a:ext cx="5334000" cy="2101128"/>
                    </a:xfrm>
                    <a:prstGeom prst="rect">
                      <a:avLst/>
                    </a:prstGeom>
                    <a:noFill/>
                    <a:ln w="9525">
                      <a:noFill/>
                      <a:headEnd/>
                      <a:tailEnd/>
                    </a:ln>
                  </pic:spPr>
                </pic:pic>
              </a:graphicData>
            </a:graphic>
          </wp:inline>
        </w:drawing>
      </w:r>
    </w:p>
    <w:p>
      <w:pPr>
        <w:pStyle w:val="ImageCaption"/>
      </w:pPr>
      <w:r>
        <w:t xml:space="preserve">Figure 7.24: Metadata comparison from an AERA Open project</w:t>
      </w:r>
    </w:p>
    <w:p>
      <w:pPr>
        <w:pStyle w:val="BodyText"/>
      </w:pPr>
      <w:r>
        <w:t xml:space="preserve">If you plan to archive your data, first check with your repository to see if they follow any standards. For example, the repository Dryad uses a combination of Dublin and Darwin Core,</w:t>
      </w:r>
      <w:r>
        <w:rPr>
          <w:rStyle w:val="FootnoteReference"/>
        </w:rPr>
        <w:footnoteReference w:id="538"/>
      </w:r>
      <w:r>
        <w:t xml:space="preserve"> Figshare also uses a combination of schemas including Schema.Org, Dublin Core, and DataCite</w:t>
      </w:r>
      <w:r>
        <w:rPr>
          <w:rStyle w:val="FootnoteReference"/>
        </w:rPr>
        <w:footnoteReference w:id="540"/>
      </w:r>
      <w:r>
        <w:t xml:space="preserve">, OSF currently uses the DataCite schema</w:t>
      </w:r>
      <w:r>
        <w:rPr>
          <w:rStyle w:val="FootnoteReference"/>
        </w:rPr>
        <w:footnoteReference w:id="542"/>
      </w:r>
      <w:r>
        <w:t xml:space="preserve">, while ICPSR uses the DDI standard</w:t>
      </w:r>
      <w:r>
        <w:rPr>
          <w:rStyle w:val="FootnoteReference"/>
        </w:rPr>
        <w:footnoteReference w:id="544"/>
      </w:r>
      <w:r>
        <w:t xml:space="preserve">. If the repository does use certain standards, work with them to ensure your metadata adheres to those standards. Some repositories may even provide curation support free or for a fee. But as I mentioned earlier, depending on your repository, adding metadata to your project may require no additional work on your part. The repository may simply have you enter information into a form and convert all information for you.</w:t>
      </w:r>
    </w:p>
    <w:p>
      <w:pPr>
        <w:pStyle w:val="BodyText"/>
      </w:pPr>
      <w:r>
        <w:t xml:space="preserve">If no standards are provided by your repository and you plan to create your own metadata, you can choose any standard that works for you. Oftentimes researchers may choose to pick a more general standard such as DataCite or Dublin Core,</w:t>
      </w:r>
      <w:r>
        <w:rPr>
          <w:rStyle w:val="FootnoteReference"/>
        </w:rPr>
        <w:footnoteReference w:id="545"/>
      </w:r>
      <w:r>
        <w:t xml:space="preserve"> and in the field of education, most researchers are at least familiar with the DDI standard so that is another good option. Remember, if you do choose to adhere to a standard, this decision should be documented in your data management plan.</w:t>
      </w:r>
    </w:p>
    <w:bookmarkEnd w:id="546"/>
    <w:bookmarkEnd w:id="547"/>
    <w:bookmarkStart w:id="548" w:name="wrapping-it-up"/>
    <w:p>
      <w:pPr>
        <w:pStyle w:val="Heading2"/>
      </w:pPr>
      <w:r>
        <w:rPr>
          <w:rStyle w:val="SectionNumber"/>
        </w:rPr>
        <w:t xml:space="preserve">7.6</w:t>
      </w:r>
      <w:r>
        <w:tab/>
      </w:r>
      <w:r>
        <w:t xml:space="preserve">Wrapping it up</w:t>
      </w:r>
    </w:p>
    <w:p>
      <w:pPr>
        <w:pStyle w:val="FirstParagraph"/>
      </w:pPr>
      <w:r>
        <w:t xml:space="preserve">At this point your head might be spinning from the amount of documents we’ve covered. It’s important to understand that while each document discussed provides a unique and meaningful purpose, you don’t have to create every document listed. In data management we walk a fine line between creating sufficient documentation, and spending all of our working hours perfecting and documenting every detail of our project. Choose the documents that help you record and structure your processes in the best way for your project while also giving yourself grace to stop when the documents are</w:t>
      </w:r>
      <w:r>
        <w:t xml:space="preserve"> </w:t>
      </w:r>
      <w:r>
        <w:t xml:space="preserve">“</w:t>
      </w:r>
      <w:r>
        <w:t xml:space="preserve">good-enough</w:t>
      </w:r>
      <w:r>
        <w:t xml:space="preserve">”</w:t>
      </w:r>
      <w:r>
        <w:t xml:space="preserve">. Each document you create that is well organized and well maintained will improve your data management workflow, decrease errors, and enhance your understanding of your data.</w:t>
      </w:r>
    </w:p>
    <w:bookmarkEnd w:id="548"/>
    <w:bookmarkEnd w:id="549"/>
    <w:bookmarkStart w:id="589" w:name="style"/>
    <w:p>
      <w:pPr>
        <w:pStyle w:val="Heading1"/>
      </w:pPr>
      <w:r>
        <w:rPr>
          <w:rStyle w:val="SectionNumber"/>
        </w:rPr>
        <w:t xml:space="preserve">8</w:t>
      </w:r>
      <w:r>
        <w:tab/>
      </w:r>
      <w:r>
        <w:t xml:space="preserve">Style guide</w:t>
      </w:r>
    </w:p>
    <w:p>
      <w:pPr>
        <w:pStyle w:val="CaptionedFigure"/>
      </w:pPr>
      <w:r>
        <w:drawing>
          <wp:inline>
            <wp:extent cx="5334000" cy="2967945"/>
            <wp:effectExtent b="0" l="0" r="0" t="0"/>
            <wp:docPr descr="Figure 8.1: Style guide in the research project life cycle" title="" id="551" name="Picture"/>
            <a:graphic>
              <a:graphicData uri="http://schemas.openxmlformats.org/drawingml/2006/picture">
                <pic:pic>
                  <pic:nvPicPr>
                    <pic:cNvPr descr="img/lifecycle_team_doc.PNG" id="552" name="Picture"/>
                    <pic:cNvPicPr>
                      <a:picLocks noChangeArrowheads="1" noChangeAspect="1"/>
                    </pic:cNvPicPr>
                  </pic:nvPicPr>
                  <pic:blipFill>
                    <a:blip r:embed="rId550"/>
                    <a:stretch>
                      <a:fillRect/>
                    </a:stretch>
                  </pic:blipFill>
                  <pic:spPr bwMode="auto">
                    <a:xfrm>
                      <a:off x="0" y="0"/>
                      <a:ext cx="5334000" cy="2967945"/>
                    </a:xfrm>
                    <a:prstGeom prst="rect">
                      <a:avLst/>
                    </a:prstGeom>
                    <a:noFill/>
                    <a:ln w="9525">
                      <a:noFill/>
                      <a:headEnd/>
                      <a:tailEnd/>
                    </a:ln>
                  </pic:spPr>
                </pic:pic>
              </a:graphicData>
            </a:graphic>
          </wp:inline>
        </w:drawing>
      </w:r>
    </w:p>
    <w:p>
      <w:pPr>
        <w:pStyle w:val="ImageCaption"/>
      </w:pPr>
      <w:r>
        <w:t xml:space="preserve">Figure 8.1: Style guide in the research project life cycle</w:t>
      </w:r>
    </w:p>
    <w:p>
      <w:pPr>
        <w:pStyle w:val="BodyText"/>
      </w:pPr>
      <w:r>
        <w:t xml:space="preserve">A style guide provides general agreed upon rules for the formatting of information</w:t>
      </w:r>
      <w:r>
        <w:rPr>
          <w:rStyle w:val="FootnoteReference"/>
        </w:rPr>
        <w:footnoteReference w:id="553"/>
      </w:r>
      <w:r>
        <w:t xml:space="preserve">. As mentioned in the previous</w:t>
      </w:r>
      <w:r>
        <w:t xml:space="preserve"> </w:t>
      </w:r>
      <w:hyperlink w:anchor="styleshort">
        <w:r>
          <w:rPr>
            <w:rStyle w:val="Hyperlink"/>
          </w:rPr>
          <w:t xml:space="preserve">chapter</w:t>
        </w:r>
      </w:hyperlink>
      <w:r>
        <w:t xml:space="preserve">, style guides can be created to standardize procedures such as variable naming, variable value coding, file naming, file versioning, file structure, and even coding practices.</w:t>
      </w:r>
    </w:p>
    <w:p>
      <w:pPr>
        <w:pStyle w:val="BodyText"/>
      </w:pPr>
      <w:r>
        <w:t xml:space="preserve">The benefits for creating style guides and using them consistently include:</w:t>
      </w:r>
    </w:p>
    <w:p>
      <w:pPr>
        <w:numPr>
          <w:ilvl w:val="0"/>
          <w:numId w:val="1081"/>
        </w:numPr>
        <w:pStyle w:val="Compact"/>
      </w:pPr>
      <w:r>
        <w:t xml:space="preserve">Creating standardization (within and across projects)</w:t>
      </w:r>
    </w:p>
    <w:p>
      <w:pPr>
        <w:numPr>
          <w:ilvl w:val="0"/>
          <w:numId w:val="1081"/>
        </w:numPr>
        <w:pStyle w:val="Compact"/>
      </w:pPr>
      <w:r>
        <w:t xml:space="preserve">Improving interpretation: Consistent and clear structure, naming, and coding allows your files and variables to be findable and understandable to humans and computers.</w:t>
      </w:r>
    </w:p>
    <w:p>
      <w:pPr>
        <w:numPr>
          <w:ilvl w:val="0"/>
          <w:numId w:val="1081"/>
        </w:numPr>
        <w:pStyle w:val="Compact"/>
      </w:pPr>
      <w:r>
        <w:t xml:space="preserve">Increasing reproducibility: If the organization of your file paths, file naming, or variable naming constantly change it undermines the reproducibility of any data management or analysis code you have written.</w:t>
      </w:r>
    </w:p>
    <w:p>
      <w:pPr>
        <w:pStyle w:val="FirstParagraph"/>
      </w:pPr>
      <w:r>
        <w:t xml:space="preserve">Style guides can be created for individual projects, but they can also be created at the team level, to be applied across all projects. Most importantly, they should be created before a project kicks off so you can implement them as soon as your project begins. If you do not have a team-wide style guide already created, you most likely will want to create a project-level style guide during your planning phase so that you can begin setting up your directory structures and file naming standards before you start creating and saving project-related files.</w:t>
      </w:r>
    </w:p>
    <w:p>
      <w:pPr>
        <w:pStyle w:val="BodyText"/>
      </w:pPr>
      <w:r>
        <w:t xml:space="preserve">Style guides can be housed in one large document, with a table of contents used to reference each section, or they can be created as separate documents. Either way, style guides should be stored in a central location that is easily accessible to all team members (such as a team or project</w:t>
      </w:r>
      <w:r>
        <w:t xml:space="preserve"> </w:t>
      </w:r>
      <w:hyperlink w:anchor="wiki">
        <w:r>
          <w:rPr>
            <w:rStyle w:val="Hyperlink"/>
          </w:rPr>
          <w:t xml:space="preserve">wiki</w:t>
        </w:r>
      </w:hyperlink>
      <w:r>
        <w:t xml:space="preserve">), and all team members should be trained, and periodically retrained, on the style guide to ensure adherence to the rules. If all team members are not consistently implementing the style guide, then the benefits of the guide are lost.</w:t>
      </w:r>
    </w:p>
    <w:p>
      <w:pPr>
        <w:pStyle w:val="BodyText"/>
      </w:pPr>
      <w:r>
        <w:t xml:space="preserve">For the remainder of this chapter, we will spend time reviewing some good practices for rules to add to your style guides for the following purposes:</w:t>
      </w:r>
    </w:p>
    <w:p>
      <w:pPr>
        <w:numPr>
          <w:ilvl w:val="0"/>
          <w:numId w:val="1082"/>
        </w:numPr>
        <w:pStyle w:val="Compact"/>
      </w:pPr>
      <w:r>
        <w:t xml:space="preserve">Structuring directories</w:t>
      </w:r>
    </w:p>
    <w:p>
      <w:pPr>
        <w:numPr>
          <w:ilvl w:val="0"/>
          <w:numId w:val="1082"/>
        </w:numPr>
        <w:pStyle w:val="Compact"/>
      </w:pPr>
      <w:r>
        <w:t xml:space="preserve">Naming files</w:t>
      </w:r>
    </w:p>
    <w:p>
      <w:pPr>
        <w:numPr>
          <w:ilvl w:val="0"/>
          <w:numId w:val="1082"/>
        </w:numPr>
        <w:pStyle w:val="Compact"/>
      </w:pPr>
      <w:r>
        <w:t xml:space="preserve">Naming variables</w:t>
      </w:r>
    </w:p>
    <w:p>
      <w:pPr>
        <w:numPr>
          <w:ilvl w:val="0"/>
          <w:numId w:val="1082"/>
        </w:numPr>
        <w:pStyle w:val="Compact"/>
      </w:pPr>
      <w:r>
        <w:t xml:space="preserve">Assigning variable values</w:t>
      </w:r>
    </w:p>
    <w:p>
      <w:pPr>
        <w:numPr>
          <w:ilvl w:val="0"/>
          <w:numId w:val="1082"/>
        </w:numPr>
        <w:pStyle w:val="Compact"/>
      </w:pPr>
      <w:r>
        <w:t xml:space="preserve">Styling your syntax files</w:t>
      </w:r>
    </w:p>
    <w:p>
      <w:pPr>
        <w:pStyle w:val="FirstParagraph"/>
      </w:pPr>
      <w:r>
        <w:t xml:space="preserve">While some best practices will be provided below, ultimately the rules you choose to add to each style guide should be chosen based on which practices work best for your projects and your team. Whatever rules you settle on, write them in a style guide so that everyone is following the same rules within and across projects.</w:t>
      </w:r>
    </w:p>
    <w:bookmarkStart w:id="554" w:name="general-good-practices"/>
    <w:p>
      <w:pPr>
        <w:pStyle w:val="Heading2"/>
      </w:pPr>
      <w:r>
        <w:rPr>
          <w:rStyle w:val="SectionNumber"/>
        </w:rPr>
        <w:t xml:space="preserve">8.1</w:t>
      </w:r>
      <w:r>
        <w:tab/>
      </w:r>
      <w:r>
        <w:t xml:space="preserve">General good practices</w:t>
      </w:r>
    </w:p>
    <w:p>
      <w:pPr>
        <w:pStyle w:val="FirstParagraph"/>
      </w:pPr>
      <w:r>
        <w:t xml:space="preserve">Before we dive in to particular types of style guides, there are a few things to understand about how computers read names in order to understand the</w:t>
      </w:r>
      <w:r>
        <w:t xml:space="preserve"> </w:t>
      </w:r>
      <w:r>
        <w:t xml:space="preserve">“</w:t>
      </w:r>
      <w:r>
        <w:t xml:space="preserve">why</w:t>
      </w:r>
      <w:r>
        <w:t xml:space="preserve">”</w:t>
      </w:r>
      <w:r>
        <w:t xml:space="preserve"> </w:t>
      </w:r>
      <w:r>
        <w:t xml:space="preserve">behind some of these practices.</w:t>
      </w:r>
    </w:p>
    <w:p>
      <w:pPr>
        <w:numPr>
          <w:ilvl w:val="0"/>
          <w:numId w:val="1083"/>
        </w:numPr>
        <w:pStyle w:val="Compact"/>
      </w:pPr>
      <w:r>
        <w:t xml:space="preserve">Avoid spaces.</w:t>
      </w:r>
    </w:p>
    <w:p>
      <w:pPr>
        <w:numPr>
          <w:ilvl w:val="1"/>
          <w:numId w:val="1084"/>
        </w:numPr>
        <w:pStyle w:val="Compact"/>
      </w:pPr>
      <w:r>
        <w:t xml:space="preserve">While some applications (like Windows) recognize spaces, command line operations and some operating systems still do not support them so it is best to avoid them all together. Furthermore, they can often break a URL when shared</w:t>
      </w:r>
    </w:p>
    <w:p>
      <w:pPr>
        <w:numPr>
          <w:ilvl w:val="1"/>
          <w:numId w:val="1084"/>
        </w:numPr>
        <w:pStyle w:val="Compact"/>
      </w:pPr>
      <w:r>
        <w:t xml:space="preserve">The underscore</w:t>
      </w:r>
      <w:r>
        <w:t xml:space="preserve"> </w:t>
      </w:r>
      <w:r>
        <w:rPr>
          <w:rStyle w:val="VerbatimChar"/>
        </w:rPr>
        <w:t xml:space="preserve">_</w:t>
      </w:r>
      <w:r>
        <w:t xml:space="preserve"> </w:t>
      </w:r>
      <w:r>
        <w:t xml:space="preserve">and hyphen</w:t>
      </w:r>
      <w:r>
        <w:t xml:space="preserve"> </w:t>
      </w:r>
      <w:r>
        <w:rPr>
          <w:rStyle w:val="VerbatimChar"/>
        </w:rPr>
        <w:t xml:space="preserve">-</w:t>
      </w:r>
      <w:r>
        <w:t xml:space="preserve"> </w:t>
      </w:r>
      <w:r>
        <w:t xml:space="preserve">are good delimiters to use in place of spaces</w:t>
      </w:r>
    </w:p>
    <w:p>
      <w:pPr>
        <w:numPr>
          <w:ilvl w:val="2"/>
          <w:numId w:val="1085"/>
        </w:numPr>
        <w:pStyle w:val="Compact"/>
      </w:pPr>
      <w:r>
        <w:t xml:space="preserve">It is worth noting that</w:t>
      </w:r>
      <w:r>
        <w:t xml:space="preserve"> </w:t>
      </w:r>
      <w:r>
        <w:rPr>
          <w:rStyle w:val="VerbatimChar"/>
        </w:rPr>
        <w:t xml:space="preserve">_</w:t>
      </w:r>
      <w:r>
        <w:t xml:space="preserve"> </w:t>
      </w:r>
      <w:r>
        <w:t xml:space="preserve">can be difficult to read when file paths are shared in links that are underlined to denote that the path is clickable (for example when sharing a SharePoint link to a document)</w:t>
      </w:r>
    </w:p>
    <w:p>
      <w:pPr>
        <w:numPr>
          <w:ilvl w:val="0"/>
          <w:numId w:val="1083"/>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avoid special characters</w:t>
      </w:r>
    </w:p>
    <w:p>
      <w:pPr>
        <w:numPr>
          <w:ilvl w:val="1"/>
          <w:numId w:val="1086"/>
        </w:numPr>
        <w:pStyle w:val="Compact"/>
      </w:pPr>
      <w:r>
        <w:t xml:space="preserve">Examples include but are not limited to</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&amp;</w:t>
      </w:r>
      <w:r>
        <w:t xml:space="preserve">,</w:t>
      </w:r>
      <w:r>
        <w:t xml:space="preserve"> </w:t>
      </w:r>
      <w:r>
        <w:rPr>
          <w:rStyle w:val="VerbatimChar"/>
        </w:rPr>
        <w:t xml:space="preserve">"</w:t>
      </w:r>
    </w:p>
    <w:p>
      <w:pPr>
        <w:numPr>
          <w:ilvl w:val="1"/>
          <w:numId w:val="1086"/>
        </w:numPr>
        <w:pStyle w:val="Compact"/>
      </w:pPr>
      <w:r>
        <w:t xml:space="preserve">Computers assign specific meaning to many of these special characters</w:t>
      </w:r>
    </w:p>
    <w:p>
      <w:pPr>
        <w:numPr>
          <w:ilvl w:val="0"/>
          <w:numId w:val="1083"/>
        </w:numPr>
        <w:pStyle w:val="Compact"/>
      </w:pPr>
      <w:r>
        <w:t xml:space="preserve">There are several existing naming conventions that you can choose to add to your style guide. Different naming conventions may work better for different purposes. Using these conventions help you to be consistent with both delimeters and capitalization which not only makes your names more human-readable but also allows your computer to read and search names easier.</w:t>
      </w:r>
    </w:p>
    <w:p>
      <w:pPr>
        <w:numPr>
          <w:ilvl w:val="1"/>
          <w:numId w:val="1087"/>
        </w:numPr>
        <w:pStyle w:val="Compact"/>
      </w:pPr>
      <w:r>
        <w:t xml:space="preserve">Pascal case (ScaleSum)</w:t>
      </w:r>
    </w:p>
    <w:p>
      <w:pPr>
        <w:numPr>
          <w:ilvl w:val="1"/>
          <w:numId w:val="1087"/>
        </w:numPr>
        <w:pStyle w:val="Compact"/>
      </w:pPr>
      <w:r>
        <w:t xml:space="preserve">Snake case (scale_sum)</w:t>
      </w:r>
    </w:p>
    <w:p>
      <w:pPr>
        <w:numPr>
          <w:ilvl w:val="1"/>
          <w:numId w:val="1087"/>
        </w:numPr>
        <w:pStyle w:val="Compact"/>
      </w:pPr>
      <w:r>
        <w:t xml:space="preserve">Camel case (scaleSum)</w:t>
      </w:r>
    </w:p>
    <w:p>
      <w:pPr>
        <w:numPr>
          <w:ilvl w:val="1"/>
          <w:numId w:val="1087"/>
        </w:numPr>
        <w:pStyle w:val="Compact"/>
      </w:pPr>
      <w:r>
        <w:t xml:space="preserve">Kebab case (scale-sum)</w:t>
      </w:r>
    </w:p>
    <w:p>
      <w:pPr>
        <w:numPr>
          <w:ilvl w:val="1"/>
          <w:numId w:val="1087"/>
        </w:numPr>
        <w:pStyle w:val="Compact"/>
      </w:pPr>
      <w:r>
        <w:t xml:space="preserve">Train case (Scale-Sum)</w:t>
      </w:r>
    </w:p>
    <w:p>
      <w:pPr>
        <w:numPr>
          <w:ilvl w:val="0"/>
          <w:numId w:val="1083"/>
        </w:numPr>
        <w:pStyle w:val="Compact"/>
      </w:pPr>
      <w:r>
        <w:t xml:space="preserve">Character length matters. Computers are unable to read names that surpass a certain character length. This applies to file paths, file names, and variable names. Considerations for each type of limit are reviewed below.</w:t>
      </w:r>
    </w:p>
    <w:bookmarkEnd w:id="554"/>
    <w:bookmarkStart w:id="562" w:name="directory-structure"/>
    <w:p>
      <w:pPr>
        <w:pStyle w:val="Heading2"/>
      </w:pPr>
      <w:r>
        <w:rPr>
          <w:rStyle w:val="SectionNumber"/>
        </w:rPr>
        <w:t xml:space="preserve">8.2</w:t>
      </w:r>
      <w:r>
        <w:tab/>
      </w:r>
      <w:r>
        <w:t xml:space="preserve">Directory structure</w:t>
      </w:r>
    </w:p>
    <w:p>
      <w:pPr>
        <w:pStyle w:val="FirstParagraph"/>
      </w:pPr>
      <w:r>
        <w:t xml:space="preserve">When deciding how to structure your project directories (the organization of your operating systems folders and files), there are several things you want to consider.</w:t>
      </w:r>
    </w:p>
    <w:p>
      <w:pPr>
        <w:pStyle w:val="BodyText"/>
      </w:pPr>
      <w:r>
        <w:rPr>
          <w:bCs/>
          <w:b/>
        </w:rPr>
        <w:t xml:space="preserve">When structuring your folders:</w:t>
      </w:r>
    </w:p>
    <w:p>
      <w:pPr>
        <w:numPr>
          <w:ilvl w:val="0"/>
          <w:numId w:val="1088"/>
        </w:numPr>
        <w:pStyle w:val="Compact"/>
      </w:pPr>
      <w:r>
        <w:t xml:space="preserve">First, consider organizing your directory into a hierarchical folder structure to clearly delineate segments of your projects and improve searchability</w:t>
      </w:r>
    </w:p>
    <w:p>
      <w:pPr>
        <w:numPr>
          <w:ilvl w:val="1"/>
          <w:numId w:val="1089"/>
        </w:numPr>
        <w:pStyle w:val="Compact"/>
      </w:pPr>
      <w:r>
        <w:t xml:space="preserve">The alternative to using a folder structure is using metadata and tagging to organize and search for files</w:t>
      </w:r>
      <w:r>
        <w:rPr>
          <w:rStyle w:val="FootnoteReference"/>
        </w:rPr>
        <w:footnoteReference w:id="555"/>
      </w:r>
    </w:p>
    <w:p>
      <w:pPr>
        <w:numPr>
          <w:ilvl w:val="0"/>
          <w:numId w:val="1088"/>
        </w:numPr>
        <w:pStyle w:val="Compact"/>
      </w:pPr>
      <w:r>
        <w:t xml:space="preserve">When creating your folder structure, strike a balance between a deep and shallow structure</w:t>
      </w:r>
    </w:p>
    <w:p>
      <w:pPr>
        <w:numPr>
          <w:ilvl w:val="1"/>
          <w:numId w:val="1090"/>
        </w:numPr>
        <w:pStyle w:val="Compact"/>
      </w:pPr>
      <w:r>
        <w:t xml:space="preserve">Too shallow leads to too many files in one folder which is difficult to sort through</w:t>
      </w:r>
    </w:p>
    <w:p>
      <w:pPr>
        <w:numPr>
          <w:ilvl w:val="1"/>
          <w:numId w:val="1090"/>
        </w:numPr>
        <w:pStyle w:val="Compact"/>
      </w:pPr>
      <w:r>
        <w:t xml:space="preserve">Too deep leads to too many clicks to get to one file, plus file paths can max out with too many characters. A file path includes the full length of both folders and file names</w:t>
      </w:r>
    </w:p>
    <w:p>
      <w:pPr>
        <w:numPr>
          <w:ilvl w:val="2"/>
          <w:numId w:val="1091"/>
        </w:numPr>
        <w:pStyle w:val="Compact"/>
      </w:pPr>
      <w:r>
        <w:t xml:space="preserve">An example file path with 69 characters</w:t>
      </w:r>
      <w:r>
        <w:t xml:space="preserve"> </w:t>
      </w:r>
      <w:r>
        <w:rPr>
          <w:rStyle w:val="VerbatimChar"/>
        </w:rPr>
        <w:t xml:space="preserve">W:\team\project\data\wave1\student\survey\projecta-w1-stu-svy-raw.csv</w:t>
      </w:r>
    </w:p>
    <w:p>
      <w:pPr>
        <w:numPr>
          <w:ilvl w:val="1"/>
          <w:numId w:val="1090"/>
        </w:numPr>
        <w:pStyle w:val="Compact"/>
      </w:pPr>
      <w:r>
        <w:t xml:space="preserve">Examples of file path limits:</w:t>
      </w:r>
    </w:p>
    <w:p>
      <w:pPr>
        <w:numPr>
          <w:ilvl w:val="2"/>
          <w:numId w:val="1092"/>
        </w:numPr>
        <w:pStyle w:val="Compact"/>
      </w:pPr>
      <w:r>
        <w:t xml:space="preserve">SharePoint/OneDrive path limit is 400 characters</w:t>
      </w:r>
      <w:r>
        <w:rPr>
          <w:rStyle w:val="FootnoteReference"/>
        </w:rPr>
        <w:footnoteReference w:id="558"/>
      </w:r>
    </w:p>
    <w:p>
      <w:pPr>
        <w:numPr>
          <w:ilvl w:val="2"/>
          <w:numId w:val="1092"/>
        </w:numPr>
        <w:pStyle w:val="Compact"/>
      </w:pPr>
      <w:r>
        <w:t xml:space="preserve">Windows path limit is 260 characters</w:t>
      </w:r>
      <w:r>
        <w:rPr>
          <w:rStyle w:val="FootnoteReference"/>
        </w:rPr>
        <w:footnoteReference w:id="560"/>
      </w:r>
    </w:p>
    <w:p>
      <w:pPr>
        <w:numPr>
          <w:ilvl w:val="0"/>
          <w:numId w:val="1088"/>
        </w:numPr>
        <w:pStyle w:val="Compact"/>
      </w:pPr>
      <w:r>
        <w:t xml:space="preserve">Create folders that are specific enough that you can limit access</w:t>
      </w:r>
    </w:p>
    <w:p>
      <w:pPr>
        <w:numPr>
          <w:ilvl w:val="1"/>
          <w:numId w:val="1093"/>
        </w:numPr>
        <w:pStyle w:val="Compact"/>
      </w:pPr>
      <w:r>
        <w:t xml:space="preserve">For example you will want to limit user access to folders that hold Personally Identifiable Information (PII)</w:t>
      </w:r>
    </w:p>
    <w:p>
      <w:pPr>
        <w:numPr>
          <w:ilvl w:val="1"/>
          <w:numId w:val="1093"/>
        </w:numPr>
        <w:pStyle w:val="Compact"/>
      </w:pPr>
      <w:r>
        <w:t xml:space="preserve">To protect any files that you don’t want others to accidentally edit (for example your clean datasets), also consider making some files</w:t>
      </w:r>
      <w:r>
        <w:t xml:space="preserve"> </w:t>
      </w:r>
      <w:r>
        <w:t xml:space="preserve">“</w:t>
      </w:r>
      <w:r>
        <w:t xml:space="preserve">read only</w:t>
      </w:r>
      <w:r>
        <w:t xml:space="preserve">”</w:t>
      </w:r>
    </w:p>
    <w:p>
      <w:pPr>
        <w:numPr>
          <w:ilvl w:val="0"/>
          <w:numId w:val="1088"/>
        </w:numPr>
        <w:pStyle w:val="Compact"/>
      </w:pPr>
      <w:r>
        <w:t xml:space="preserve">Decide if you want an</w:t>
      </w:r>
      <w:r>
        <w:t xml:space="preserve"> </w:t>
      </w:r>
      <w:r>
        <w:t xml:space="preserve">“</w:t>
      </w:r>
      <w:r>
        <w:t xml:space="preserve">archive</w:t>
      </w:r>
      <w:r>
        <w:t xml:space="preserve">”</w:t>
      </w:r>
      <w:r>
        <w:t xml:space="preserve"> </w:t>
      </w:r>
      <w:r>
        <w:t xml:space="preserve">folder to move old files into or if you want to leave previous versions in the same folder</w:t>
      </w:r>
    </w:p>
    <w:p>
      <w:pPr>
        <w:pStyle w:val="FirstParagraph"/>
      </w:pPr>
      <w:r>
        <w:rPr>
          <w:bCs/>
          <w:b/>
        </w:rPr>
        <w:t xml:space="preserve">When naming your folders:</w:t>
      </w:r>
    </w:p>
    <w:p>
      <w:pPr>
        <w:numPr>
          <w:ilvl w:val="0"/>
          <w:numId w:val="1094"/>
        </w:numPr>
        <w:pStyle w:val="Compact"/>
      </w:pPr>
      <w:r>
        <w:t xml:space="preserve">Consider setting a character limit on folder names (again to reduce problems with hitting path character limits)</w:t>
      </w:r>
    </w:p>
    <w:p>
      <w:pPr>
        <w:numPr>
          <w:ilvl w:val="0"/>
          <w:numId w:val="1094"/>
        </w:numPr>
        <w:pStyle w:val="Compact"/>
      </w:pPr>
      <w:r>
        <w:t xml:space="preserve">Make your folder names meaningful and easy to interpret</w:t>
      </w:r>
    </w:p>
    <w:p>
      <w:pPr>
        <w:numPr>
          <w:ilvl w:val="0"/>
          <w:numId w:val="1094"/>
        </w:numPr>
        <w:pStyle w:val="Compact"/>
      </w:pPr>
      <w:r>
        <w:t xml:space="preserve">Never use spaces in your folder names</w:t>
      </w:r>
    </w:p>
    <w:p>
      <w:pPr>
        <w:numPr>
          <w:ilvl w:val="1"/>
          <w:numId w:val="1095"/>
        </w:numPr>
        <w:pStyle w:val="Compact"/>
      </w:pPr>
      <w:r>
        <w:t xml:space="preserve">Use</w:t>
      </w:r>
      <w:r>
        <w:t xml:space="preserve"> </w:t>
      </w:r>
      <w:r>
        <w:rPr>
          <w:rStyle w:val="VerbatimChar"/>
        </w:rPr>
        <w:t xml:space="preserve">_</w:t>
      </w:r>
      <w:r>
        <w:t xml:space="preserve"> </w:t>
      </w:r>
      <w:r>
        <w:t xml:space="preserve">or</w:t>
      </w:r>
      <w:r>
        <w:t xml:space="preserve"> </w:t>
      </w:r>
      <w:r>
        <w:rPr>
          <w:rStyle w:val="VerbatimChar"/>
        </w:rPr>
        <w:t xml:space="preserve">-</w:t>
      </w:r>
      <w:r>
        <w:t xml:space="preserve"> </w:t>
      </w:r>
      <w:r>
        <w:t xml:space="preserve">to separate words</w:t>
      </w:r>
    </w:p>
    <w:p>
      <w:pPr>
        <w:numPr>
          <w:ilvl w:val="0"/>
          <w:numId w:val="1094"/>
        </w:numPr>
        <w:pStyle w:val="Compact"/>
      </w:pPr>
      <w:r>
        <w:t xml:space="preserve">With the exception of</w:t>
      </w:r>
      <w:r>
        <w:t xml:space="preserve"> </w:t>
      </w:r>
      <w:r>
        <w:rPr>
          <w:rStyle w:val="VerbatimChar"/>
        </w:rPr>
        <w:t xml:space="preserve">-</w:t>
      </w:r>
      <w:r>
        <w:t xml:space="preserve"> </w:t>
      </w:r>
      <w:r>
        <w:t xml:space="preserve">and</w:t>
      </w:r>
      <w:r>
        <w:t xml:space="preserve"> </w:t>
      </w:r>
      <w:r>
        <w:rPr>
          <w:rStyle w:val="VerbatimChar"/>
        </w:rPr>
        <w:t xml:space="preserve">_</w:t>
      </w:r>
      <w:r>
        <w:t xml:space="preserve">, don’t use special characters in your folder names</w:t>
      </w:r>
    </w:p>
    <w:p>
      <w:pPr>
        <w:numPr>
          <w:ilvl w:val="0"/>
          <w:numId w:val="1094"/>
        </w:numPr>
        <w:pStyle w:val="Compact"/>
      </w:pPr>
      <w:r>
        <w:t xml:space="preserve">Be consistent with delimiters and capitalization. Follow an existing naming convention (as mentioned above).</w:t>
      </w:r>
    </w:p>
    <w:p>
      <w:pPr>
        <w:pStyle w:val="FirstParagraph"/>
      </w:pPr>
      <w:r>
        <w:rPr>
          <w:bCs/>
          <w:b/>
        </w:rPr>
        <w:t xml:space="preserve">Example directory structure style guide</w:t>
      </w:r>
    </w:p>
    <w:p>
      <w:pPr>
        <w:pStyle w:val="SourceCode"/>
      </w:pPr>
      <w:r>
        <w:rPr>
          <w:rStyle w:val="VerbatimChar"/>
        </w:rPr>
        <w:t xml:space="preserve">1. All project directories follow this hierarchical metadata structure  </w:t>
      </w:r>
      <w:r>
        <w:br/>
      </w:r>
      <w:r>
        <w:rPr>
          <w:rStyle w:val="VerbatimChar"/>
        </w:rPr>
        <w:t xml:space="preserve">    - Level 1: Name of project  </w:t>
      </w:r>
      <w:r>
        <w:br/>
      </w:r>
      <w:r>
        <w:rPr>
          <w:rStyle w:val="VerbatimChar"/>
        </w:rPr>
        <w:t xml:space="preserve">    - Level 2: Life cycle folders  </w:t>
      </w:r>
      <w:r>
        <w:br/>
      </w:r>
      <w:r>
        <w:rPr>
          <w:rStyle w:val="VerbatimChar"/>
        </w:rPr>
        <w:t xml:space="preserve">    - Level 3: Data collection wave folders (if relevant)  </w:t>
      </w:r>
      <w:r>
        <w:br/>
      </w:r>
      <w:r>
        <w:rPr>
          <w:rStyle w:val="VerbatimChar"/>
        </w:rPr>
        <w:t xml:space="preserve">    - Level 4: Participant folder (if relevent)</w:t>
      </w:r>
      <w:r>
        <w:br/>
      </w:r>
      <w:r>
        <w:rPr>
          <w:rStyle w:val="VerbatimChar"/>
        </w:rPr>
        <w:t xml:space="preserve">    - Level 5: Specific content folder  </w:t>
      </w:r>
      <w:r>
        <w:br/>
      </w:r>
      <w:r>
        <w:rPr>
          <w:rStyle w:val="VerbatimChar"/>
        </w:rPr>
        <w:t xml:space="preserve">    - Level 6: Archive folders  </w:t>
      </w:r>
      <w:r>
        <w:br/>
      </w:r>
      <w:r>
        <w:rPr>
          <w:rStyle w:val="VerbatimChar"/>
        </w:rPr>
        <w:t xml:space="preserve">2. All folders should be named according to these rules  </w:t>
      </w:r>
      <w:r>
        <w:br/>
      </w:r>
      <w:r>
        <w:rPr>
          <w:rStyle w:val="VerbatimChar"/>
        </w:rPr>
        <w:t xml:space="preserve">    - Meaningful name but no longer than 20 characters  </w:t>
      </w:r>
      <w:r>
        <w:br/>
      </w:r>
      <w:r>
        <w:rPr>
          <w:rStyle w:val="VerbatimChar"/>
        </w:rPr>
        <w:t xml:space="preserve">    - No spaces or special characters in folder names  </w:t>
      </w:r>
      <w:r>
        <w:br/>
      </w:r>
      <w:r>
        <w:rPr>
          <w:rStyle w:val="VerbatimChar"/>
        </w:rPr>
        <w:t xml:space="preserve">    - Only use lower case letters  </w:t>
      </w:r>
      <w:r>
        <w:br/>
      </w:r>
      <w:r>
        <w:rPr>
          <w:rStyle w:val="VerbatimChar"/>
        </w:rPr>
        <w:t xml:space="preserve">    - Use `-` to separate words  </w:t>
      </w:r>
      <w:r>
        <w:br/>
      </w:r>
      <w:r>
        <w:rPr>
          <w:rStyle w:val="VerbatimChar"/>
        </w:rPr>
        <w:t xml:space="preserve">3. All previous versions of files must be placed into their respective "archive" folder</w:t>
      </w:r>
      <w:r>
        <w:br/>
      </w:r>
      <w:r>
        <w:rPr>
          <w:rStyle w:val="VerbatimChar"/>
        </w:rPr>
        <w:t xml:space="preserve">    - A changelog should be placed in each "archive" folder to document changes between document versions</w:t>
      </w:r>
    </w:p>
    <w:p>
      <w:pPr>
        <w:pStyle w:val="FirstParagraph"/>
      </w:pPr>
      <w:r>
        <w:rPr>
          <w:bCs/>
          <w:b/>
        </w:rPr>
        <w:t xml:space="preserve">Example directory structure created using a style guide</w:t>
      </w:r>
    </w:p>
    <w:p>
      <w:pPr>
        <w:pStyle w:val="SourceCode"/>
      </w:pPr>
      <w:r>
        <w:rPr>
          <w:rStyle w:val="VerbatimChar"/>
        </w:rPr>
        <w:t xml:space="preserve">                               levelName</w:t>
      </w:r>
      <w:r>
        <w:br/>
      </w:r>
      <w:r>
        <w:rPr>
          <w:rStyle w:val="VerbatimChar"/>
        </w:rPr>
        <w:t xml:space="preserve">1  project-new                          </w:t>
      </w:r>
      <w:r>
        <w:br/>
      </w:r>
      <w:r>
        <w:rPr>
          <w:rStyle w:val="VerbatimChar"/>
        </w:rPr>
        <w:t xml:space="preserve">2   ¦--intervention                     </w:t>
      </w:r>
      <w:r>
        <w:br/>
      </w:r>
      <w:r>
        <w:rPr>
          <w:rStyle w:val="VerbatimChar"/>
        </w:rPr>
        <w:t xml:space="preserve">3   ¦   °--cohort-1                     </w:t>
      </w:r>
      <w:r>
        <w:br/>
      </w:r>
      <w:r>
        <w:rPr>
          <w:rStyle w:val="VerbatimChar"/>
        </w:rPr>
        <w:t xml:space="preserve">4   ¦       °--coaching_materials       </w:t>
      </w:r>
      <w:r>
        <w:br/>
      </w:r>
      <w:r>
        <w:rPr>
          <w:rStyle w:val="VerbatimChar"/>
        </w:rPr>
        <w:t xml:space="preserve">5   ¦           °--archive              </w:t>
      </w:r>
      <w:r>
        <w:br/>
      </w:r>
      <w:r>
        <w:rPr>
          <w:rStyle w:val="VerbatimChar"/>
        </w:rPr>
        <w:t xml:space="preserve">6   ¦               °--changelog.txt    </w:t>
      </w:r>
      <w:r>
        <w:br/>
      </w:r>
      <w:r>
        <w:rPr>
          <w:rStyle w:val="VerbatimChar"/>
        </w:rPr>
        <w:t xml:space="preserve">7   ¦--project-mgmt                     </w:t>
      </w:r>
      <w:r>
        <w:br/>
      </w:r>
      <w:r>
        <w:rPr>
          <w:rStyle w:val="VerbatimChar"/>
        </w:rPr>
        <w:t xml:space="preserve">8   ¦   °--cohort-1                     </w:t>
      </w:r>
      <w:r>
        <w:br/>
      </w:r>
      <w:r>
        <w:rPr>
          <w:rStyle w:val="VerbatimChar"/>
        </w:rPr>
        <w:t xml:space="preserve">9   ¦       °--scheduling-materials     </w:t>
      </w:r>
      <w:r>
        <w:br/>
      </w:r>
      <w:r>
        <w:rPr>
          <w:rStyle w:val="VerbatimChar"/>
        </w:rPr>
        <w:t xml:space="preserve">10  ¦           °--archive              </w:t>
      </w:r>
      <w:r>
        <w:br/>
      </w:r>
      <w:r>
        <w:rPr>
          <w:rStyle w:val="VerbatimChar"/>
        </w:rPr>
        <w:t xml:space="preserve">11  ¦               °--changelog.txt    </w:t>
      </w:r>
      <w:r>
        <w:br/>
      </w:r>
      <w:r>
        <w:rPr>
          <w:rStyle w:val="VerbatimChar"/>
        </w:rPr>
        <w:t xml:space="preserve">12  ¦--documentation                    </w:t>
      </w:r>
      <w:r>
        <w:br/>
      </w:r>
      <w:r>
        <w:rPr>
          <w:rStyle w:val="VerbatimChar"/>
        </w:rPr>
        <w:t xml:space="preserve">13  ¦   ¦--sops                         </w:t>
      </w:r>
      <w:r>
        <w:br/>
      </w:r>
      <w:r>
        <w:rPr>
          <w:rStyle w:val="VerbatimChar"/>
        </w:rPr>
        <w:t xml:space="preserve">14  ¦   ¦   °--archive                  </w:t>
      </w:r>
      <w:r>
        <w:br/>
      </w:r>
      <w:r>
        <w:rPr>
          <w:rStyle w:val="VerbatimChar"/>
        </w:rPr>
        <w:t xml:space="preserve">15  ¦   ¦       °--changelog.txt        </w:t>
      </w:r>
      <w:r>
        <w:br/>
      </w:r>
      <w:r>
        <w:rPr>
          <w:rStyle w:val="VerbatimChar"/>
        </w:rPr>
        <w:t xml:space="preserve">16  ¦   °--data-dictionaries            </w:t>
      </w:r>
      <w:r>
        <w:br/>
      </w:r>
      <w:r>
        <w:rPr>
          <w:rStyle w:val="VerbatimChar"/>
        </w:rPr>
        <w:t xml:space="preserve">17  ¦       °--archive                  </w:t>
      </w:r>
      <w:r>
        <w:br/>
      </w:r>
      <w:r>
        <w:rPr>
          <w:rStyle w:val="VerbatimChar"/>
        </w:rPr>
        <w:t xml:space="preserve">18  ¦           °--changelog.txt        </w:t>
      </w:r>
      <w:r>
        <w:br/>
      </w:r>
      <w:r>
        <w:rPr>
          <w:rStyle w:val="VerbatimChar"/>
        </w:rPr>
        <w:t xml:space="preserve">19  ¦--data                             </w:t>
      </w:r>
      <w:r>
        <w:br/>
      </w:r>
      <w:r>
        <w:rPr>
          <w:rStyle w:val="VerbatimChar"/>
        </w:rPr>
        <w:t xml:space="preserve">20  ¦   °--cohort-1                     </w:t>
      </w:r>
      <w:r>
        <w:br/>
      </w:r>
      <w:r>
        <w:rPr>
          <w:rStyle w:val="VerbatimChar"/>
        </w:rPr>
        <w:t xml:space="preserve">21  ¦       °--student                  </w:t>
      </w:r>
      <w:r>
        <w:br/>
      </w:r>
      <w:r>
        <w:rPr>
          <w:rStyle w:val="VerbatimChar"/>
        </w:rPr>
        <w:t xml:space="preserve">22  ¦           °--survey               </w:t>
      </w:r>
      <w:r>
        <w:br/>
      </w:r>
      <w:r>
        <w:rPr>
          <w:rStyle w:val="VerbatimChar"/>
        </w:rPr>
        <w:t xml:space="preserve">23  ¦               °--archive          </w:t>
      </w:r>
      <w:r>
        <w:br/>
      </w:r>
      <w:r>
        <w:rPr>
          <w:rStyle w:val="VerbatimChar"/>
        </w:rPr>
        <w:t xml:space="preserve">24  ¦                   °--changelog.txt</w:t>
      </w:r>
      <w:r>
        <w:br/>
      </w:r>
      <w:r>
        <w:rPr>
          <w:rStyle w:val="VerbatimChar"/>
        </w:rPr>
        <w:t xml:space="preserve">25  °--tracking                         </w:t>
      </w:r>
      <w:r>
        <w:br/>
      </w:r>
      <w:r>
        <w:rPr>
          <w:rStyle w:val="VerbatimChar"/>
        </w:rPr>
        <w:t xml:space="preserve">26      °--cohort-1                     </w:t>
      </w:r>
      <w:r>
        <w:br/>
      </w:r>
      <w:r>
        <w:rPr>
          <w:rStyle w:val="VerbatimChar"/>
        </w:rPr>
        <w:t xml:space="preserve">27          ¦--participant-database     </w:t>
      </w:r>
      <w:r>
        <w:br/>
      </w:r>
      <w:r>
        <w:rPr>
          <w:rStyle w:val="VerbatimChar"/>
        </w:rPr>
        <w:t xml:space="preserve">28          ¦   °--archive              </w:t>
      </w:r>
      <w:r>
        <w:br/>
      </w:r>
      <w:r>
        <w:rPr>
          <w:rStyle w:val="VerbatimChar"/>
        </w:rPr>
        <w:t xml:space="preserve">29          ¦       °--changelog.txt    </w:t>
      </w:r>
      <w:r>
        <w:br/>
      </w:r>
      <w:r>
        <w:rPr>
          <w:rStyle w:val="VerbatimChar"/>
        </w:rPr>
        <w:t xml:space="preserve">30          °--parent_consents          </w:t>
      </w:r>
    </w:p>
    <w:bookmarkEnd w:id="562"/>
    <w:bookmarkStart w:id="568" w:name="file-naming"/>
    <w:p>
      <w:pPr>
        <w:pStyle w:val="Heading2"/>
      </w:pPr>
      <w:r>
        <w:rPr>
          <w:rStyle w:val="SectionNumber"/>
        </w:rPr>
        <w:t xml:space="preserve">8.3</w:t>
      </w:r>
      <w:r>
        <w:tab/>
      </w:r>
      <w:r>
        <w:t xml:space="preserve">File naming</w:t>
      </w:r>
    </w:p>
    <w:p>
      <w:pPr>
        <w:pStyle w:val="CaptionedFigure"/>
      </w:pPr>
      <w:r>
        <w:drawing>
          <wp:inline>
            <wp:extent cx="3040380" cy="5052060"/>
            <wp:effectExtent b="0" l="0" r="0" t="0"/>
            <wp:docPr descr="Figure 8.2: xkcd comic on naming files" title="" id="564" name="Picture"/>
            <a:graphic>
              <a:graphicData uri="http://schemas.openxmlformats.org/drawingml/2006/picture">
                <pic:pic>
                  <pic:nvPicPr>
                    <pic:cNvPr descr="img/xkcd.PNG" id="565" name="Picture"/>
                    <pic:cNvPicPr>
                      <a:picLocks noChangeArrowheads="1" noChangeAspect="1"/>
                    </pic:cNvPicPr>
                  </pic:nvPicPr>
                  <pic:blipFill>
                    <a:blip r:embed="rId563"/>
                    <a:stretch>
                      <a:fillRect/>
                    </a:stretch>
                  </pic:blipFill>
                  <pic:spPr bwMode="auto">
                    <a:xfrm>
                      <a:off x="0" y="0"/>
                      <a:ext cx="3040380" cy="5052060"/>
                    </a:xfrm>
                    <a:prstGeom prst="rect">
                      <a:avLst/>
                    </a:prstGeom>
                    <a:noFill/>
                    <a:ln w="9525">
                      <a:noFill/>
                      <a:headEnd/>
                      <a:tailEnd/>
                    </a:ln>
                  </pic:spPr>
                </pic:pic>
              </a:graphicData>
            </a:graphic>
          </wp:inline>
        </w:drawing>
      </w:r>
    </w:p>
    <w:p>
      <w:pPr>
        <w:pStyle w:val="ImageCaption"/>
      </w:pPr>
      <w:r>
        <w:t xml:space="preserve">Figure 8.2: xkcd comic on naming files</w:t>
      </w:r>
    </w:p>
    <w:p>
      <w:pPr>
        <w:pStyle w:val="BodyText"/>
      </w:pPr>
      <w:r>
        <w:t xml:space="preserve">As xkcd</w:t>
      </w:r>
      <w:r>
        <w:rPr>
          <w:rStyle w:val="FootnoteReference"/>
        </w:rPr>
        <w:footnoteReference w:id="566"/>
      </w:r>
      <w:r>
        <w:t xml:space="preserve"> </w:t>
      </w:r>
      <w:r>
        <w:t xml:space="preserve">so aptly points out in Figure</w:t>
      </w:r>
      <w:r>
        <w:t xml:space="preserve"> </w:t>
      </w:r>
      <w:r>
        <w:t xml:space="preserve">8.2</w:t>
      </w:r>
      <w:r>
        <w:t xml:space="preserve">, many of us are pretty bad at naming files in a consistent and usable way. We are often in a rush to save our files and maybe don’t consider how unclear our file names will be for future users (including ourselves).</w:t>
      </w:r>
    </w:p>
    <w:p>
      <w:pPr>
        <w:pStyle w:val="BodyText"/>
      </w:pPr>
      <w:r>
        <w:t xml:space="preserve">Our file names alone should be able to answer questions such as:</w:t>
      </w:r>
    </w:p>
    <w:p>
      <w:pPr>
        <w:numPr>
          <w:ilvl w:val="0"/>
          <w:numId w:val="1096"/>
        </w:numPr>
        <w:pStyle w:val="Compact"/>
      </w:pPr>
      <w:r>
        <w:t xml:space="preserve">What are these documents?</w:t>
      </w:r>
    </w:p>
    <w:p>
      <w:pPr>
        <w:numPr>
          <w:ilvl w:val="0"/>
          <w:numId w:val="1096"/>
        </w:numPr>
        <w:pStyle w:val="Compact"/>
      </w:pPr>
      <w:r>
        <w:t xml:space="preserve">When were these documents created?</w:t>
      </w:r>
    </w:p>
    <w:p>
      <w:pPr>
        <w:numPr>
          <w:ilvl w:val="0"/>
          <w:numId w:val="1096"/>
        </w:numPr>
        <w:pStyle w:val="Compact"/>
      </w:pPr>
      <w:r>
        <w:t xml:space="preserve">Which document is the most recent version?</w:t>
      </w:r>
    </w:p>
    <w:p>
      <w:pPr>
        <w:pStyle w:val="FirstParagraph"/>
      </w:pPr>
      <w:r>
        <w:t xml:space="preserve">A file naming style guide helps us to name files in a way that allows us to answer these questions. You can have one overarching file naming guide, or you may have file naming guides for different purposes that need different organizational strategies (for example one naming guide for project meeting notes, another naming guide for project data files). Let’s walk through several conventions to consider when naming your files.</w:t>
      </w:r>
    </w:p>
    <w:p>
      <w:pPr>
        <w:numPr>
          <w:ilvl w:val="0"/>
          <w:numId w:val="1097"/>
        </w:numPr>
        <w:pStyle w:val="Compact"/>
      </w:pPr>
      <w:r>
        <w:t xml:space="preserve">Make names descriptive (a user should be able to understand the contents of the file without opening it)</w:t>
      </w:r>
    </w:p>
    <w:p>
      <w:pPr>
        <w:numPr>
          <w:ilvl w:val="0"/>
          <w:numId w:val="1097"/>
        </w:numPr>
        <w:pStyle w:val="Compact"/>
      </w:pPr>
      <w:r>
        <w:t xml:space="preserve">Never use spaces between words</w:t>
      </w:r>
    </w:p>
    <w:p>
      <w:pPr>
        <w:numPr>
          <w:ilvl w:val="1"/>
          <w:numId w:val="1098"/>
        </w:numPr>
        <w:pStyle w:val="Compact"/>
      </w:pPr>
      <w:r>
        <w:t xml:space="preserve">Use</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to separate words.</w:t>
      </w:r>
    </w:p>
    <w:p>
      <w:pPr>
        <w:numPr>
          <w:ilvl w:val="0"/>
          <w:numId w:val="1097"/>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never use special characters</w:t>
      </w:r>
    </w:p>
    <w:p>
      <w:pPr>
        <w:numPr>
          <w:ilvl w:val="0"/>
          <w:numId w:val="1097"/>
        </w:numPr>
        <w:pStyle w:val="Compact"/>
      </w:pPr>
      <w:r>
        <w:t xml:space="preserve">Be consistent with delimiters and capitalization. Follow an existing naming convention.</w:t>
      </w:r>
    </w:p>
    <w:p>
      <w:pPr>
        <w:numPr>
          <w:ilvl w:val="0"/>
          <w:numId w:val="1097"/>
        </w:numPr>
        <w:pStyle w:val="Compact"/>
      </w:pPr>
      <w:r>
        <w:t xml:space="preserve">Consider limiting the number of allowable characters to prevent hitting your path limit (as mentioned above)</w:t>
      </w:r>
    </w:p>
    <w:p>
      <w:pPr>
        <w:numPr>
          <w:ilvl w:val="0"/>
          <w:numId w:val="1097"/>
        </w:numPr>
        <w:pStyle w:val="Compact"/>
      </w:pPr>
      <w:r>
        <w:t xml:space="preserve">Do not use</w:t>
      </w:r>
      <w:r>
        <w:t xml:space="preserve"> </w:t>
      </w:r>
      <w:r>
        <w:rPr>
          <w:rStyle w:val="VerbatimChar"/>
        </w:rPr>
        <w:t xml:space="preserve">/</w:t>
      </w:r>
      <w:r>
        <w:t xml:space="preserve"> </w:t>
      </w:r>
      <w:r>
        <w:t xml:space="preserve">in dates and format them consistently. It is beneficial to format dates using the ISO 8601 standard in one of these two ways:</w:t>
      </w:r>
    </w:p>
    <w:p>
      <w:pPr>
        <w:numPr>
          <w:ilvl w:val="1"/>
          <w:numId w:val="1099"/>
        </w:numPr>
        <w:pStyle w:val="Compact"/>
      </w:pPr>
      <w:r>
        <w:rPr>
          <w:rStyle w:val="VerbatimChar"/>
        </w:rPr>
        <w:t xml:space="preserve">YYYY-MM-DD</w:t>
      </w:r>
      <w:r>
        <w:t xml:space="preserve"> </w:t>
      </w:r>
      <w:r>
        <w:t xml:space="preserve">or</w:t>
      </w:r>
      <w:r>
        <w:t xml:space="preserve"> </w:t>
      </w:r>
      <w:r>
        <w:rPr>
          <w:rStyle w:val="VerbatimChar"/>
        </w:rPr>
        <w:t xml:space="preserve">YYYYMMDD</w:t>
      </w:r>
    </w:p>
    <w:p>
      <w:pPr>
        <w:numPr>
          <w:ilvl w:val="1"/>
          <w:numId w:val="1099"/>
        </w:numPr>
        <w:pStyle w:val="Compact"/>
      </w:pPr>
      <w:r>
        <w:t xml:space="preserve">While the first way adds more characters to your variable names, it also may be clearer for users to interpret. Either of these date formats will be sortable.</w:t>
      </w:r>
    </w:p>
    <w:p>
      <w:pPr>
        <w:numPr>
          <w:ilvl w:val="0"/>
          <w:numId w:val="1097"/>
        </w:numPr>
        <w:pStyle w:val="Compact"/>
      </w:pPr>
      <w:r>
        <w:t xml:space="preserve">When versioning your files, pick a format and add it to your style guide</w:t>
      </w:r>
    </w:p>
    <w:p>
      <w:pPr>
        <w:numPr>
          <w:ilvl w:val="1"/>
          <w:numId w:val="1100"/>
        </w:numPr>
        <w:pStyle w:val="Compact"/>
      </w:pPr>
      <w:r>
        <w:t xml:space="preserve">If you plan to version using a number, consider left padding with 0 before single digit numbers to keep the file name the same length as it grows (</w:t>
      </w:r>
      <w:r>
        <w:rPr>
          <w:rStyle w:val="VerbatimChar"/>
        </w:rPr>
        <w:t xml:space="preserve">v01</w:t>
      </w:r>
      <w:r>
        <w:t xml:space="preserve">,</w:t>
      </w:r>
      <w:r>
        <w:t xml:space="preserve"> </w:t>
      </w:r>
      <w:r>
        <w:rPr>
          <w:rStyle w:val="VerbatimChar"/>
        </w:rPr>
        <w:t xml:space="preserve">v02</w:t>
      </w:r>
      <w:r>
        <w:t xml:space="preserve">).</w:t>
      </w:r>
    </w:p>
    <w:p>
      <w:pPr>
        <w:numPr>
          <w:ilvl w:val="1"/>
          <w:numId w:val="1100"/>
        </w:numPr>
        <w:pStyle w:val="Compact"/>
      </w:pPr>
      <w:r>
        <w:t xml:space="preserve">As mentioned in our chapter on Documentation, it is possible to version programatically using tools like Git and GitHub. However, these tools are not always practical for education research. A more practical means of versioning may be to manually version files and track changes in a</w:t>
      </w:r>
      <w:r>
        <w:t xml:space="preserve"> </w:t>
      </w:r>
      <w:hyperlink w:anchor="change">
        <w:r>
          <w:rPr>
            <w:rStyle w:val="Hyperlink"/>
          </w:rPr>
          <w:t xml:space="preserve">changelog</w:t>
        </w:r>
      </w:hyperlink>
      <w:r>
        <w:t xml:space="preserve">.</w:t>
      </w:r>
    </w:p>
    <w:p>
      <w:pPr>
        <w:numPr>
          <w:ilvl w:val="0"/>
          <w:numId w:val="1097"/>
        </w:numPr>
        <w:pStyle w:val="Compact"/>
      </w:pPr>
      <w:r>
        <w:t xml:space="preserve">If your files need to be run in a sequential order, add the order number to the beginning of the file name, with leading zeros to ensure proper sorting (</w:t>
      </w:r>
      <w:r>
        <w:rPr>
          <w:rStyle w:val="VerbatimChar"/>
        </w:rPr>
        <w:t xml:space="preserve">01_</w:t>
      </w:r>
      <w:r>
        <w:t xml:space="preserve">,</w:t>
      </w:r>
      <w:r>
        <w:t xml:space="preserve"> </w:t>
      </w:r>
      <w:r>
        <w:rPr>
          <w:rStyle w:val="VerbatimChar"/>
        </w:rPr>
        <w:t xml:space="preserve">02_</w:t>
      </w:r>
      <w:r>
        <w:t xml:space="preserve">)</w:t>
      </w:r>
    </w:p>
    <w:p>
      <w:pPr>
        <w:numPr>
          <w:ilvl w:val="0"/>
          <w:numId w:val="1097"/>
        </w:numPr>
        <w:pStyle w:val="Compact"/>
      </w:pPr>
      <w:r>
        <w:t xml:space="preserve">Choose abbreviations and/or consistent terms to use for common names/phrases and add them to your style guide (</w:t>
      </w:r>
      <w:r>
        <w:rPr>
          <w:rStyle w:val="VerbatimChar"/>
        </w:rPr>
        <w:t xml:space="preserve">student</w:t>
      </w:r>
      <w:r>
        <w:t xml:space="preserve"> </w:t>
      </w:r>
      <w:r>
        <w:t xml:space="preserve">=</w:t>
      </w:r>
      <w:r>
        <w:t xml:space="preserve"> </w:t>
      </w:r>
      <w:r>
        <w:rPr>
          <w:rStyle w:val="VerbatimChar"/>
        </w:rPr>
        <w:t xml:space="preserve">stu</w:t>
      </w:r>
      <w:r>
        <w:t xml:space="preserve">).</w:t>
      </w:r>
    </w:p>
    <w:p>
      <w:pPr>
        <w:numPr>
          <w:ilvl w:val="1"/>
          <w:numId w:val="1101"/>
        </w:numPr>
        <w:pStyle w:val="Compact"/>
      </w:pPr>
      <w:r>
        <w:t xml:space="preserve">This helps reduce file name character lengths and also creates standardized, searchable metadata, which can allow you to more easily, programmatically retrieve files (for example, retrieve all files containing the phrase</w:t>
      </w:r>
      <w:r>
        <w:t xml:space="preserve"> </w:t>
      </w:r>
      <w:r>
        <w:t xml:space="preserve">“</w:t>
      </w:r>
      <w:r>
        <w:t xml:space="preserve">stu_obs_raw</w:t>
      </w:r>
      <w:r>
        <w:t xml:space="preserve">”</w:t>
      </w:r>
      <w:r>
        <w:t xml:space="preserve">).</w:t>
      </w:r>
    </w:p>
    <w:p>
      <w:pPr>
        <w:numPr>
          <w:ilvl w:val="0"/>
          <w:numId w:val="1097"/>
        </w:numPr>
        <w:pStyle w:val="Compact"/>
      </w:pPr>
      <w:r>
        <w:t xml:space="preserve">Keep redundant metadata in the file name</w:t>
      </w:r>
    </w:p>
    <w:p>
      <w:pPr>
        <w:numPr>
          <w:ilvl w:val="1"/>
          <w:numId w:val="1102"/>
        </w:numPr>
        <w:pStyle w:val="Compact"/>
      </w:pPr>
      <w:r>
        <w:t xml:space="preserve">This reduces confusion if you ever move a file to a different folder or send a file to a collaborator. It also makes your files searchable.</w:t>
      </w:r>
    </w:p>
    <w:p>
      <w:pPr>
        <w:numPr>
          <w:ilvl w:val="1"/>
          <w:numId w:val="1102"/>
        </w:numPr>
        <w:pStyle w:val="Compact"/>
      </w:pPr>
      <w:r>
        <w:t xml:space="preserve">For example, always put the data collection wave in a file name, even if the file is currently housed in a specific wave folder. Or always put the project name in the file name, even if the file is currently housed in a project folder.</w:t>
      </w:r>
    </w:p>
    <w:p>
      <w:pPr>
        <w:numPr>
          <w:ilvl w:val="0"/>
          <w:numId w:val="1097"/>
        </w:numPr>
        <w:pStyle w:val="Compact"/>
      </w:pPr>
      <w:r>
        <w:t xml:space="preserve">Choose an order for file name metadata (ex: project -&gt; time -&gt; participant -&gt; measure)</w:t>
      </w:r>
    </w:p>
    <w:p>
      <w:pPr>
        <w:pStyle w:val="FirstParagraph"/>
      </w:pPr>
      <w:r>
        <w:rPr>
          <w:bCs/>
          <w:b/>
        </w:rPr>
        <w:t xml:space="preserve">Example file naming style guide</w:t>
      </w:r>
    </w:p>
    <w:p>
      <w:pPr>
        <w:pStyle w:val="SourceCode"/>
      </w:pPr>
      <w:r>
        <w:rPr>
          <w:rStyle w:val="VerbatimChar"/>
        </w:rPr>
        <w:t xml:space="preserve">1. Never use spaces between words</w:t>
      </w:r>
      <w:r>
        <w:br/>
      </w:r>
      <w:r>
        <w:rPr>
          <w:rStyle w:val="VerbatimChar"/>
        </w:rPr>
        <w:t xml:space="preserve">2. Never use special characters</w:t>
      </w:r>
      <w:r>
        <w:br/>
      </w:r>
      <w:r>
        <w:rPr>
          <w:rStyle w:val="VerbatimChar"/>
        </w:rPr>
        <w:t xml:space="preserve">3. Use _ to separate words</w:t>
      </w:r>
      <w:r>
        <w:br/>
      </w:r>
      <w:r>
        <w:rPr>
          <w:rStyle w:val="VerbatimChar"/>
        </w:rPr>
        <w:t xml:space="preserve">4. Only use lower case letters</w:t>
      </w:r>
      <w:r>
        <w:br/>
      </w:r>
      <w:r>
        <w:rPr>
          <w:rStyle w:val="VerbatimChar"/>
        </w:rPr>
        <w:t xml:space="preserve">5. Keep names under 35 characters</w:t>
      </w:r>
      <w:r>
        <w:br/>
      </w:r>
      <w:r>
        <w:rPr>
          <w:rStyle w:val="VerbatimChar"/>
        </w:rPr>
        <w:t xml:space="preserve">6. Use the following metadata file naming order:</w:t>
      </w:r>
      <w:r>
        <w:br/>
      </w:r>
      <w:r>
        <w:rPr>
          <w:rStyle w:val="VerbatimChar"/>
        </w:rPr>
        <w:t xml:space="preserve">  - Order of use (if relevant–and always add a 0 before single digits)</w:t>
      </w:r>
      <w:r>
        <w:br/>
      </w:r>
      <w:r>
        <w:rPr>
          <w:rStyle w:val="VerbatimChar"/>
        </w:rPr>
        <w:t xml:space="preserve">  - Project</w:t>
      </w:r>
      <w:r>
        <w:br/>
      </w:r>
      <w:r>
        <w:rPr>
          <w:rStyle w:val="VerbatimChar"/>
        </w:rPr>
        <w:t xml:space="preserve">  - Cohort/Wave (if relevant)</w:t>
      </w:r>
      <w:r>
        <w:br/>
      </w:r>
      <w:r>
        <w:rPr>
          <w:rStyle w:val="VerbatimChar"/>
        </w:rPr>
        <w:t xml:space="preserve">  - Participant</w:t>
      </w:r>
      <w:r>
        <w:br/>
      </w:r>
      <w:r>
        <w:rPr>
          <w:rStyle w:val="VerbatimChar"/>
        </w:rPr>
        <w:t xml:space="preserve">  - Measure</w:t>
      </w:r>
      <w:r>
        <w:br/>
      </w:r>
      <w:r>
        <w:rPr>
          <w:rStyle w:val="VerbatimChar"/>
        </w:rPr>
        <w:t xml:space="preserve">  - Further description</w:t>
      </w:r>
      <w:r>
        <w:br/>
      </w:r>
      <w:r>
        <w:rPr>
          <w:rStyle w:val="VerbatimChar"/>
        </w:rPr>
        <w:t xml:space="preserve">  - Date (always add)</w:t>
      </w:r>
      <w:r>
        <w:br/>
      </w:r>
      <w:r>
        <w:rPr>
          <w:rStyle w:val="VerbatimChar"/>
        </w:rPr>
        <w:t xml:space="preserve">  - Version (if necessary)</w:t>
      </w:r>
      <w:r>
        <w:br/>
      </w:r>
      <w:r>
        <w:rPr>
          <w:rStyle w:val="VerbatimChar"/>
        </w:rPr>
        <w:t xml:space="preserve">7. Format dates as YYYY-MM-DD</w:t>
      </w:r>
      <w:r>
        <w:br/>
      </w:r>
      <w:r>
        <w:rPr>
          <w:rStyle w:val="VerbatimChar"/>
        </w:rPr>
        <w:t xml:space="preserve">8. If there are multiple versions of a document on the same date, version using v# with a leading 0.</w:t>
      </w:r>
      <w:r>
        <w:br/>
      </w:r>
      <w:r>
        <w:rPr>
          <w:rStyle w:val="VerbatimChar"/>
        </w:rPr>
        <w:t xml:space="preserve">9. Use the following abbreviations</w:t>
      </w:r>
      <w:r>
        <w:br/>
      </w:r>
      <w:r>
        <w:rPr>
          <w:rStyle w:val="VerbatimChar"/>
        </w:rPr>
        <w:t xml:space="preserve">  - student = stu</w:t>
      </w:r>
      <w:r>
        <w:br/>
      </w:r>
      <w:r>
        <w:rPr>
          <w:rStyle w:val="VerbatimChar"/>
        </w:rPr>
        <w:t xml:space="preserve">  - survey = svy</w:t>
      </w:r>
      <w:r>
        <w:br/>
      </w:r>
      <w:r>
        <w:rPr>
          <w:rStyle w:val="VerbatimChar"/>
        </w:rPr>
        <w:t xml:space="preserve">  - wave = w</w:t>
      </w:r>
      <w:r>
        <w:br/>
      </w:r>
      <w:r>
        <w:rPr>
          <w:rStyle w:val="VerbatimChar"/>
        </w:rPr>
        <w:t xml:space="preserve">  - project math efficacy = me</w:t>
      </w:r>
    </w:p>
    <w:p>
      <w:pPr>
        <w:pStyle w:val="FirstParagraph"/>
      </w:pPr>
      <w:r>
        <w:rPr>
          <w:bCs/>
          <w:b/>
        </w:rPr>
        <w:t xml:space="preserve">Example file names created using a style guide</w:t>
      </w:r>
    </w:p>
    <w:p>
      <w:pPr>
        <w:pStyle w:val="SourceCode"/>
      </w:pPr>
      <w:r>
        <w:rPr>
          <w:rStyle w:val="VerbatimChar"/>
        </w:rPr>
        <w:t xml:space="preserve">me_stu_svy_sop_2022-08-01.docx</w:t>
      </w:r>
      <w:r>
        <w:br/>
      </w:r>
      <w:r>
        <w:rPr>
          <w:rStyle w:val="VerbatimChar"/>
        </w:rPr>
        <w:t xml:space="preserve">me_w1_stu_svy_data_raw_2022-11-03.csv</w:t>
      </w:r>
      <w:r>
        <w:br/>
      </w:r>
      <w:r>
        <w:rPr>
          <w:rStyle w:val="VerbatimChar"/>
        </w:rPr>
        <w:t xml:space="preserve">me_w1_stu_svy_cleaning_syntax_2023-01-22v01.R</w:t>
      </w:r>
      <w:r>
        <w:br/>
      </w:r>
      <w:r>
        <w:rPr>
          <w:rStyle w:val="VerbatimChar"/>
        </w:rPr>
        <w:t xml:space="preserve">me_w1_stu_svy_cleaning_syntax_2023-01-22v02.R</w:t>
      </w:r>
    </w:p>
    <w:bookmarkEnd w:id="568"/>
    <w:bookmarkStart w:id="577" w:name="varname"/>
    <w:p>
      <w:pPr>
        <w:pStyle w:val="Heading2"/>
      </w:pPr>
      <w:r>
        <w:rPr>
          <w:rStyle w:val="SectionNumber"/>
        </w:rPr>
        <w:t xml:space="preserve">8.4</w:t>
      </w:r>
      <w:r>
        <w:tab/>
      </w:r>
      <w:r>
        <w:t xml:space="preserve">Variable naming</w:t>
      </w:r>
    </w:p>
    <w:p>
      <w:pPr>
        <w:pStyle w:val="FirstParagraph"/>
      </w:pPr>
      <w:r>
        <w:t xml:space="preserve">This style guide will be a necessary document to have before you start to create your data dictionaries. Below are several considerations to review before developing your variable naming style guide. These are broken into two types of rules, those that are non-negotiable requirements that really should be included in your style guide (if you do not follow these rules you will run into serious problems in interpretation for both humans and machines), and then best practices suggestions that are recommended but not required.</w:t>
      </w:r>
    </w:p>
    <w:p>
      <w:pPr>
        <w:pStyle w:val="BodyText"/>
      </w:pPr>
      <w:r>
        <w:rPr>
          <w:bCs/>
          <w:b/>
        </w:rPr>
        <w:t xml:space="preserve">Mandatory:</w:t>
      </w:r>
    </w:p>
    <w:p>
      <w:pPr>
        <w:numPr>
          <w:ilvl w:val="0"/>
          <w:numId w:val="1103"/>
        </w:numPr>
        <w:pStyle w:val="Compact"/>
      </w:pPr>
      <w:r>
        <w:t xml:space="preserve">Don’t name a variable any keywords or functions used in any programming language (such as</w:t>
      </w:r>
      <w:r>
        <w:t xml:space="preserve"> </w:t>
      </w:r>
      <w:r>
        <w:rPr>
          <w:rStyle w:val="VerbatimChar"/>
        </w:rPr>
        <w:t xml:space="preserve">if</w:t>
      </w:r>
      <w:r>
        <w:t xml:space="preserve">,</w:t>
      </w:r>
      <w:r>
        <w:t xml:space="preserve"> </w:t>
      </w:r>
      <w:r>
        <w:rPr>
          <w:rStyle w:val="VerbatimChar"/>
        </w:rPr>
        <w:t xml:space="preserve">for</w:t>
      </w:r>
      <w:r>
        <w:t xml:space="preserve">,</w:t>
      </w:r>
      <w:r>
        <w:t xml:space="preserve"> </w:t>
      </w:r>
      <w:r>
        <w:rPr>
          <w:rStyle w:val="VerbatimChar"/>
        </w:rPr>
        <w:t xml:space="preserve">repeat</w:t>
      </w:r>
      <w:r>
        <w:t xml:space="preserve">)</w:t>
      </w:r>
      <w:r>
        <w:rPr>
          <w:rStyle w:val="FootnoteReference"/>
        </w:rPr>
        <w:footnoteReference w:id="569"/>
      </w:r>
    </w:p>
    <w:p>
      <w:pPr>
        <w:numPr>
          <w:ilvl w:val="0"/>
          <w:numId w:val="1103"/>
        </w:numPr>
        <w:pStyle w:val="Compact"/>
      </w:pPr>
      <w:r>
        <w:t xml:space="preserve">Set a character limit</w:t>
      </w:r>
    </w:p>
    <w:p>
      <w:pPr>
        <w:numPr>
          <w:ilvl w:val="1"/>
          <w:numId w:val="1104"/>
        </w:numPr>
        <w:pStyle w:val="Compact"/>
      </w:pPr>
      <w:r>
        <w:t xml:space="preserve">Most statistical programs have a limit on variable name characters</w:t>
      </w:r>
    </w:p>
    <w:p>
      <w:pPr>
        <w:numPr>
          <w:ilvl w:val="2"/>
          <w:numId w:val="1105"/>
        </w:numPr>
        <w:pStyle w:val="Compact"/>
      </w:pPr>
      <w:r>
        <w:t xml:space="preserve">SPSS is 64</w:t>
      </w:r>
    </w:p>
    <w:p>
      <w:pPr>
        <w:numPr>
          <w:ilvl w:val="2"/>
          <w:numId w:val="1105"/>
        </w:numPr>
        <w:pStyle w:val="Compact"/>
      </w:pPr>
      <w:r>
        <w:t xml:space="preserve">Stata is 32</w:t>
      </w:r>
    </w:p>
    <w:p>
      <w:pPr>
        <w:numPr>
          <w:ilvl w:val="2"/>
          <w:numId w:val="1105"/>
        </w:numPr>
        <w:pStyle w:val="Compact"/>
      </w:pPr>
      <w:r>
        <w:t xml:space="preserve">SAS is 32</w:t>
      </w:r>
    </w:p>
    <w:p>
      <w:pPr>
        <w:numPr>
          <w:ilvl w:val="2"/>
          <w:numId w:val="1105"/>
        </w:numPr>
        <w:pStyle w:val="Compact"/>
      </w:pPr>
      <w:r>
        <w:t xml:space="preserve">Mplus is 8</w:t>
      </w:r>
    </w:p>
    <w:p>
      <w:pPr>
        <w:numPr>
          <w:ilvl w:val="2"/>
          <w:numId w:val="1105"/>
        </w:numPr>
        <w:pStyle w:val="Compact"/>
      </w:pPr>
      <w:r>
        <w:t xml:space="preserve">R is 10,000</w:t>
      </w:r>
    </w:p>
    <w:p>
      <w:pPr>
        <w:numPr>
          <w:ilvl w:val="1"/>
          <w:numId w:val="1104"/>
        </w:numPr>
        <w:pStyle w:val="Compact"/>
      </w:pPr>
      <w:r>
        <w:t xml:space="preserve">With this said, do not limit yourself to 8 characters based on the fact that one future user may use a program like Mplus. Consider the balance between character limit and interpretation. It is very difficult to make good human-readable variable names under 8 characters. It is much easier to make them under 32. And the majority of your users will be using a program with a limit of 32 or more. If you have one potential Mplus user, they can always rename your variables for their specific analysis.</w:t>
      </w:r>
    </w:p>
    <w:p>
      <w:pPr>
        <w:numPr>
          <w:ilvl w:val="0"/>
          <w:numId w:val="1103"/>
        </w:numPr>
        <w:pStyle w:val="Compact"/>
      </w:pPr>
      <w:r>
        <w:t xml:space="preserve">Use the same variable name across time in a project</w:t>
      </w:r>
    </w:p>
    <w:p>
      <w:pPr>
        <w:numPr>
          <w:ilvl w:val="1"/>
          <w:numId w:val="1106"/>
        </w:numPr>
        <w:pStyle w:val="Compact"/>
      </w:pPr>
      <w:r>
        <w:t xml:space="preserve">If an item is named</w:t>
      </w:r>
      <w:r>
        <w:t xml:space="preserve"> </w:t>
      </w:r>
      <w:r>
        <w:rPr>
          <w:rStyle w:val="VerbatimChar"/>
        </w:rPr>
        <w:t xml:space="preserve">anx1</w:t>
      </w:r>
      <w:r>
        <w:t xml:space="preserve"> </w:t>
      </w:r>
      <w:r>
        <w:t xml:space="preserve">in the fall, name that same item</w:t>
      </w:r>
      <w:r>
        <w:t xml:space="preserve"> </w:t>
      </w:r>
      <w:r>
        <w:rPr>
          <w:rStyle w:val="VerbatimChar"/>
        </w:rPr>
        <w:t xml:space="preserve">anx1</w:t>
      </w:r>
      <w:r>
        <w:t xml:space="preserve"> </w:t>
      </w:r>
      <w:r>
        <w:t xml:space="preserve">again in the spring</w:t>
      </w:r>
    </w:p>
    <w:p>
      <w:pPr>
        <w:numPr>
          <w:ilvl w:val="0"/>
          <w:numId w:val="1103"/>
        </w:numPr>
        <w:pStyle w:val="Compact"/>
      </w:pPr>
      <w:r>
        <w:t xml:space="preserve">Don’t use spaces or special characters (except</w:t>
      </w:r>
      <w:r>
        <w:rPr>
          <w:rStyle w:val="VerbatimChar"/>
        </w:rPr>
        <w:t xml:space="preserve">_</w:t>
      </w:r>
      <w:r>
        <w:t xml:space="preserve">), they are not allowed in most programs</w:t>
      </w:r>
    </w:p>
    <w:p>
      <w:pPr>
        <w:numPr>
          <w:ilvl w:val="1"/>
          <w:numId w:val="1107"/>
        </w:numPr>
        <w:pStyle w:val="Compact"/>
      </w:pPr>
      <w:r>
        <w:t xml:space="preserve">Even the</w:t>
      </w:r>
      <w:r>
        <w:t xml:space="preserve"> </w:t>
      </w:r>
      <w:r>
        <w:rPr>
          <w:rStyle w:val="VerbatimChar"/>
        </w:rPr>
        <w:t xml:space="preserve">-</w:t>
      </w:r>
      <w:r>
        <w:t xml:space="preserve"> </w:t>
      </w:r>
      <w:r>
        <w:t xml:space="preserve">is not allowed in programs such as R and SPSS as it can be mistaken for a minus sign</w:t>
      </w:r>
    </w:p>
    <w:p>
      <w:pPr>
        <w:numPr>
          <w:ilvl w:val="1"/>
          <w:numId w:val="1107"/>
        </w:numPr>
        <w:pStyle w:val="Compact"/>
      </w:pPr>
      <w:r>
        <w:t xml:space="preserve">While</w:t>
      </w:r>
      <w:r>
        <w:t xml:space="preserve"> </w:t>
      </w:r>
      <w:r>
        <w:rPr>
          <w:rStyle w:val="VerbatimChar"/>
        </w:rPr>
        <w:t xml:space="preserve">.</w:t>
      </w:r>
      <w:r>
        <w:t xml:space="preserve"> </w:t>
      </w:r>
      <w:r>
        <w:t xml:space="preserve">is allowed in R and SPSS it is not allowed in Stata so it’s best to avoid using it</w:t>
      </w:r>
    </w:p>
    <w:p>
      <w:pPr>
        <w:numPr>
          <w:ilvl w:val="0"/>
          <w:numId w:val="1103"/>
        </w:numPr>
        <w:pStyle w:val="Compact"/>
      </w:pPr>
      <w:r>
        <w:t xml:space="preserve">Do not start a variable name with a number. This is not allowed in many statistical programs.</w:t>
      </w:r>
    </w:p>
    <w:p>
      <w:pPr>
        <w:numPr>
          <w:ilvl w:val="0"/>
          <w:numId w:val="1103"/>
        </w:numPr>
        <w:pStyle w:val="Compact"/>
      </w:pPr>
      <w:r>
        <w:t xml:space="preserve">All variable names should be unique</w:t>
      </w:r>
    </w:p>
    <w:p>
      <w:pPr>
        <w:numPr>
          <w:ilvl w:val="1"/>
          <w:numId w:val="1108"/>
        </w:numPr>
        <w:pStyle w:val="Compact"/>
      </w:pPr>
      <w:r>
        <w:t xml:space="preserve">This absolutely applies to variables within the same dataset, but it should also apply to all variables across datasets within a project. The reason is, at some point you may merge data across forms and end up with identical variable names (which programs will not allow).</w:t>
      </w:r>
    </w:p>
    <w:p>
      <w:pPr>
        <w:numPr>
          <w:ilvl w:val="1"/>
          <w:numId w:val="1108"/>
        </w:numPr>
        <w:pStyle w:val="Compact"/>
      </w:pPr>
      <w:r>
        <w:t xml:space="preserve">So, for example if you collect student gender from a survey and you also collect student gender from school records, differentiate between the two (</w:t>
      </w:r>
      <w:r>
        <w:rPr>
          <w:rStyle w:val="VerbatimChar"/>
        </w:rPr>
        <w:t xml:space="preserve">s_gender</w:t>
      </w:r>
      <w:r>
        <w:t xml:space="preserve"> </w:t>
      </w:r>
      <w:r>
        <w:t xml:space="preserve">and</w:t>
      </w:r>
      <w:r>
        <w:t xml:space="preserve"> </w:t>
      </w:r>
      <w:r>
        <w:rPr>
          <w:rStyle w:val="VerbatimChar"/>
        </w:rPr>
        <w:t xml:space="preserve">d_gender</w:t>
      </w:r>
      <w:r>
        <w:t xml:space="preserve">)</w:t>
      </w:r>
    </w:p>
    <w:p>
      <w:pPr>
        <w:numPr>
          <w:ilvl w:val="0"/>
          <w:numId w:val="1103"/>
        </w:numPr>
        <w:pStyle w:val="Compact"/>
      </w:pPr>
      <w:r>
        <w:t xml:space="preserve">If you substantively change an item (substantive wording OR response options change) after at least one round of data has been collected, version your variable names in order to reduce errors in interpretation.</w:t>
      </w:r>
    </w:p>
    <w:p>
      <w:pPr>
        <w:numPr>
          <w:ilvl w:val="1"/>
          <w:numId w:val="1109"/>
        </w:numPr>
        <w:pStyle w:val="Compact"/>
      </w:pPr>
      <w:r>
        <w:t xml:space="preserve">For example revised</w:t>
      </w:r>
      <w:r>
        <w:t xml:space="preserve"> </w:t>
      </w:r>
      <w:r>
        <w:rPr>
          <w:rStyle w:val="VerbatimChar"/>
        </w:rPr>
        <w:t xml:space="preserve">anx1</w:t>
      </w:r>
      <w:r>
        <w:t xml:space="preserve"> </w:t>
      </w:r>
      <w:r>
        <w:t xml:space="preserve">becomes</w:t>
      </w:r>
      <w:r>
        <w:t xml:space="preserve"> </w:t>
      </w:r>
      <w:r>
        <w:rPr>
          <w:rStyle w:val="VerbatimChar"/>
        </w:rPr>
        <w:t xml:space="preserve">anx1_v2</w:t>
      </w:r>
    </w:p>
    <w:p>
      <w:pPr>
        <w:pStyle w:val="FirstParagraph"/>
      </w:pPr>
      <w:r>
        <w:rPr>
          <w:bCs/>
          <w:b/>
        </w:rPr>
        <w:t xml:space="preserve">Suggested:</w:t>
      </w:r>
    </w:p>
    <w:p>
      <w:pPr>
        <w:numPr>
          <w:ilvl w:val="0"/>
          <w:numId w:val="1110"/>
        </w:numPr>
        <w:pStyle w:val="Compact"/>
      </w:pPr>
      <w:r>
        <w:t xml:space="preserve">Names should be meaningful</w:t>
      </w:r>
    </w:p>
    <w:p>
      <w:pPr>
        <w:numPr>
          <w:ilvl w:val="1"/>
          <w:numId w:val="1111"/>
        </w:numPr>
        <w:pStyle w:val="Compact"/>
      </w:pPr>
      <w:r>
        <w:t xml:space="preserve">Instead of naming gender</w:t>
      </w:r>
      <w:r>
        <w:t xml:space="preserve"> </w:t>
      </w:r>
      <w:r>
        <w:rPr>
          <w:rStyle w:val="VerbatimChar"/>
        </w:rPr>
        <w:t xml:space="preserve">q1</w:t>
      </w:r>
      <w:r>
        <w:t xml:space="preserve">, name it</w:t>
      </w:r>
      <w:r>
        <w:t xml:space="preserve"> </w:t>
      </w:r>
      <w:r>
        <w:rPr>
          <w:rStyle w:val="VerbatimChar"/>
        </w:rPr>
        <w:t xml:space="preserve">gender</w:t>
      </w:r>
    </w:p>
    <w:p>
      <w:pPr>
        <w:numPr>
          <w:ilvl w:val="1"/>
          <w:numId w:val="1111"/>
        </w:numPr>
        <w:pStyle w:val="Compact"/>
      </w:pPr>
      <w:r>
        <w:t xml:space="preserve">If a variable is a part of a scale, consider using an abbreviation of that scale plus the scale item number (</w:t>
      </w:r>
      <w:r>
        <w:rPr>
          <w:rStyle w:val="VerbatimChar"/>
        </w:rPr>
        <w:t xml:space="preserve">anx1</w:t>
      </w:r>
      <w:r>
        <w:t xml:space="preserve">,</w:t>
      </w:r>
      <w:r>
        <w:t xml:space="preserve"> </w:t>
      </w:r>
      <w:r>
        <w:rPr>
          <w:rStyle w:val="VerbatimChar"/>
        </w:rPr>
        <w:t xml:space="preserve">anx2</w:t>
      </w:r>
      <w:r>
        <w:t xml:space="preserve">,</w:t>
      </w:r>
      <w:r>
        <w:t xml:space="preserve"> </w:t>
      </w:r>
      <w:r>
        <w:rPr>
          <w:rStyle w:val="VerbatimChar"/>
        </w:rPr>
        <w:t xml:space="preserve">anx3</w:t>
      </w:r>
      <w:r>
        <w:t xml:space="preserve">)</w:t>
      </w:r>
    </w:p>
    <w:p>
      <w:pPr>
        <w:numPr>
          <w:ilvl w:val="2"/>
          <w:numId w:val="1112"/>
        </w:numPr>
        <w:pStyle w:val="Compact"/>
      </w:pPr>
      <w:r>
        <w:t xml:space="preserve">Not only does this allow you to easily associate an item with a scale, but it also allows you to programatically select and manipulate scale items (for example, sum all items that start with</w:t>
      </w:r>
      <w:r>
        <w:t xml:space="preserve"> </w:t>
      </w:r>
      <w:r>
        <w:t xml:space="preserve">“</w:t>
      </w:r>
      <w:r>
        <w:t xml:space="preserve">anx</w:t>
      </w:r>
      <w:r>
        <w:t xml:space="preserve">”</w:t>
      </w:r>
      <w:r>
        <w:t xml:space="preserve">)</w:t>
      </w:r>
    </w:p>
    <w:p>
      <w:pPr>
        <w:numPr>
          <w:ilvl w:val="0"/>
          <w:numId w:val="1110"/>
        </w:numPr>
        <w:pStyle w:val="Compact"/>
      </w:pPr>
      <w:r>
        <w:t xml:space="preserve">If you have used the question/scale before, consider keeping the variable name the same across projects. This can be very useful if you ever want to combine data across projects.</w:t>
      </w:r>
    </w:p>
    <w:p>
      <w:pPr>
        <w:numPr>
          <w:ilvl w:val="0"/>
          <w:numId w:val="1110"/>
        </w:numPr>
        <w:pStyle w:val="Compact"/>
      </w:pPr>
      <w:r>
        <w:t xml:space="preserve">Be consistent with delimiters and capitalization. Follow an existing naming convention.</w:t>
      </w:r>
    </w:p>
    <w:p>
      <w:pPr>
        <w:numPr>
          <w:ilvl w:val="1"/>
          <w:numId w:val="1113"/>
        </w:numPr>
        <w:pStyle w:val="Compact"/>
      </w:pPr>
      <w:r>
        <w:t xml:space="preserve">Snake case (scale_sum) – preferred method for variable names</w:t>
      </w:r>
    </w:p>
    <w:p>
      <w:pPr>
        <w:numPr>
          <w:ilvl w:val="1"/>
          <w:numId w:val="1113"/>
        </w:numPr>
        <w:pStyle w:val="Compact"/>
      </w:pPr>
      <w:r>
        <w:t xml:space="preserve">Kebab case (scale-sum) – don’t use for variable names</w:t>
      </w:r>
    </w:p>
    <w:p>
      <w:pPr>
        <w:numPr>
          <w:ilvl w:val="1"/>
          <w:numId w:val="1113"/>
        </w:numPr>
        <w:pStyle w:val="Compact"/>
      </w:pPr>
      <w:r>
        <w:t xml:space="preserve">Train case (Scale-Sum) – don’t use for variable names</w:t>
      </w:r>
    </w:p>
    <w:p>
      <w:pPr>
        <w:numPr>
          <w:ilvl w:val="0"/>
          <w:numId w:val="1110"/>
        </w:numPr>
        <w:pStyle w:val="Compact"/>
      </w:pPr>
      <w:r>
        <w:t xml:space="preserve">Consider denoting reverse coding in the variable name to reduce confusion (</w:t>
      </w:r>
      <w:r>
        <w:rPr>
          <w:rStyle w:val="VerbatimChar"/>
        </w:rPr>
        <w:t xml:space="preserve">anx1_r</w:t>
      </w:r>
      <w:r>
        <w:t xml:space="preserve">)</w:t>
      </w:r>
    </w:p>
    <w:p>
      <w:pPr>
        <w:numPr>
          <w:ilvl w:val="0"/>
          <w:numId w:val="1110"/>
        </w:numPr>
        <w:pStyle w:val="Compact"/>
      </w:pPr>
      <w:r>
        <w:t xml:space="preserve">Choose abbreviations and standard phrases to use across all variables. Using controlled vocabularies improves interpretation and also makes data exploration and manipulation easier</w:t>
      </w:r>
      <w:r>
        <w:rPr>
          <w:rStyle w:val="FootnoteReference"/>
        </w:rPr>
        <w:footnoteReference w:id="572"/>
      </w:r>
      <w:r>
        <w:t xml:space="preserve">.</w:t>
      </w:r>
    </w:p>
    <w:p>
      <w:pPr>
        <w:numPr>
          <w:ilvl w:val="1"/>
          <w:numId w:val="1114"/>
        </w:numPr>
        <w:pStyle w:val="Compact"/>
      </w:pPr>
      <w:r>
        <w:t xml:space="preserve">mean = mean</w:t>
      </w:r>
    </w:p>
    <w:p>
      <w:pPr>
        <w:numPr>
          <w:ilvl w:val="1"/>
          <w:numId w:val="1114"/>
        </w:numPr>
        <w:pStyle w:val="Compact"/>
      </w:pPr>
      <w:r>
        <w:t xml:space="preserve">scaled score = ss</w:t>
      </w:r>
    </w:p>
    <w:p>
      <w:pPr>
        <w:numPr>
          <w:ilvl w:val="1"/>
          <w:numId w:val="1114"/>
        </w:numPr>
        <w:pStyle w:val="Compact"/>
      </w:pPr>
      <w:r>
        <w:t xml:space="preserve">percentile rank = pr</w:t>
      </w:r>
    </w:p>
    <w:p>
      <w:pPr>
        <w:numPr>
          <w:ilvl w:val="0"/>
          <w:numId w:val="1110"/>
        </w:numPr>
        <w:pStyle w:val="Compact"/>
      </w:pPr>
      <w:r>
        <w:t xml:space="preserve">Include an indication of the measure in the variable name (for example as a prefix) so you always know what instrument the item came from. This can also help with the unique variable name requirement above.</w:t>
      </w:r>
    </w:p>
    <w:p>
      <w:pPr>
        <w:numPr>
          <w:ilvl w:val="1"/>
          <w:numId w:val="1115"/>
        </w:numPr>
        <w:pStyle w:val="Compact"/>
      </w:pPr>
      <w:r>
        <w:t xml:space="preserve">s = student self-report</w:t>
      </w:r>
    </w:p>
    <w:p>
      <w:pPr>
        <w:numPr>
          <w:ilvl w:val="1"/>
          <w:numId w:val="1115"/>
        </w:numPr>
        <w:pStyle w:val="Compact"/>
      </w:pPr>
      <w:r>
        <w:t xml:space="preserve">t = teach report on students</w:t>
      </w:r>
    </w:p>
    <w:p>
      <w:pPr>
        <w:numPr>
          <w:ilvl w:val="1"/>
          <w:numId w:val="1115"/>
        </w:numPr>
        <w:pStyle w:val="Compact"/>
      </w:pPr>
      <w:r>
        <w:rPr>
          <w:rStyle w:val="VerbatimChar"/>
        </w:rPr>
        <w:t xml:space="preserve">s_anx1</w:t>
      </w:r>
      <w:r>
        <w:t xml:space="preserve">,</w:t>
      </w:r>
      <w:r>
        <w:t xml:space="preserve"> </w:t>
      </w:r>
      <w:r>
        <w:rPr>
          <w:rStyle w:val="VerbatimChar"/>
        </w:rPr>
        <w:t xml:space="preserve">t_conf2</w:t>
      </w:r>
    </w:p>
    <w:p>
      <w:pPr>
        <w:pStyle w:val="FirstParagraph"/>
      </w:pPr>
      <w:r>
        <w:rPr>
          <w:bCs/>
          <w:b/>
        </w:rPr>
        <w:t xml:space="preserve">Example variable naming style guide</w:t>
      </w:r>
    </w:p>
    <w:p>
      <w:pPr>
        <w:pStyle w:val="SourceCode"/>
      </w:pPr>
      <w:r>
        <w:rPr>
          <w:rStyle w:val="VerbatimChar"/>
        </w:rPr>
        <w:t xml:space="preserve">1. Use snake case</w:t>
      </w:r>
      <w:r>
        <w:br/>
      </w:r>
      <w:r>
        <w:rPr>
          <w:rStyle w:val="VerbatimChar"/>
        </w:rPr>
        <w:t xml:space="preserve">2. Keep names under 32 characters</w:t>
      </w:r>
      <w:r>
        <w:br/>
      </w:r>
      <w:r>
        <w:rPr>
          <w:rStyle w:val="VerbatimChar"/>
        </w:rPr>
        <w:t xml:space="preserve">3. Use meaningful variable names</w:t>
      </w:r>
      <w:r>
        <w:br/>
      </w:r>
      <w:r>
        <w:rPr>
          <w:rStyle w:val="VerbatimChar"/>
        </w:rPr>
        <w:t xml:space="preserve">4. If part of a scale, use scale abbreviation plus item number from the scale (not order number)</w:t>
      </w:r>
      <w:r>
        <w:br/>
      </w:r>
      <w:r>
        <w:rPr>
          <w:rStyle w:val="VerbatimChar"/>
        </w:rPr>
        <w:t xml:space="preserve">5. Include an indication of the measure as a prefix in the variable name</w:t>
      </w:r>
      <w:r>
        <w:br/>
      </w:r>
      <w:r>
        <w:rPr>
          <w:rStyle w:val="VerbatimChar"/>
        </w:rPr>
        <w:t xml:space="preserve">  - student self-report survey = s_</w:t>
      </w:r>
      <w:r>
        <w:br/>
      </w:r>
      <w:r>
        <w:rPr>
          <w:rStyle w:val="VerbatimChar"/>
        </w:rPr>
        <w:t xml:space="preserve">  - teacher self-report survey = t_</w:t>
      </w:r>
      <w:r>
        <w:br/>
      </w:r>
      <w:r>
        <w:rPr>
          <w:rStyle w:val="VerbatimChar"/>
        </w:rPr>
        <w:t xml:space="preserve">  - district student level data = d_</w:t>
      </w:r>
      <w:r>
        <w:br/>
      </w:r>
      <w:r>
        <w:rPr>
          <w:rStyle w:val="VerbatimChar"/>
        </w:rPr>
        <w:t xml:space="preserve">6. Denote reverse coded variables using suffix `_r`</w:t>
      </w:r>
    </w:p>
    <w:p>
      <w:pPr>
        <w:pStyle w:val="FirstParagraph"/>
      </w:pPr>
      <w:r>
        <w:rPr>
          <w:bCs/>
          <w:b/>
        </w:rPr>
        <w:t xml:space="preserve">Example variable names created using a style guide</w:t>
      </w:r>
    </w:p>
    <w:p>
      <w:pPr>
        <w:pStyle w:val="SourceCode"/>
      </w:pPr>
      <w:r>
        <w:rPr>
          <w:rStyle w:val="VerbatimChar"/>
        </w:rPr>
        <w:t xml:space="preserve">s_anx1</w:t>
      </w:r>
      <w:r>
        <w:br/>
      </w:r>
      <w:r>
        <w:rPr>
          <w:rStyle w:val="VerbatimChar"/>
        </w:rPr>
        <w:t xml:space="preserve">s_anx1_r</w:t>
      </w:r>
      <w:r>
        <w:br/>
      </w:r>
      <w:r>
        <w:rPr>
          <w:rStyle w:val="VerbatimChar"/>
        </w:rPr>
        <w:t xml:space="preserve">s_gender</w:t>
      </w:r>
      <w:r>
        <w:br/>
      </w:r>
      <w:r>
        <w:rPr>
          <w:rStyle w:val="VerbatimChar"/>
        </w:rPr>
        <w:t xml:space="preserve">d_gender</w:t>
      </w:r>
      <w:r>
        <w:br/>
      </w:r>
      <w:r>
        <w:rPr>
          <w:rStyle w:val="VerbatimChar"/>
        </w:rPr>
        <w:t xml:space="preserve">t_stress5</w:t>
      </w:r>
    </w:p>
    <w:bookmarkStart w:id="576" w:name="time"/>
    <w:p>
      <w:pPr>
        <w:pStyle w:val="Heading3"/>
      </w:pPr>
      <w:r>
        <w:rPr>
          <w:rStyle w:val="SectionNumber"/>
        </w:rPr>
        <w:t xml:space="preserve">8.4.1</w:t>
      </w:r>
      <w:r>
        <w:tab/>
      </w:r>
      <w:r>
        <w:t xml:space="preserve">Time</w:t>
      </w:r>
    </w:p>
    <w:p>
      <w:pPr>
        <w:pStyle w:val="FirstParagraph"/>
      </w:pPr>
      <w:r>
        <w:t xml:space="preserve">Before moving on there is one last consideration for variable names. If your data is longitudinal, you may need to add rules for accounting for time in your variable names as well.</w:t>
      </w:r>
    </w:p>
    <w:p>
      <w:pPr>
        <w:pStyle w:val="BodyText"/>
      </w:pPr>
      <w:r>
        <w:t xml:space="preserve">Depending on how you plan to combine your data over time, there are two different ways to account for time.</w:t>
      </w:r>
    </w:p>
    <w:p>
      <w:pPr>
        <w:numPr>
          <w:ilvl w:val="0"/>
          <w:numId w:val="1116"/>
        </w:numPr>
        <w:pStyle w:val="Compact"/>
      </w:pPr>
      <w:r>
        <w:t xml:space="preserve">Concatenate time to your variable names. You do this if you plan to merge your data across time in</w:t>
      </w:r>
      <w:r>
        <w:t xml:space="preserve"> </w:t>
      </w:r>
      <w:hyperlink w:anchor="structure">
        <w:r>
          <w:rPr>
            <w:rStyle w:val="Hyperlink"/>
          </w:rPr>
          <w:t xml:space="preserve">wide format</w:t>
        </w:r>
      </w:hyperlink>
      <w:r>
        <w:t xml:space="preserve">. The reason you need to concatenate time to your variable names here is because your variable names will repeat (</w:t>
      </w:r>
      <w:r>
        <w:rPr>
          <w:rStyle w:val="VerbatimChar"/>
        </w:rPr>
        <w:t xml:space="preserve">anx1</w:t>
      </w:r>
      <w:r>
        <w:t xml:space="preserve"> </w:t>
      </w:r>
      <w:r>
        <w:t xml:space="preserve">in wave 1,</w:t>
      </w:r>
      <w:r>
        <w:t xml:space="preserve"> </w:t>
      </w:r>
      <w:r>
        <w:rPr>
          <w:rStyle w:val="VerbatimChar"/>
        </w:rPr>
        <w:t xml:space="preserve">anx1</w:t>
      </w:r>
      <w:r>
        <w:t xml:space="preserve"> </w:t>
      </w:r>
      <w:r>
        <w:t xml:space="preserve">in wave 2). And remember from our guidelines above, all variable names in a dataset</w:t>
      </w:r>
      <w:r>
        <w:t xml:space="preserve"> </w:t>
      </w:r>
      <w:r>
        <w:rPr>
          <w:bCs/>
          <w:b/>
        </w:rPr>
        <w:t xml:space="preserve">must</w:t>
      </w:r>
      <w:r>
        <w:t xml:space="preserve"> </w:t>
      </w:r>
      <w:r>
        <w:t xml:space="preserve">be unique. In order to create unique variable names and correctly interpret when items were given, we add time to our variable names. The only variables you will not assign time to are your</w:t>
      </w:r>
      <w:r>
        <w:t xml:space="preserve"> </w:t>
      </w:r>
      <w:hyperlink w:anchor="columns">
        <w:r>
          <w:rPr>
            <w:rStyle w:val="Hyperlink"/>
          </w:rPr>
          <w:t xml:space="preserve">linking variables</w:t>
        </w:r>
      </w:hyperlink>
      <w:r>
        <w:t xml:space="preserve"> </w:t>
      </w:r>
      <w:r>
        <w:t xml:space="preserve">(such as student unique identifier, teacher unique identifier, and so on). Those variables need to stay identical for linking purposes and will only appear once in your data after merging.</w:t>
      </w:r>
    </w:p>
    <w:p>
      <w:pPr>
        <w:numPr>
          <w:ilvl w:val="0"/>
          <w:numId w:val="1116"/>
        </w:numPr>
        <w:pStyle w:val="Compact"/>
      </w:pPr>
      <w:r>
        <w:t xml:space="preserve">Create time variables and add them to your data. You do this if you plan to append your data over time in</w:t>
      </w:r>
      <w:r>
        <w:t xml:space="preserve"> </w:t>
      </w:r>
      <w:hyperlink w:anchor="structure">
        <w:r>
          <w:rPr>
            <w:rStyle w:val="Hyperlink"/>
          </w:rPr>
          <w:t xml:space="preserve">long format</w:t>
        </w:r>
      </w:hyperlink>
      <w:r>
        <w:t xml:space="preserve">. Appending your data in long format requires no additional work in terms of variable naming. As discussed in our data structure chapter, you actually want your variables to be identically formatted and named across time when appending. So here, in order to differentiate when items were asked, we add a new variable such as</w:t>
      </w:r>
      <w:r>
        <w:t xml:space="preserve"> </w:t>
      </w:r>
      <w:r>
        <w:rPr>
          <w:rStyle w:val="VerbatimChar"/>
        </w:rPr>
        <w:t xml:space="preserve">time</w:t>
      </w:r>
      <w:r>
        <w:t xml:space="preserve"> </w:t>
      </w:r>
      <w:r>
        <w:t xml:space="preserve">or</w:t>
      </w:r>
      <w:r>
        <w:t xml:space="preserve"> </w:t>
      </w:r>
      <w:r>
        <w:rPr>
          <w:rStyle w:val="VerbatimChar"/>
        </w:rPr>
        <w:t xml:space="preserve">wave</w:t>
      </w:r>
      <w:r>
        <w:t xml:space="preserve"> </w:t>
      </w:r>
      <w:r>
        <w:t xml:space="preserve">and add the appropriate value for each row.</w:t>
      </w:r>
    </w:p>
    <w:p>
      <w:pPr>
        <w:pStyle w:val="FirstParagraph"/>
      </w:pPr>
      <w:r>
        <w:t xml:space="preserve">During an active project, it is actually best to not combine data and to store all datasets as distinct files until you are either ready to internally use your data or you are ready to publicly share your data (during the preparing for archiving phase). At that time you can make a decision on the best way to combine your data (if you need to combine them at all), and programatically add time to variable names (if necessary).</w:t>
      </w:r>
      <w:r>
        <w:rPr>
          <w:rStyle w:val="FootnoteReference"/>
        </w:rPr>
        <w:footnoteReference w:id="574"/>
      </w:r>
      <w:r>
        <w:t xml:space="preserve"> Waiting to combine data has benefits:</w:t>
      </w:r>
    </w:p>
    <w:p>
      <w:pPr>
        <w:numPr>
          <w:ilvl w:val="0"/>
          <w:numId w:val="1117"/>
        </w:numPr>
        <w:pStyle w:val="Compact"/>
      </w:pPr>
      <w:r>
        <w:t xml:space="preserve">Having variables named consistently over time (with no time component added) allows you to easily reuse your data collection and data capture tools, as well as your cleaning code, each wave.</w:t>
      </w:r>
    </w:p>
    <w:p>
      <w:pPr>
        <w:numPr>
          <w:ilvl w:val="0"/>
          <w:numId w:val="1117"/>
        </w:numPr>
        <w:pStyle w:val="Compact"/>
      </w:pPr>
      <w:r>
        <w:t xml:space="preserve">Storing files separately prevents you from potentially wasting time combining your data in a way that ends up not actually being useful or from wasting time merging datasets that later need to be re-combined because you find an error in an individual dataset at some point.</w:t>
      </w:r>
    </w:p>
    <w:bookmarkStart w:id="575" w:name="time-in-variable-names"/>
    <w:p>
      <w:pPr>
        <w:pStyle w:val="Heading4"/>
      </w:pPr>
      <w:r>
        <w:rPr>
          <w:rStyle w:val="SectionNumber"/>
        </w:rPr>
        <w:t xml:space="preserve">8.4.1.1</w:t>
      </w:r>
      <w:r>
        <w:tab/>
      </w:r>
      <w:r>
        <w:t xml:space="preserve">Time in variable names</w:t>
      </w:r>
    </w:p>
    <w:p>
      <w:pPr>
        <w:pStyle w:val="FirstParagraph"/>
      </w:pPr>
      <w:r>
        <w:t xml:space="preserve">While combining your datasets across time should not happen early on in your project, it is helpful to consider early on how you</w:t>
      </w:r>
      <w:r>
        <w:t xml:space="preserve"> </w:t>
      </w:r>
      <w:r>
        <w:rPr>
          <w:iCs/>
          <w:i/>
        </w:rPr>
        <w:t xml:space="preserve">might</w:t>
      </w:r>
      <w:r>
        <w:t xml:space="preserve"> </w:t>
      </w:r>
      <w:r>
        <w:t xml:space="preserve">combine data in the future. If you do plan to potentially merge data in a wide format, it can be helpful to go ahead and plan your rule for adding time to variable names, and add that rule to your style guide. Just be abundantly clear in your guide that this time component should only be added when datasets are combined.</w:t>
      </w:r>
    </w:p>
    <w:p>
      <w:pPr>
        <w:pStyle w:val="BodyText"/>
      </w:pPr>
      <w:r>
        <w:t xml:space="preserve">There is no right or wrong way to assign time in your variable names necessarily. Just make sure you continue to follow the rules from above (such as never starting a variable name with a number). Below are some options for adding time to a sample variable,</w:t>
      </w:r>
      <w:r>
        <w:t xml:space="preserve"> </w:t>
      </w:r>
      <w:r>
        <w:rPr>
          <w:rStyle w:val="VerbatimChar"/>
        </w:rPr>
        <w:t xml:space="preserve">s_gender</w:t>
      </w:r>
      <w:r>
        <w:t xml:space="preserve">.</w:t>
      </w:r>
    </w:p>
    <w:p>
      <w:pPr>
        <w:numPr>
          <w:ilvl w:val="0"/>
          <w:numId w:val="1118"/>
        </w:numPr>
        <w:pStyle w:val="Compact"/>
      </w:pPr>
      <w:r>
        <w:t xml:space="preserve">As a prefix or suffix with a generic abbreviation, such as</w:t>
      </w:r>
      <w:r>
        <w:t xml:space="preserve"> </w:t>
      </w:r>
      <w:r>
        <w:rPr>
          <w:rStyle w:val="VerbatimChar"/>
        </w:rPr>
        <w:t xml:space="preserve">w1</w:t>
      </w:r>
      <w:r>
        <w:t xml:space="preserve"> </w:t>
      </w:r>
      <w:r>
        <w:t xml:space="preserve">for wave 1, added with a delimiter</w:t>
      </w:r>
      <w:r>
        <w:t xml:space="preserve"> </w:t>
      </w:r>
      <w:r>
        <w:rPr>
          <w:rStyle w:val="VerbatimChar"/>
        </w:rPr>
        <w:t xml:space="preserve">_</w:t>
      </w:r>
    </w:p>
    <w:p>
      <w:pPr>
        <w:numPr>
          <w:ilvl w:val="1"/>
          <w:numId w:val="1119"/>
        </w:numPr>
        <w:pStyle w:val="Compact"/>
      </w:pPr>
      <w:r>
        <w:rPr>
          <w:rStyle w:val="VerbatimChar"/>
        </w:rPr>
        <w:t xml:space="preserve">w1_s_gender</w:t>
      </w:r>
      <w:r>
        <w:t xml:space="preserve"> </w:t>
      </w:r>
      <w:r>
        <w:t xml:space="preserve">or</w:t>
      </w:r>
      <w:r>
        <w:t xml:space="preserve"> </w:t>
      </w:r>
      <w:r>
        <w:rPr>
          <w:rStyle w:val="VerbatimChar"/>
        </w:rPr>
        <w:t xml:space="preserve">s_gender_w1</w:t>
      </w:r>
    </w:p>
    <w:p>
      <w:pPr>
        <w:numPr>
          <w:ilvl w:val="0"/>
          <w:numId w:val="1118"/>
        </w:numPr>
        <w:pStyle w:val="Compact"/>
      </w:pPr>
      <w:r>
        <w:t xml:space="preserve">As a prefix or suffix with a meaningful abbreviation, such as</w:t>
      </w:r>
      <w:r>
        <w:t xml:space="preserve"> </w:t>
      </w:r>
      <w:r>
        <w:rPr>
          <w:rStyle w:val="VerbatimChar"/>
        </w:rPr>
        <w:t xml:space="preserve">f21</w:t>
      </w:r>
      <w:r>
        <w:t xml:space="preserve"> </w:t>
      </w:r>
      <w:r>
        <w:t xml:space="preserve">for fall 2021, added with a delimiter (</w:t>
      </w:r>
      <w:r>
        <w:rPr>
          <w:rStyle w:val="VerbatimChar"/>
        </w:rPr>
        <w:t xml:space="preserve">_</w:t>
      </w:r>
      <w:r>
        <w:t xml:space="preserve">)</w:t>
      </w:r>
    </w:p>
    <w:p>
      <w:pPr>
        <w:numPr>
          <w:ilvl w:val="1"/>
          <w:numId w:val="1120"/>
        </w:numPr>
        <w:pStyle w:val="Compact"/>
      </w:pPr>
      <w:r>
        <w:rPr>
          <w:rStyle w:val="VerbatimChar"/>
        </w:rPr>
        <w:t xml:space="preserve">f21_s_gender</w:t>
      </w:r>
      <w:r>
        <w:t xml:space="preserve"> </w:t>
      </w:r>
      <w:r>
        <w:t xml:space="preserve">or</w:t>
      </w:r>
      <w:r>
        <w:t xml:space="preserve"> </w:t>
      </w:r>
      <w:r>
        <w:rPr>
          <w:rStyle w:val="VerbatimChar"/>
        </w:rPr>
        <w:t xml:space="preserve">s_gender_f21</w:t>
      </w:r>
    </w:p>
    <w:p>
      <w:pPr>
        <w:numPr>
          <w:ilvl w:val="0"/>
          <w:numId w:val="1118"/>
        </w:numPr>
        <w:pStyle w:val="Compact"/>
      </w:pPr>
      <w:r>
        <w:t xml:space="preserve">One of the above options with no delimiter</w:t>
      </w:r>
    </w:p>
    <w:p>
      <w:pPr>
        <w:numPr>
          <w:ilvl w:val="1"/>
          <w:numId w:val="1121"/>
        </w:numPr>
        <w:pStyle w:val="Compact"/>
      </w:pPr>
      <w:r>
        <w:rPr>
          <w:rStyle w:val="VerbatimChar"/>
        </w:rPr>
        <w:t xml:space="preserve">w1s_gender</w:t>
      </w:r>
      <w:r>
        <w:t xml:space="preserve"> </w:t>
      </w:r>
      <w:r>
        <w:t xml:space="preserve">or</w:t>
      </w:r>
      <w:r>
        <w:t xml:space="preserve"> </w:t>
      </w:r>
      <w:r>
        <w:rPr>
          <w:rStyle w:val="VerbatimChar"/>
        </w:rPr>
        <w:t xml:space="preserve">s_genderw1</w:t>
      </w:r>
    </w:p>
    <w:p>
      <w:pPr>
        <w:numPr>
          <w:ilvl w:val="0"/>
          <w:numId w:val="1118"/>
        </w:numPr>
        <w:pStyle w:val="Compact"/>
      </w:pPr>
      <w:r>
        <w:t xml:space="preserve">As a number embedded into your variable at a certain location, for instance, after an existing prefix such as</w:t>
      </w:r>
      <w:r>
        <w:t xml:space="preserve"> </w:t>
      </w:r>
      <w:r>
        <w:rPr>
          <w:rStyle w:val="VerbatimChar"/>
        </w:rPr>
        <w:t xml:space="preserve">s</w:t>
      </w:r>
      <w:r>
        <w:t xml:space="preserve"> </w:t>
      </w:r>
      <w:r>
        <w:t xml:space="preserve">for</w:t>
      </w:r>
      <w:r>
        <w:t xml:space="preserve"> </w:t>
      </w:r>
      <w:r>
        <w:rPr>
          <w:rStyle w:val="VerbatimChar"/>
        </w:rPr>
        <w:t xml:space="preserve">student survey</w:t>
      </w:r>
    </w:p>
    <w:p>
      <w:pPr>
        <w:numPr>
          <w:ilvl w:val="1"/>
          <w:numId w:val="1122"/>
        </w:numPr>
        <w:pStyle w:val="Compact"/>
      </w:pPr>
      <w:r>
        <w:rPr>
          <w:rStyle w:val="VerbatimChar"/>
        </w:rPr>
        <w:t xml:space="preserve">s1_gender</w:t>
      </w:r>
      <w:r>
        <w:t xml:space="preserve">,</w:t>
      </w:r>
      <w:r>
        <w:t xml:space="preserve"> </w:t>
      </w:r>
      <w:r>
        <w:rPr>
          <w:rStyle w:val="VerbatimChar"/>
        </w:rPr>
        <w:t xml:space="preserve">s2_gender</w:t>
      </w:r>
    </w:p>
    <w:p>
      <w:pPr>
        <w:pStyle w:val="FirstParagraph"/>
      </w:pPr>
      <w:r>
        <w:t xml:space="preserve">While the first and second method do add additional characters to your variable name, there are also benefits to adding time in these ways. First, it can be easier to visually spot and interpret the time component when it is separated with a delimiter. Second, adding time as a standalone component also allows you to more easily, programmatically, manipulate the time component of your variable. This gives you more flexibility in working with your data, especially in selecting variables and restructuring your datasets.</w:t>
      </w:r>
    </w:p>
    <w:bookmarkEnd w:id="575"/>
    <w:bookmarkEnd w:id="576"/>
    <w:bookmarkEnd w:id="577"/>
    <w:bookmarkStart w:id="582" w:name="value-coding"/>
    <w:p>
      <w:pPr>
        <w:pStyle w:val="Heading2"/>
      </w:pPr>
      <w:r>
        <w:rPr>
          <w:rStyle w:val="SectionNumber"/>
        </w:rPr>
        <w:t xml:space="preserve">8.5</w:t>
      </w:r>
      <w:r>
        <w:tab/>
      </w:r>
      <w:r>
        <w:t xml:space="preserve">Value Coding</w:t>
      </w:r>
    </w:p>
    <w:p>
      <w:pPr>
        <w:pStyle w:val="FirstParagraph"/>
      </w:pPr>
      <w:r>
        <w:t xml:space="preserve">In addition to naming variables in a standardized way, variables values also need to be added consistently. Value codes apply to any of your categorical variable. This may be numeric categorical values with associated labels (ex:</w:t>
      </w:r>
      <w:r>
        <w:t xml:space="preserve"> </w:t>
      </w:r>
      <w:r>
        <w:t xml:space="preserve">“</w:t>
      </w:r>
      <w:r>
        <w:t xml:space="preserve">no</w:t>
      </w:r>
      <w:r>
        <w:t xml:space="preserve">”</w:t>
      </w:r>
      <w:r>
        <w:t xml:space="preserve"> </w:t>
      </w:r>
      <w:r>
        <w:t xml:space="preserve">= 1) or it may be character categorical values with associated labels (ex:</w:t>
      </w:r>
      <w:r>
        <w:t xml:space="preserve"> </w:t>
      </w:r>
      <w:r>
        <w:t xml:space="preserve">“</w:t>
      </w:r>
      <w:r>
        <w:t xml:space="preserve">no</w:t>
      </w:r>
      <w:r>
        <w:t xml:space="preserve">”</w:t>
      </w:r>
      <w:r>
        <w:t xml:space="preserve"> </w:t>
      </w:r>
      <w:r>
        <w:t xml:space="preserve">=</w:t>
      </w:r>
      <w:r>
        <w:t xml:space="preserve"> </w:t>
      </w:r>
      <w:r>
        <w:t xml:space="preserve">‘</w:t>
      </w:r>
      <w:r>
        <w:t xml:space="preserve">n</w:t>
      </w:r>
      <w:r>
        <w:t xml:space="preserve">’</w:t>
      </w:r>
      <w:r>
        <w:t xml:space="preserve">).</w:t>
      </w:r>
    </w:p>
    <w:p>
      <w:pPr>
        <w:pStyle w:val="BodyText"/>
      </w:pPr>
      <w:r>
        <w:t xml:space="preserve">First, if you are using a pre-existing measure, assign values and labels in the manner that the technical documentation tells you to assign codes. That will be important for any further derivations you need to make later on based on those measures. Otherwise, you will be assigning your own values and labels. Some guidelines for assigning codes and labels (as well as examples for how to apply those guidelines) are below.</w:t>
      </w:r>
    </w:p>
    <w:p>
      <w:pPr>
        <w:numPr>
          <w:ilvl w:val="0"/>
          <w:numId w:val="1123"/>
        </w:numPr>
        <w:pStyle w:val="Compact"/>
      </w:pPr>
      <w:r>
        <w:t xml:space="preserve">Values must be unique</w:t>
      </w:r>
    </w:p>
    <w:p>
      <w:pPr>
        <w:numPr>
          <w:ilvl w:val="1"/>
          <w:numId w:val="1124"/>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w:t>
      </w:r>
    </w:p>
    <w:p>
      <w:pPr>
        <w:numPr>
          <w:ilvl w:val="1"/>
          <w:numId w:val="1124"/>
        </w:numPr>
        <w:pStyle w:val="Compact"/>
      </w:pPr>
      <w:r>
        <w:t xml:space="preserve">Don’t: Assign</w:t>
      </w:r>
      <w:r>
        <w:t xml:space="preserve"> </w:t>
      </w:r>
      <w:r>
        <w:t xml:space="preserve">“</w:t>
      </w:r>
      <w:r>
        <w:t xml:space="preserve">yes</w:t>
      </w:r>
      <w:r>
        <w:t xml:space="preserve">”</w:t>
      </w:r>
      <w:r>
        <w:t xml:space="preserve"> </w:t>
      </w:r>
      <w:r>
        <w:t xml:space="preserve">= 1</w:t>
      </w:r>
      <w:r>
        <w:t xml:space="preserve"> </w:t>
      </w:r>
      <w:r>
        <w:rPr>
          <w:bCs/>
          <w:b/>
        </w:rPr>
        <w:t xml:space="preserve">and</w:t>
      </w:r>
      <w:r>
        <w:t xml:space="preserve"> </w:t>
      </w:r>
      <w:r>
        <w:t xml:space="preserve">“</w:t>
      </w:r>
      <w:r>
        <w:t xml:space="preserve">no</w:t>
      </w:r>
      <w:r>
        <w:t xml:space="preserve">”</w:t>
      </w:r>
      <w:r>
        <w:t xml:space="preserve"> </w:t>
      </w:r>
      <w:r>
        <w:t xml:space="preserve">= 1</w:t>
      </w:r>
    </w:p>
    <w:p>
      <w:pPr>
        <w:numPr>
          <w:ilvl w:val="0"/>
          <w:numId w:val="1123"/>
        </w:numPr>
        <w:pStyle w:val="Compact"/>
      </w:pPr>
      <w:r>
        <w:t xml:space="preserve">Values must be consistent within a variable</w:t>
      </w:r>
    </w:p>
    <w:p>
      <w:pPr>
        <w:numPr>
          <w:ilvl w:val="1"/>
          <w:numId w:val="1125"/>
        </w:numPr>
        <w:pStyle w:val="Compact"/>
      </w:pPr>
      <w:r>
        <w:t xml:space="preserve">Do: For</w:t>
      </w:r>
      <w:r>
        <w:t xml:space="preserve"> </w:t>
      </w:r>
      <w:r>
        <w:rPr>
          <w:rStyle w:val="VerbatimChar"/>
        </w:rPr>
        <w:t xml:space="preserve">gender</w:t>
      </w:r>
      <w:r>
        <w:t xml:space="preserve"> </w:t>
      </w:r>
      <w:r>
        <w:t xml:space="preserve">assign</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p>
    <w:p>
      <w:pPr>
        <w:numPr>
          <w:ilvl w:val="1"/>
          <w:numId w:val="1125"/>
        </w:numPr>
        <w:pStyle w:val="Compact"/>
      </w:pPr>
      <w:r>
        <w:t xml:space="preserve">Don’t: For</w:t>
      </w:r>
      <w:r>
        <w:t xml:space="preserve"> </w:t>
      </w:r>
      <w:r>
        <w:rPr>
          <w:rStyle w:val="VerbatimChar"/>
        </w:rPr>
        <w:t xml:space="preserve">gender</w:t>
      </w:r>
      <w:r>
        <w:t xml:space="preserve"> </w:t>
      </w:r>
      <w:r>
        <w:t xml:space="preserve">allow</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r>
        <w:t xml:space="preserve"> </w:t>
      </w:r>
      <w:r>
        <w:t xml:space="preserve">or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or</w:t>
      </w:r>
      <w:r>
        <w:t xml:space="preserve"> </w:t>
      </w:r>
      <w:r>
        <w:t xml:space="preserve">‘</w:t>
      </w:r>
      <w:r>
        <w:t xml:space="preserve">male</w:t>
      </w:r>
      <w:r>
        <w:t xml:space="preserve">’</w:t>
      </w:r>
    </w:p>
    <w:p>
      <w:pPr>
        <w:numPr>
          <w:ilvl w:val="0"/>
          <w:numId w:val="1123"/>
        </w:numPr>
        <w:pStyle w:val="Compact"/>
      </w:pPr>
      <w:r>
        <w:t xml:space="preserve">Values must be consistent across time</w:t>
      </w:r>
    </w:p>
    <w:p>
      <w:pPr>
        <w:numPr>
          <w:ilvl w:val="1"/>
          <w:numId w:val="1126"/>
        </w:numPr>
        <w:pStyle w:val="Compact"/>
      </w:pPr>
      <w:r>
        <w:t xml:space="preserve">Do: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w:t>
      </w:r>
      <w:r>
        <w:t xml:space="preserve"> </w:t>
      </w:r>
      <w:r>
        <w:rPr>
          <w:bCs/>
          <w:b/>
        </w:rPr>
        <w:t xml:space="preserve">and</w:t>
      </w:r>
      <w:r>
        <w:t xml:space="preserve"> </w:t>
      </w:r>
      <w:r>
        <w:t xml:space="preserve">wave 2</w:t>
      </w:r>
    </w:p>
    <w:p>
      <w:pPr>
        <w:numPr>
          <w:ilvl w:val="1"/>
          <w:numId w:val="1126"/>
        </w:numPr>
        <w:pStyle w:val="Compact"/>
      </w:pPr>
      <w:r>
        <w:t xml:space="preserve">Don’t: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 and 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in wave 2</w:t>
      </w:r>
    </w:p>
    <w:p>
      <w:pPr>
        <w:numPr>
          <w:ilvl w:val="0"/>
          <w:numId w:val="1123"/>
        </w:numPr>
        <w:pStyle w:val="Compact"/>
      </w:pPr>
      <w:r>
        <w:t xml:space="preserve">Values should be consistent across the project</w:t>
      </w:r>
    </w:p>
    <w:p>
      <w:pPr>
        <w:numPr>
          <w:ilvl w:val="1"/>
          <w:numId w:val="1127"/>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as the value for all yes/no items</w:t>
      </w:r>
    </w:p>
    <w:p>
      <w:pPr>
        <w:numPr>
          <w:ilvl w:val="1"/>
          <w:numId w:val="1127"/>
        </w:numPr>
        <w:pStyle w:val="Compact"/>
      </w:pPr>
      <w:r>
        <w:t xml:space="preserve">Don’t: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for some variables, and</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for others</w:t>
      </w:r>
    </w:p>
    <w:p>
      <w:pPr>
        <w:numPr>
          <w:ilvl w:val="2"/>
          <w:numId w:val="1128"/>
        </w:numPr>
        <w:pStyle w:val="Compact"/>
      </w:pPr>
      <w:r>
        <w:t xml:space="preserve">Unless a pre-existing measure determines how some variables are coded</w:t>
      </w:r>
    </w:p>
    <w:p>
      <w:pPr>
        <w:numPr>
          <w:ilvl w:val="0"/>
          <w:numId w:val="1123"/>
        </w:numPr>
        <w:pStyle w:val="Compact"/>
      </w:pPr>
      <w:r>
        <w:t xml:space="preserve">Order Likert-type scale response options in a logical way</w:t>
      </w:r>
    </w:p>
    <w:p>
      <w:pPr>
        <w:numPr>
          <w:ilvl w:val="1"/>
          <w:numId w:val="1129"/>
        </w:numPr>
        <w:pStyle w:val="Compact"/>
      </w:pPr>
      <w:r>
        <w:t xml:space="preserve">Do: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2;</w:t>
      </w:r>
      <w:r>
        <w:t xml:space="preserve"> </w:t>
      </w:r>
      <w:r>
        <w:t xml:space="preserve">“</w:t>
      </w:r>
      <w:r>
        <w:t xml:space="preserve">Agree</w:t>
      </w:r>
      <w:r>
        <w:t xml:space="preserve">”</w:t>
      </w:r>
      <w:r>
        <w:t xml:space="preserve"> </w:t>
      </w:r>
      <w:r>
        <w:t xml:space="preserve">= 3;</w:t>
      </w:r>
      <w:r>
        <w:t xml:space="preserve"> </w:t>
      </w:r>
      <w:r>
        <w:t xml:space="preserve">“</w:t>
      </w:r>
      <w:r>
        <w:t xml:space="preserve">Strongly Agree</w:t>
      </w:r>
      <w:r>
        <w:t xml:space="preserve">”</w:t>
      </w:r>
      <w:r>
        <w:t xml:space="preserve"> </w:t>
      </w:r>
      <w:r>
        <w:t xml:space="preserve">= 4</w:t>
      </w:r>
      <w:r>
        <w:br/>
      </w:r>
    </w:p>
    <w:p>
      <w:pPr>
        <w:numPr>
          <w:ilvl w:val="1"/>
          <w:numId w:val="1129"/>
        </w:numPr>
        <w:pStyle w:val="Compact"/>
      </w:pPr>
      <w:r>
        <w:t xml:space="preserve">Don’t: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3;</w:t>
      </w:r>
      <w:r>
        <w:t xml:space="preserve"> </w:t>
      </w:r>
      <w:r>
        <w:t xml:space="preserve">“</w:t>
      </w:r>
      <w:r>
        <w:t xml:space="preserve">Agree</w:t>
      </w:r>
      <w:r>
        <w:t xml:space="preserve">”</w:t>
      </w:r>
      <w:r>
        <w:t xml:space="preserve"> </w:t>
      </w:r>
      <w:r>
        <w:t xml:space="preserve">= 4;</w:t>
      </w:r>
      <w:r>
        <w:t xml:space="preserve"> </w:t>
      </w:r>
      <w:r>
        <w:t xml:space="preserve">“</w:t>
      </w:r>
      <w:r>
        <w:t xml:space="preserve">Strongly Agree</w:t>
      </w:r>
      <w:r>
        <w:t xml:space="preserve">”</w:t>
      </w:r>
      <w:r>
        <w:t xml:space="preserve"> </w:t>
      </w:r>
      <w:r>
        <w:t xml:space="preserve">= 2</w:t>
      </w:r>
    </w:p>
    <w:p>
      <w:pPr>
        <w:numPr>
          <w:ilvl w:val="2"/>
          <w:numId w:val="1130"/>
        </w:numPr>
        <w:pStyle w:val="Compact"/>
      </w:pPr>
      <w:r>
        <w:t xml:space="preserve">Unless a pre-existing measure tells you to code variables in a different way</w:t>
      </w:r>
    </w:p>
    <w:p>
      <w:pPr>
        <w:numPr>
          <w:ilvl w:val="0"/>
          <w:numId w:val="1123"/>
        </w:numPr>
        <w:pStyle w:val="Compact"/>
      </w:pPr>
      <w:r>
        <w:t xml:space="preserve">Define missing values</w:t>
      </w:r>
    </w:p>
    <w:p>
      <w:pPr>
        <w:numPr>
          <w:ilvl w:val="1"/>
          <w:numId w:val="1131"/>
        </w:numPr>
        <w:pStyle w:val="Compact"/>
      </w:pPr>
      <w:r>
        <w:t xml:space="preserve">You may choose to leave all missing values as blank, NA, or NULL and that is okay</w:t>
      </w:r>
    </w:p>
    <w:p>
      <w:pPr>
        <w:numPr>
          <w:ilvl w:val="1"/>
          <w:numId w:val="1131"/>
        </w:numPr>
        <w:pStyle w:val="Compact"/>
      </w:pPr>
      <w:r>
        <w:t xml:space="preserve">However, you may care about the specific reason for missing data and need to consider defining missing values based on their properties</w:t>
      </w:r>
    </w:p>
    <w:p>
      <w:pPr>
        <w:numPr>
          <w:ilvl w:val="2"/>
          <w:numId w:val="1132"/>
        </w:numPr>
        <w:pStyle w:val="Compact"/>
      </w:pPr>
      <w:r>
        <w:t xml:space="preserve">The key in this case is to use extreme values that do not actually occur in your data and to also use values that match your variable type (ex: numeric missing values for numeric variables)</w:t>
      </w:r>
      <w:r>
        <w:rPr>
          <w:rStyle w:val="FootnoteReference"/>
        </w:rPr>
        <w:footnoteReference w:id="578"/>
      </w:r>
    </w:p>
    <w:p>
      <w:pPr>
        <w:pStyle w:val="CaptionedFigure"/>
      </w:pPr>
      <w:r>
        <w:drawing>
          <wp:inline>
            <wp:extent cx="5334000" cy="1241643"/>
            <wp:effectExtent b="0" l="0" r="0" t="0"/>
            <wp:docPr descr="Figure 8.3: Missing values assigned in the ECLS-K:2011 data file" title="" id="580" name="Picture"/>
            <a:graphic>
              <a:graphicData uri="http://schemas.openxmlformats.org/drawingml/2006/picture">
                <pic:pic>
                  <pic:nvPicPr>
                    <pic:cNvPr descr="img/missing.PNG" id="581" name="Picture"/>
                    <pic:cNvPicPr>
                      <a:picLocks noChangeArrowheads="1" noChangeAspect="1"/>
                    </pic:cNvPicPr>
                  </pic:nvPicPr>
                  <pic:blipFill>
                    <a:blip r:embed="rId579"/>
                    <a:stretch>
                      <a:fillRect/>
                    </a:stretch>
                  </pic:blipFill>
                  <pic:spPr bwMode="auto">
                    <a:xfrm>
                      <a:off x="0" y="0"/>
                      <a:ext cx="5334000" cy="1241643"/>
                    </a:xfrm>
                    <a:prstGeom prst="rect">
                      <a:avLst/>
                    </a:prstGeom>
                    <a:noFill/>
                    <a:ln w="9525">
                      <a:noFill/>
                      <a:headEnd/>
                      <a:tailEnd/>
                    </a:ln>
                  </pic:spPr>
                </pic:pic>
              </a:graphicData>
            </a:graphic>
          </wp:inline>
        </w:drawing>
      </w:r>
    </w:p>
    <w:p>
      <w:pPr>
        <w:pStyle w:val="ImageCaption"/>
      </w:pPr>
      <w:r>
        <w:t xml:space="preserve">Figure 8.3: Missing values assigned in the ECLS-K:2011 data file</w:t>
      </w:r>
    </w:p>
    <w:bookmarkEnd w:id="582"/>
    <w:bookmarkStart w:id="588" w:name="coding"/>
    <w:p>
      <w:pPr>
        <w:pStyle w:val="Heading2"/>
      </w:pPr>
      <w:r>
        <w:rPr>
          <w:rStyle w:val="SectionNumber"/>
        </w:rPr>
        <w:t xml:space="preserve">8.6</w:t>
      </w:r>
      <w:r>
        <w:tab/>
      </w:r>
      <w:r>
        <w:t xml:space="preserve">Coding</w:t>
      </w:r>
    </w:p>
    <w:p>
      <w:pPr>
        <w:pStyle w:val="FirstParagraph"/>
      </w:pPr>
      <w:r>
        <w:t xml:space="preserve">If your team plans to clean data using code, it can be very helpful to create a coding style guide. This style guide can be tailored to a specific language that all staff will use (such as R or Stata), or it can be written more generically to apply to any coding language staff use to clean data. Below is a small sampling of good coding practices to consider adding to your guide. If you are looking for guides for a specific language, it can be very helpful to google existing style guides in that language.</w:t>
      </w:r>
    </w:p>
    <w:p>
      <w:pPr>
        <w:numPr>
          <w:ilvl w:val="0"/>
          <w:numId w:val="1133"/>
        </w:numPr>
        <w:pStyle w:val="Compact"/>
      </w:pPr>
      <w:r>
        <w:t xml:space="preserve">Consider building and implementing coding templates</w:t>
      </w:r>
      <w:r>
        <w:rPr>
          <w:rStyle w:val="FootnoteReference"/>
        </w:rPr>
        <w:footnoteReference w:id="583"/>
      </w:r>
    </w:p>
    <w:p>
      <w:pPr>
        <w:numPr>
          <w:ilvl w:val="1"/>
          <w:numId w:val="1134"/>
        </w:numPr>
        <w:pStyle w:val="Compact"/>
      </w:pPr>
      <w:r>
        <w:t xml:space="preserve">Templates can standardize the format of syntax files (such as using standard headers to break up code)</w:t>
      </w:r>
    </w:p>
    <w:p>
      <w:pPr>
        <w:numPr>
          <w:ilvl w:val="1"/>
          <w:numId w:val="1134"/>
        </w:numPr>
        <w:pStyle w:val="Compact"/>
      </w:pPr>
      <w:r>
        <w:t xml:space="preserve">They also standardize the summary information provided at the beginning of your syntax (code author, project name, date created)</w:t>
      </w:r>
    </w:p>
    <w:p>
      <w:pPr>
        <w:numPr>
          <w:ilvl w:val="0"/>
          <w:numId w:val="1133"/>
        </w:numPr>
        <w:pStyle w:val="Compact"/>
      </w:pPr>
      <w:r>
        <w:t xml:space="preserve">Use comments throughout your code to clearly explain the purpose of each code chunk</w:t>
      </w:r>
    </w:p>
    <w:p>
      <w:pPr>
        <w:numPr>
          <w:ilvl w:val="1"/>
          <w:numId w:val="1135"/>
        </w:numPr>
        <w:pStyle w:val="Compact"/>
      </w:pPr>
      <w:r>
        <w:t xml:space="preserve">The format of these comments will be dependent on your coding language</w:t>
      </w:r>
    </w:p>
    <w:p>
      <w:pPr>
        <w:numPr>
          <w:ilvl w:val="2"/>
          <w:numId w:val="1136"/>
        </w:numPr>
        <w:pStyle w:val="Compact"/>
      </w:pPr>
      <w:r>
        <w:t xml:space="preserve">R uses</w:t>
      </w:r>
      <w:r>
        <w:t xml:space="preserve"> </w:t>
      </w:r>
      <w:r>
        <w:rPr>
          <w:rStyle w:val="VerbatimChar"/>
        </w:rPr>
        <w:t xml:space="preserve">#</w:t>
      </w:r>
    </w:p>
    <w:p>
      <w:pPr>
        <w:numPr>
          <w:ilvl w:val="2"/>
          <w:numId w:val="1136"/>
        </w:numPr>
        <w:pStyle w:val="Compact"/>
      </w:pPr>
      <w:r>
        <w:t xml:space="preserve">SPSS and Stata use</w:t>
      </w:r>
      <w:r>
        <w:t xml:space="preserve"> </w:t>
      </w:r>
      <w:r>
        <w:rPr>
          <w:rStyle w:val="VerbatimChar"/>
        </w:rPr>
        <w:t xml:space="preserve">*</w:t>
      </w:r>
    </w:p>
    <w:p>
      <w:pPr>
        <w:numPr>
          <w:ilvl w:val="0"/>
          <w:numId w:val="1133"/>
        </w:numPr>
        <w:pStyle w:val="Compact"/>
      </w:pPr>
      <w:r>
        <w:t xml:space="preserve">Improve code readability by using</w:t>
      </w:r>
    </w:p>
    <w:p>
      <w:pPr>
        <w:numPr>
          <w:ilvl w:val="1"/>
          <w:numId w:val="1137"/>
        </w:numPr>
        <w:pStyle w:val="Compact"/>
      </w:pPr>
      <w:r>
        <w:t xml:space="preserve">spaces</w:t>
      </w:r>
    </w:p>
    <w:p>
      <w:pPr>
        <w:numPr>
          <w:ilvl w:val="1"/>
          <w:numId w:val="1137"/>
        </w:numPr>
        <w:pStyle w:val="Compact"/>
      </w:pPr>
      <w:r>
        <w:t xml:space="preserve">indentation</w:t>
      </w:r>
    </w:p>
    <w:p>
      <w:pPr>
        <w:numPr>
          <w:ilvl w:val="1"/>
          <w:numId w:val="1137"/>
        </w:numPr>
        <w:pStyle w:val="Compact"/>
      </w:pPr>
      <w:r>
        <w:t xml:space="preserve">setting a line limit for your code (ex: 80 characters)</w:t>
      </w:r>
    </w:p>
    <w:p>
      <w:pPr>
        <w:numPr>
          <w:ilvl w:val="0"/>
          <w:numId w:val="1133"/>
        </w:numPr>
        <w:pStyle w:val="Compact"/>
      </w:pPr>
      <w:r>
        <w:t xml:space="preserve">Use relative file paths for reproducibility</w:t>
      </w:r>
    </w:p>
    <w:p>
      <w:pPr>
        <w:numPr>
          <w:ilvl w:val="1"/>
          <w:numId w:val="1138"/>
        </w:numPr>
        <w:pStyle w:val="Compact"/>
      </w:pPr>
      <w:r>
        <w:t xml:space="preserve">Setting absolute file paths in syntax reduces reproducibility because future users may have different file paths. It is important to set file paths relative the directory you are working in.</w:t>
      </w:r>
      <w:r>
        <w:rPr>
          <w:rStyle w:val="FootnoteReference"/>
        </w:rPr>
        <w:footnoteReference w:id="586"/>
      </w:r>
    </w:p>
    <w:p>
      <w:pPr>
        <w:numPr>
          <w:ilvl w:val="0"/>
          <w:numId w:val="1133"/>
        </w:numPr>
        <w:pStyle w:val="Compact"/>
      </w:pPr>
      <w:r>
        <w:t xml:space="preserve">If you create objects in your program (like you do in R or Python), consider adding object naming rules similar to variable naming rules</w:t>
      </w:r>
    </w:p>
    <w:p>
      <w:pPr>
        <w:numPr>
          <w:ilvl w:val="1"/>
          <w:numId w:val="1139"/>
        </w:numPr>
        <w:pStyle w:val="Compact"/>
      </w:pPr>
      <w:r>
        <w:t xml:space="preserve">No spaces in object names</w:t>
      </w:r>
    </w:p>
    <w:p>
      <w:pPr>
        <w:numPr>
          <w:ilvl w:val="1"/>
          <w:numId w:val="1139"/>
        </w:numPr>
        <w:pStyle w:val="Compact"/>
      </w:pPr>
      <w:r>
        <w:t xml:space="preserve">No special characters except</w:t>
      </w:r>
      <w:r>
        <w:t xml:space="preserve"> </w:t>
      </w:r>
      <w:r>
        <w:rPr>
          <w:rStyle w:val="VerbatimChar"/>
        </w:rPr>
        <w:t xml:space="preserve">_</w:t>
      </w:r>
      <w:r>
        <w:t xml:space="preserve"> </w:t>
      </w:r>
      <w:r>
        <w:t xml:space="preserve">to separate words</w:t>
      </w:r>
    </w:p>
    <w:p>
      <w:pPr>
        <w:numPr>
          <w:ilvl w:val="1"/>
          <w:numId w:val="1139"/>
        </w:numPr>
        <w:pStyle w:val="Compact"/>
      </w:pPr>
      <w:r>
        <w:t xml:space="preserve">No names that are existing program keywords (</w:t>
      </w:r>
      <w:r>
        <w:rPr>
          <w:rStyle w:val="VerbatimChar"/>
        </w:rPr>
        <w:t xml:space="preserve">if</w:t>
      </w:r>
      <w:r>
        <w:t xml:space="preserve">,</w:t>
      </w:r>
      <w:r>
        <w:t xml:space="preserve"> </w:t>
      </w:r>
      <w:r>
        <w:rPr>
          <w:rStyle w:val="VerbatimChar"/>
        </w:rPr>
        <w:t xml:space="preserve">for</w:t>
      </w:r>
      <w:r>
        <w:t xml:space="preserve">, etc.)</w:t>
      </w:r>
    </w:p>
    <w:p>
      <w:pPr>
        <w:numPr>
          <w:ilvl w:val="0"/>
          <w:numId w:val="1133"/>
        </w:numPr>
        <w:pStyle w:val="Compact"/>
      </w:pPr>
      <w:r>
        <w:t xml:space="preserve">Reduce duplication, improve efficiency, and increase your ability to troubleshoot errors by using functions, loops, or macros for repetitive code chunks</w:t>
      </w:r>
    </w:p>
    <w:p>
      <w:pPr>
        <w:numPr>
          <w:ilvl w:val="0"/>
          <w:numId w:val="1133"/>
        </w:numPr>
        <w:pStyle w:val="Compact"/>
      </w:pPr>
      <w:r>
        <w:t xml:space="preserve">Record session information for future users</w:t>
      </w:r>
    </w:p>
    <w:p>
      <w:pPr>
        <w:numPr>
          <w:ilvl w:val="1"/>
          <w:numId w:val="1140"/>
        </w:numPr>
        <w:pStyle w:val="Compact"/>
      </w:pPr>
      <w:r>
        <w:t xml:space="preserve">Record both version information as well as operating system information relevant to your code to increase the reproducibility of your code</w:t>
      </w:r>
    </w:p>
    <w:bookmarkEnd w:id="588"/>
    <w:bookmarkEnd w:id="589"/>
    <w:bookmarkStart w:id="634" w:name="track"/>
    <w:p>
      <w:pPr>
        <w:pStyle w:val="Heading1"/>
      </w:pPr>
      <w:r>
        <w:rPr>
          <w:rStyle w:val="SectionNumber"/>
        </w:rPr>
        <w:t xml:space="preserve">9</w:t>
      </w:r>
      <w:r>
        <w:tab/>
      </w:r>
      <w:r>
        <w:t xml:space="preserve">Data Tracking</w:t>
      </w:r>
    </w:p>
    <w:p>
      <w:pPr>
        <w:pStyle w:val="CaptionedFigure"/>
      </w:pPr>
      <w:r>
        <w:drawing>
          <wp:inline>
            <wp:extent cx="5334000" cy="2938716"/>
            <wp:effectExtent b="0" l="0" r="0" t="0"/>
            <wp:docPr descr="Figure 9.1: Tracking in the research project life cycle" title="" id="591" name="Picture"/>
            <a:graphic>
              <a:graphicData uri="http://schemas.openxmlformats.org/drawingml/2006/picture">
                <pic:pic>
                  <pic:nvPicPr>
                    <pic:cNvPr descr="img/lifecycle_track.PNG" id="592" name="Picture"/>
                    <pic:cNvPicPr>
                      <a:picLocks noChangeArrowheads="1" noChangeAspect="1"/>
                    </pic:cNvPicPr>
                  </pic:nvPicPr>
                  <pic:blipFill>
                    <a:blip r:embed="rId590"/>
                    <a:stretch>
                      <a:fillRect/>
                    </a:stretch>
                  </pic:blipFill>
                  <pic:spPr bwMode="auto">
                    <a:xfrm>
                      <a:off x="0" y="0"/>
                      <a:ext cx="5334000" cy="2938716"/>
                    </a:xfrm>
                    <a:prstGeom prst="rect">
                      <a:avLst/>
                    </a:prstGeom>
                    <a:noFill/>
                    <a:ln w="9525">
                      <a:noFill/>
                      <a:headEnd/>
                      <a:tailEnd/>
                    </a:ln>
                  </pic:spPr>
                </pic:pic>
              </a:graphicData>
            </a:graphic>
          </wp:inline>
        </w:drawing>
      </w:r>
    </w:p>
    <w:p>
      <w:pPr>
        <w:pStyle w:val="ImageCaption"/>
      </w:pPr>
      <w:r>
        <w:t xml:space="preserve">Figure 9.1: Tracking in the research project life cycle</w:t>
      </w:r>
    </w:p>
    <w:p>
      <w:pPr>
        <w:pStyle w:val="BodyText"/>
      </w:pPr>
      <w:r>
        <w:t xml:space="preserve">During your project, you will want to be able to answer both progress and summary questions about your recruitment and data collection activities.</w:t>
      </w:r>
    </w:p>
    <w:p>
      <w:pPr>
        <w:numPr>
          <w:ilvl w:val="0"/>
          <w:numId w:val="1141"/>
        </w:numPr>
        <w:pStyle w:val="Compact"/>
      </w:pPr>
      <w:r>
        <w:t xml:space="preserve">How many participants consented to be in our study? How many have we lost during our study and why?</w:t>
      </w:r>
    </w:p>
    <w:p>
      <w:pPr>
        <w:numPr>
          <w:ilvl w:val="0"/>
          <w:numId w:val="1141"/>
        </w:numPr>
        <w:pStyle w:val="Compact"/>
      </w:pPr>
      <w:r>
        <w:t xml:space="preserve">How much progress have we made in this cycle of data collection? How much data do we have left to collect?</w:t>
      </w:r>
    </w:p>
    <w:p>
      <w:pPr>
        <w:numPr>
          <w:ilvl w:val="0"/>
          <w:numId w:val="1141"/>
        </w:numPr>
        <w:pStyle w:val="Compact"/>
      </w:pPr>
      <w:r>
        <w:t xml:space="preserve">How many forms did we collect each cycle and why are we missing data for some forms?</w:t>
      </w:r>
    </w:p>
    <w:p>
      <w:pPr>
        <w:pStyle w:val="FirstParagraph"/>
      </w:pPr>
      <w:r>
        <w:t xml:space="preserve">Questions like these will arise many times throughout your study for both your own project coordination purposes, as well as for external progress reporting and publication purposes. Yet, how will you answer these questions? Will you dig through papers, search through emails, and download in progress data, each time you need to answer a question about the status of your project activities? A better solution is to track all project activities in a participant tracking database.</w:t>
      </w:r>
    </w:p>
    <w:p>
      <w:pPr>
        <w:pStyle w:val="BodyText"/>
      </w:pPr>
      <w:r>
        <w:t xml:space="preserve">A participant tracking database is an essential component of both project management and data management. This database contains all study participants, their relevant study information, as well as tracking information about their completion of project milestones. This database has two underlying purposes.</w:t>
      </w:r>
    </w:p>
    <w:p>
      <w:pPr>
        <w:numPr>
          <w:ilvl w:val="0"/>
          <w:numId w:val="1142"/>
        </w:numPr>
        <w:pStyle w:val="Compact"/>
      </w:pPr>
      <w:r>
        <w:t xml:space="preserve">To serve as a roster of study participants as well as a</w:t>
      </w:r>
      <w:r>
        <w:t xml:space="preserve"> </w:t>
      </w:r>
      <w:r>
        <w:t xml:space="preserve">“</w:t>
      </w:r>
      <w:r>
        <w:t xml:space="preserve">master key</w:t>
      </w:r>
      <w:r>
        <w:t xml:space="preserve">”</w:t>
      </w:r>
      <w:r>
        <w:rPr>
          <w:rStyle w:val="FootnoteReference"/>
        </w:rPr>
        <w:footnoteReference w:id="593"/>
      </w:r>
      <w:r>
        <w:t xml:space="preserve"> </w:t>
      </w:r>
      <w:r>
        <w:t xml:space="preserve">that houses both identifying participant information as well as assigned unique study identifiers.</w:t>
      </w:r>
    </w:p>
    <w:p>
      <w:pPr>
        <w:numPr>
          <w:ilvl w:val="0"/>
          <w:numId w:val="1142"/>
        </w:numPr>
        <w:pStyle w:val="Compact"/>
      </w:pPr>
      <w:r>
        <w:t xml:space="preserve">To aid in project coordination and reporting, tracking the movement of participants as well as completion of study events throughout a project.</w:t>
      </w:r>
    </w:p>
    <w:p>
      <w:pPr>
        <w:pStyle w:val="FirstParagraph"/>
      </w:pPr>
      <w:r>
        <w:t xml:space="preserve">This database is considered your single source of truth concerning everything that happened throughout the duration of your study. Any time a participant consents to participate, drops from the study, changes their name, completes a data collection measure, is provided a payment, or moves locations, a project coordinator, or other designated team member, updates the information in this one location. Tracking this administrative information in this one database, rather than across disparate spreadsheets, emails and papers, ensures that you always have one definitive source to refer to when seeking answers about your sample and your project activities.</w:t>
      </w:r>
    </w:p>
    <w:bookmarkStart w:id="595" w:name="benefits"/>
    <w:p>
      <w:pPr>
        <w:pStyle w:val="Heading2"/>
      </w:pPr>
      <w:r>
        <w:rPr>
          <w:rStyle w:val="SectionNumber"/>
        </w:rPr>
        <w:t xml:space="preserve">9.1</w:t>
      </w:r>
      <w:r>
        <w:tab/>
      </w:r>
      <w:r>
        <w:t xml:space="preserve">Benefits</w:t>
      </w:r>
    </w:p>
    <w:p>
      <w:pPr>
        <w:pStyle w:val="FirstParagraph"/>
      </w:pPr>
      <w:r>
        <w:t xml:space="preserve">A thorough and complete participant database that is updated regularly is beneficial for the following reasons:</w:t>
      </w:r>
    </w:p>
    <w:p>
      <w:pPr>
        <w:numPr>
          <w:ilvl w:val="0"/>
          <w:numId w:val="1143"/>
        </w:numPr>
        <w:pStyle w:val="Compact"/>
      </w:pPr>
      <w:r>
        <w:t xml:space="preserve">Securing data de-identification</w:t>
      </w:r>
    </w:p>
    <w:p>
      <w:pPr>
        <w:numPr>
          <w:ilvl w:val="1"/>
          <w:numId w:val="1144"/>
        </w:numPr>
        <w:pStyle w:val="Compact"/>
      </w:pPr>
      <w:r>
        <w:t xml:space="preserve">Assigning unique study identifiers that are only linked to a participant’s true identity within this one database is necessary for maintaining participant confidentiality. This database is stored in a</w:t>
      </w:r>
      <w:r>
        <w:t xml:space="preserve"> </w:t>
      </w:r>
      <w:hyperlink w:anchor="trackingstorage">
        <w:r>
          <w:rPr>
            <w:rStyle w:val="Hyperlink"/>
          </w:rPr>
          <w:t xml:space="preserve">restricted secure location</w:t>
        </w:r>
      </w:hyperlink>
      <w:r>
        <w:t xml:space="preserve">, separate from where de-identified study datasets are stored, and is typically destroyed at a period of time after a project’s completion,</w:t>
      </w:r>
    </w:p>
    <w:p>
      <w:pPr>
        <w:numPr>
          <w:ilvl w:val="0"/>
          <w:numId w:val="1143"/>
        </w:numPr>
        <w:pStyle w:val="Compact"/>
      </w:pPr>
      <w:r>
        <w:t xml:space="preserve">Project coordination and record keeping</w:t>
      </w:r>
    </w:p>
    <w:p>
      <w:pPr>
        <w:numPr>
          <w:ilvl w:val="1"/>
          <w:numId w:val="1145"/>
        </w:numPr>
        <w:pStyle w:val="Compact"/>
      </w:pPr>
      <w:r>
        <w:t xml:space="preserve">Checking and tracking activities on a daily basis allows your team to easily report the status of data collection activities (ex: as of today we have completed 124 out of 150 assessments)</w:t>
      </w:r>
    </w:p>
    <w:p>
      <w:pPr>
        <w:numPr>
          <w:ilvl w:val="1"/>
          <w:numId w:val="1145"/>
        </w:numPr>
        <w:pStyle w:val="Compact"/>
      </w:pPr>
      <w:r>
        <w:t xml:space="preserve">Checking and tracking daily, compared to checking and tracking after data collection is complete, reduces the likelihood of missing data</w:t>
      </w:r>
    </w:p>
    <w:p>
      <w:pPr>
        <w:numPr>
          <w:ilvl w:val="1"/>
          <w:numId w:val="1145"/>
        </w:numPr>
        <w:pStyle w:val="Compact"/>
      </w:pPr>
      <w:r>
        <w:t xml:space="preserve">Thorough tracking allows you to explain missing data in reports and publications (ex: Teacher 1234 went on maternity leave)</w:t>
      </w:r>
    </w:p>
    <w:p>
      <w:pPr>
        <w:numPr>
          <w:ilvl w:val="0"/>
          <w:numId w:val="1143"/>
        </w:numPr>
        <w:pStyle w:val="Compact"/>
      </w:pPr>
      <w:r>
        <w:t xml:space="preserve">Consort diagram creation</w:t>
      </w:r>
    </w:p>
    <w:p>
      <w:pPr>
        <w:numPr>
          <w:ilvl w:val="1"/>
          <w:numId w:val="1146"/>
        </w:numPr>
        <w:pStyle w:val="Compact"/>
      </w:pPr>
      <w:r>
        <w:t xml:space="preserve">This database aids in the creation of documentation including the flow of participants in your</w:t>
      </w:r>
      <w:r>
        <w:t xml:space="preserve"> </w:t>
      </w:r>
      <w:hyperlink w:anchor="supplement">
        <w:r>
          <w:rPr>
            <w:rStyle w:val="Hyperlink"/>
          </w:rPr>
          <w:t xml:space="preserve">consort diagram</w:t>
        </w:r>
      </w:hyperlink>
    </w:p>
    <w:p>
      <w:pPr>
        <w:numPr>
          <w:ilvl w:val="0"/>
          <w:numId w:val="1143"/>
        </w:numPr>
        <w:pStyle w:val="Compact"/>
      </w:pPr>
      <w:r>
        <w:t xml:space="preserve">Dataset verification</w:t>
      </w:r>
    </w:p>
    <w:p>
      <w:pPr>
        <w:numPr>
          <w:ilvl w:val="1"/>
          <w:numId w:val="1147"/>
        </w:numPr>
        <w:pStyle w:val="Compact"/>
      </w:pPr>
      <w:r>
        <w:t xml:space="preserve">As part of your data cleaning process, all raw data sample sizes should compared against what is reported as complete in your participant database to ensure that no participants are missing from your final datasets</w:t>
      </w:r>
    </w:p>
    <w:bookmarkEnd w:id="595"/>
    <w:bookmarkStart w:id="628" w:name="building-your-database"/>
    <w:p>
      <w:pPr>
        <w:pStyle w:val="Heading2"/>
      </w:pPr>
      <w:r>
        <w:rPr>
          <w:rStyle w:val="SectionNumber"/>
        </w:rPr>
        <w:t xml:space="preserve">9.2</w:t>
      </w:r>
      <w:r>
        <w:tab/>
      </w:r>
      <w:r>
        <w:t xml:space="preserve">Building your database</w:t>
      </w:r>
    </w:p>
    <w:p>
      <w:pPr>
        <w:pStyle w:val="FirstParagraph"/>
      </w:pPr>
      <w:r>
        <w:t xml:space="preserve">It is beneficial to build this database before you begin recruiting participants, typically during the same time that you are building your data collection tools. This way, as your team recruits and consents participants, you can record their name, assign them a study ID, and enter any other necessary identifying contact information into the participant database. Depending on your database system, you may even be able to scan and upload copies of your consent forms into the database.</w:t>
      </w:r>
    </w:p>
    <w:p>
      <w:pPr>
        <w:pStyle w:val="BodyText"/>
      </w:pPr>
      <w:r>
        <w:t xml:space="preserve">While a project coordinator can build this database, it can be helpful to consult with a data manager, or someone with relational database expertise, when creating this system. This ensures that your system is set up efficiently and comprehensively.</w:t>
      </w:r>
    </w:p>
    <w:p>
      <w:pPr>
        <w:pStyle w:val="BodyText"/>
      </w:pPr>
      <w:r>
        <w:t xml:space="preserve">This database may be a standalone structure, used only for tracking and anonymization purposes. Or it may be integrated as part of your larger study system, where all study data is collected and/or entered as well.</w:t>
      </w:r>
    </w:p>
    <w:bookmarkStart w:id="610" w:name="relational-databases"/>
    <w:p>
      <w:pPr>
        <w:pStyle w:val="Heading3"/>
      </w:pPr>
      <w:r>
        <w:rPr>
          <w:rStyle w:val="SectionNumber"/>
        </w:rPr>
        <w:t xml:space="preserve">9.2.1</w:t>
      </w:r>
      <w:r>
        <w:tab/>
      </w:r>
      <w:r>
        <w:t xml:space="preserve">Relational databases</w:t>
      </w:r>
    </w:p>
    <w:p>
      <w:pPr>
        <w:pStyle w:val="FirstParagraph"/>
      </w:pPr>
      <w:r>
        <w:t xml:space="preserve">Before we discuss how to build this database, it is helpful to have a basic understanding of the benefits of relational databases, first introduced in our</w:t>
      </w:r>
      <w:r>
        <w:t xml:space="preserve"> </w:t>
      </w:r>
      <w:hyperlink w:anchor="database">
        <w:r>
          <w:rPr>
            <w:rStyle w:val="Hyperlink"/>
          </w:rPr>
          <w:t xml:space="preserve">Data Structure</w:t>
        </w:r>
      </w:hyperlink>
      <w:r>
        <w:t xml:space="preserve"> </w:t>
      </w:r>
      <w:r>
        <w:t xml:space="preserve">chapter. A relational database organizes information into tables, made up of records (rows) and fields (columns), and tables are related through keys</w:t>
      </w:r>
      <w:r>
        <w:rPr>
          <w:rStyle w:val="FootnoteReference"/>
        </w:rPr>
        <w:footnoteReference w:id="596"/>
      </w:r>
      <w:r>
        <w:t xml:space="preserve">. Using a normalized relational database</w:t>
      </w:r>
      <w:r>
        <w:rPr>
          <w:rStyle w:val="FootnoteReference"/>
        </w:rPr>
        <w:footnoteReference w:id="599"/>
      </w:r>
      <w:r>
        <w:t xml:space="preserve"> </w:t>
      </w:r>
      <w:r>
        <w:t xml:space="preserve">to track participant information, compared to disparate, non-connected spreadsheets, has many benefits.</w:t>
      </w:r>
    </w:p>
    <w:p>
      <w:pPr>
        <w:numPr>
          <w:ilvl w:val="0"/>
          <w:numId w:val="1148"/>
        </w:numPr>
        <w:pStyle w:val="Compact"/>
      </w:pPr>
      <w:r>
        <w:t xml:space="preserve">Reduces redundancy and improves efficiency</w:t>
      </w:r>
    </w:p>
    <w:p>
      <w:pPr>
        <w:numPr>
          <w:ilvl w:val="0"/>
          <w:numId w:val="1148"/>
        </w:numPr>
        <w:pStyle w:val="Compact"/>
      </w:pPr>
      <w:r>
        <w:t xml:space="preserve">Increases performance</w:t>
      </w:r>
    </w:p>
    <w:p>
      <w:pPr>
        <w:numPr>
          <w:ilvl w:val="0"/>
          <w:numId w:val="1148"/>
        </w:numPr>
        <w:pStyle w:val="Compact"/>
      </w:pPr>
      <w:r>
        <w:t xml:space="preserve">Decreases required storage</w:t>
      </w:r>
    </w:p>
    <w:p>
      <w:pPr>
        <w:numPr>
          <w:ilvl w:val="0"/>
          <w:numId w:val="1148"/>
        </w:numPr>
        <w:pStyle w:val="Compact"/>
      </w:pPr>
      <w:r>
        <w:t xml:space="preserve">Reduces data entry errors</w:t>
      </w:r>
    </w:p>
    <w:p>
      <w:pPr>
        <w:pStyle w:val="FirstParagraph"/>
      </w:pPr>
      <w:r>
        <w:t xml:space="preserve">Let’s compare a very simple example of building a tracking database using a relational model and a non-relational model.</w:t>
      </w:r>
    </w:p>
    <w:bookmarkStart w:id="604" w:name="relational-model"/>
    <w:p>
      <w:pPr>
        <w:pStyle w:val="Heading4"/>
      </w:pPr>
      <w:r>
        <w:rPr>
          <w:rStyle w:val="SectionNumber"/>
        </w:rPr>
        <w:t xml:space="preserve">9.2.1.1</w:t>
      </w:r>
      <w:r>
        <w:tab/>
      </w:r>
      <w:r>
        <w:t xml:space="preserve">Relational model</w:t>
      </w:r>
    </w:p>
    <w:p>
      <w:pPr>
        <w:pStyle w:val="FirstParagraph"/>
      </w:pPr>
      <w:r>
        <w:t xml:space="preserve">In Figure</w:t>
      </w:r>
      <w:r>
        <w:t xml:space="preserve"> </w:t>
      </w:r>
      <w:r>
        <w:t xml:space="preserve">9.2</w:t>
      </w:r>
      <w:r>
        <w:t xml:space="preserve"> </w:t>
      </w:r>
      <w:r>
        <w:t xml:space="preserve">we have three entities we need to track in our database: schools, teachers, and students. We built a very simple database with one table for each entity. Within each table we added fields that we need to collect on these participants. We have also set up our tables to include primary keys (which uniquely identify rows in each table) and foreign keys (which includes values that correspond to the primary key of another table). Our keys are all unique study identifiers that we have assigned to our study participants.</w:t>
      </w:r>
    </w:p>
    <w:p>
      <w:pPr>
        <w:pStyle w:val="CaptionedFigure"/>
      </w:pPr>
      <w:r>
        <w:drawing>
          <wp:inline>
            <wp:extent cx="5334000" cy="1488558"/>
            <wp:effectExtent b="0" l="0" r="0" t="0"/>
            <wp:docPr descr="Figure 9.2: Participant database built using a relational model" title="" id="602" name="Picture"/>
            <a:graphic>
              <a:graphicData uri="http://schemas.openxmlformats.org/drawingml/2006/picture">
                <pic:pic>
                  <pic:nvPicPr>
                    <pic:cNvPr descr="img/participant1.PNG" id="603" name="Picture"/>
                    <pic:cNvPicPr>
                      <a:picLocks noChangeArrowheads="1" noChangeAspect="1"/>
                    </pic:cNvPicPr>
                  </pic:nvPicPr>
                  <pic:blipFill>
                    <a:blip r:embed="rId601"/>
                    <a:stretch>
                      <a:fillRect/>
                    </a:stretch>
                  </pic:blipFill>
                  <pic:spPr bwMode="auto">
                    <a:xfrm>
                      <a:off x="0" y="0"/>
                      <a:ext cx="5334000" cy="1488558"/>
                    </a:xfrm>
                    <a:prstGeom prst="rect">
                      <a:avLst/>
                    </a:prstGeom>
                    <a:noFill/>
                    <a:ln w="9525">
                      <a:noFill/>
                      <a:headEnd/>
                      <a:tailEnd/>
                    </a:ln>
                  </pic:spPr>
                </pic:pic>
              </a:graphicData>
            </a:graphic>
          </wp:inline>
        </w:drawing>
      </w:r>
    </w:p>
    <w:p>
      <w:pPr>
        <w:pStyle w:val="ImageCaption"/>
      </w:pPr>
      <w:r>
        <w:t xml:space="preserve">Figure 9.2: Participant database built using a relational model</w:t>
      </w:r>
    </w:p>
    <w:p>
      <w:pPr>
        <w:pStyle w:val="BodyText"/>
      </w:pPr>
      <w:r>
        <w:t xml:space="preserve">We can see here that in each table we have no duplicated, repeating information. The student table only contains student level information, the teacher table only contains teacher level information, and the school table only contains school level information. This is a huge time saver. Imagine if a teacher’s last name changes. Rather than updating that name in multiple places, we now only update it once, in the teacher table.</w:t>
      </w:r>
      <w:r>
        <w:t xml:space="preserve"> </w:t>
      </w:r>
      <w:r>
        <w:t xml:space="preserve">If we want to see a table with both student and teacher information, we can simply query our database to create a new table. In some programs, this type of querying may be a simple point and click option, in other programs it may require someone to write some simple queries that can then be used at any time by any user.</w:t>
      </w:r>
    </w:p>
    <w:p>
      <w:pPr>
        <w:pStyle w:val="BodyText"/>
      </w:pPr>
      <w:r>
        <w:t xml:space="preserve">Say for example, we needed to pull a roster of students for each teacher. We could easily create and run a query, such as this SQL query, that joins the student and teacher tables above by</w:t>
      </w:r>
      <w:r>
        <w:t xml:space="preserve"> </w:t>
      </w:r>
      <w:r>
        <w:rPr>
          <w:rStyle w:val="VerbatimChar"/>
        </w:rPr>
        <w:t xml:space="preserve">tch_id</w:t>
      </w:r>
      <w:r>
        <w:t xml:space="preserve"> </w:t>
      </w:r>
      <w:r>
        <w:t xml:space="preserve">and then pulls the relevant teacher and student information from both tables:</w:t>
      </w:r>
    </w:p>
    <w:p>
      <w:pPr>
        <w:pStyle w:val="BodyText"/>
      </w:pPr>
      <w:r>
        <w:rPr>
          <w:rStyle w:val="VerbatimChar"/>
        </w:rPr>
        <w:t xml:space="preserve">SELECT Teacher.t_l_name, Teacher.t_f_name, Student.s_l_name, Student.s_f_name,  Student.grade</w:t>
      </w:r>
      <w:r>
        <w:t xml:space="preserve"> </w:t>
      </w:r>
      <w:r>
        <w:rPr>
          <w:rStyle w:val="VerbatimChar"/>
        </w:rPr>
        <w:t xml:space="preserve">FROM Student INNER JOIN Teacher ON Student.tch_id = Teacher.tch_id</w:t>
      </w:r>
      <w:r>
        <w:t xml:space="preserve"> </w:t>
      </w:r>
      <w:r>
        <w:rPr>
          <w:rStyle w:val="VerbatimChar"/>
        </w:rPr>
        <w:t xml:space="preserve">ORDER BY Teacher.t_l_name, Teacher.t_f_name, Student.s_l_name, Student.s_f_name</w:t>
      </w:r>
    </w:p>
    <w:bookmarkEnd w:id="604"/>
    <w:bookmarkStart w:id="608" w:name="non-relational-model"/>
    <w:p>
      <w:pPr>
        <w:pStyle w:val="Heading4"/>
      </w:pPr>
      <w:r>
        <w:rPr>
          <w:rStyle w:val="SectionNumber"/>
        </w:rPr>
        <w:t xml:space="preserve">9.2.1.2</w:t>
      </w:r>
      <w:r>
        <w:tab/>
      </w:r>
      <w:r>
        <w:t xml:space="preserve">Non-relational model</w:t>
      </w:r>
    </w:p>
    <w:p>
      <w:pPr>
        <w:pStyle w:val="FirstParagraph"/>
      </w:pPr>
      <w:r>
        <w:t xml:space="preserve">Now imagine that we built a non-relational database (Figure</w:t>
      </w:r>
      <w:r>
        <w:t xml:space="preserve"> </w:t>
      </w:r>
      <w:r>
        <w:t xml:space="preserve">9.3</w:t>
      </w:r>
      <w:r>
        <w:t xml:space="preserve">), such as three tabs in an Excel spreadsheet, to track our participant information. Since we are unable to set up a system that links these tables together, we need to enter redundant information into each table (such as teacher or school name) in order to see that information within each table without having to flip back and forth across tables to find the information we need. Using this method we now have to enter repeating teacher and school names in the student table, and if any teacher names change, we will need to update it in both the teacher table and in the student table for every student associated with that teacher. This requires more entry time and creates the opportunity for more data entry errors.</w:t>
      </w:r>
    </w:p>
    <w:p>
      <w:pPr>
        <w:pStyle w:val="CaptionedFigure"/>
      </w:pPr>
      <w:r>
        <w:drawing>
          <wp:inline>
            <wp:extent cx="5334000" cy="2057918"/>
            <wp:effectExtent b="0" l="0" r="0" t="0"/>
            <wp:docPr descr="Figure 9.3: Participant database built in using a non-relational model" title="" id="606" name="Picture"/>
            <a:graphic>
              <a:graphicData uri="http://schemas.openxmlformats.org/drawingml/2006/picture">
                <pic:pic>
                  <pic:nvPicPr>
                    <pic:cNvPr descr="img/participant2.PNG" id="607" name="Picture"/>
                    <pic:cNvPicPr>
                      <a:picLocks noChangeArrowheads="1" noChangeAspect="1"/>
                    </pic:cNvPicPr>
                  </pic:nvPicPr>
                  <pic:blipFill>
                    <a:blip r:embed="rId605"/>
                    <a:stretch>
                      <a:fillRect/>
                    </a:stretch>
                  </pic:blipFill>
                  <pic:spPr bwMode="auto">
                    <a:xfrm>
                      <a:off x="0" y="0"/>
                      <a:ext cx="5334000" cy="2057918"/>
                    </a:xfrm>
                    <a:prstGeom prst="rect">
                      <a:avLst/>
                    </a:prstGeom>
                    <a:noFill/>
                    <a:ln w="9525">
                      <a:noFill/>
                      <a:headEnd/>
                      <a:tailEnd/>
                    </a:ln>
                  </pic:spPr>
                </pic:pic>
              </a:graphicData>
            </a:graphic>
          </wp:inline>
        </w:drawing>
      </w:r>
    </w:p>
    <w:p>
      <w:pPr>
        <w:pStyle w:val="ImageCaption"/>
      </w:pPr>
      <w:r>
        <w:t xml:space="preserve">Figure 9.3: Participant database built in using a non-relational model</w:t>
      </w:r>
    </w:p>
    <w:bookmarkEnd w:id="608"/>
    <w:bookmarkStart w:id="609" w:name="considerations"/>
    <w:p>
      <w:pPr>
        <w:pStyle w:val="Heading4"/>
      </w:pPr>
      <w:r>
        <w:rPr>
          <w:rStyle w:val="SectionNumber"/>
        </w:rPr>
        <w:t xml:space="preserve">9.2.1.3</w:t>
      </w:r>
      <w:r>
        <w:tab/>
      </w:r>
      <w:r>
        <w:t xml:space="preserve">Considerations</w:t>
      </w:r>
    </w:p>
    <w:p>
      <w:pPr>
        <w:pStyle w:val="FirstParagraph"/>
      </w:pPr>
      <w:r>
        <w:t xml:space="preserve">If your study includes a variety of related entities, tracked over waves of time, a relational database will be very helpful to build. If however, you are only tracking one entity (ex: just students) for one wave of data collection, then a database might be overkill and a simple spreadsheet will work just fine.</w:t>
      </w:r>
    </w:p>
    <w:bookmarkEnd w:id="609"/>
    <w:bookmarkEnd w:id="610"/>
    <w:bookmarkStart w:id="614" w:name="structuring-the-database"/>
    <w:p>
      <w:pPr>
        <w:pStyle w:val="Heading3"/>
      </w:pPr>
      <w:r>
        <w:rPr>
          <w:rStyle w:val="SectionNumber"/>
        </w:rPr>
        <w:t xml:space="preserve">9.2.2</w:t>
      </w:r>
      <w:r>
        <w:tab/>
      </w:r>
      <w:r>
        <w:t xml:space="preserve">Structuring the database</w:t>
      </w:r>
    </w:p>
    <w:p>
      <w:pPr>
        <w:pStyle w:val="FirstParagraph"/>
      </w:pPr>
      <w:r>
        <w:t xml:space="preserve">Before you can begin to construct your database, you will need to collect the following pieces of information.</w:t>
      </w:r>
    </w:p>
    <w:p>
      <w:pPr>
        <w:numPr>
          <w:ilvl w:val="0"/>
          <w:numId w:val="1149"/>
        </w:numPr>
        <w:pStyle w:val="Compact"/>
      </w:pPr>
      <w:r>
        <w:t xml:space="preserve">Who are your entities/units of analysis?</w:t>
      </w:r>
    </w:p>
    <w:p>
      <w:pPr>
        <w:numPr>
          <w:ilvl w:val="1"/>
          <w:numId w:val="1150"/>
        </w:numPr>
        <w:pStyle w:val="Compact"/>
      </w:pPr>
      <w:r>
        <w:t xml:space="preserve">students, teachers, classrooms, districts, and so on</w:t>
      </w:r>
    </w:p>
    <w:p>
      <w:pPr>
        <w:numPr>
          <w:ilvl w:val="0"/>
          <w:numId w:val="1149"/>
        </w:numPr>
        <w:pStyle w:val="Compact"/>
      </w:pPr>
      <w:r>
        <w:t xml:space="preserve">Are you collecting data longitudinally, across more than one wave?</w:t>
      </w:r>
    </w:p>
    <w:p>
      <w:pPr>
        <w:numPr>
          <w:ilvl w:val="0"/>
          <w:numId w:val="1149"/>
        </w:numPr>
        <w:pStyle w:val="Compact"/>
      </w:pPr>
      <w:r>
        <w:t xml:space="preserve">Do you want to use a relational table structure?</w:t>
      </w:r>
    </w:p>
    <w:p>
      <w:pPr>
        <w:numPr>
          <w:ilvl w:val="1"/>
          <w:numId w:val="1151"/>
        </w:numPr>
        <w:pStyle w:val="Compact"/>
      </w:pPr>
      <w:r>
        <w:t xml:space="preserve">If yes, how do you want to construct and relate your tables?</w:t>
      </w:r>
    </w:p>
    <w:p>
      <w:pPr>
        <w:numPr>
          <w:ilvl w:val="0"/>
          <w:numId w:val="1149"/>
        </w:numPr>
        <w:pStyle w:val="Compact"/>
      </w:pPr>
      <w:r>
        <w:t xml:space="preserve">What fields do you want to include in each table?</w:t>
      </w:r>
    </w:p>
    <w:p>
      <w:pPr>
        <w:pStyle w:val="FirstParagraph"/>
      </w:pPr>
      <w:r>
        <w:t xml:space="preserve">Once you collect those pieces of information, you can begin to design your database structure. It can be helpful to visualize your database model during this process. In Figure</w:t>
      </w:r>
      <w:r>
        <w:t xml:space="preserve"> </w:t>
      </w:r>
      <w:r>
        <w:t xml:space="preserve">9.4</w:t>
      </w:r>
      <w:r>
        <w:t xml:space="preserve"> </w:t>
      </w:r>
      <w:r>
        <w:t xml:space="preserve">I am designing a database structure for a scenario where I will be collecting information from teachers in schools, over two waves of data collection.</w:t>
      </w:r>
    </w:p>
    <w:p>
      <w:pPr>
        <w:pStyle w:val="CaptionedFigure"/>
      </w:pPr>
      <w:r>
        <w:drawing>
          <wp:inline>
            <wp:extent cx="5334000" cy="4073368"/>
            <wp:effectExtent b="0" l="0" r="0" t="0"/>
            <wp:docPr descr="Figure 9.4: Example participant database model" title="" id="612" name="Picture"/>
            <a:graphic>
              <a:graphicData uri="http://schemas.openxmlformats.org/drawingml/2006/picture">
                <pic:pic>
                  <pic:nvPicPr>
                    <pic:cNvPr descr="img/participant3.PNG" id="613" name="Picture"/>
                    <pic:cNvPicPr>
                      <a:picLocks noChangeArrowheads="1" noChangeAspect="1"/>
                    </pic:cNvPicPr>
                  </pic:nvPicPr>
                  <pic:blipFill>
                    <a:blip r:embed="rId611"/>
                    <a:stretch>
                      <a:fillRect/>
                    </a:stretch>
                  </pic:blipFill>
                  <pic:spPr bwMode="auto">
                    <a:xfrm>
                      <a:off x="0" y="0"/>
                      <a:ext cx="5334000" cy="4073368"/>
                    </a:xfrm>
                    <a:prstGeom prst="rect">
                      <a:avLst/>
                    </a:prstGeom>
                    <a:noFill/>
                    <a:ln w="9525">
                      <a:noFill/>
                      <a:headEnd/>
                      <a:tailEnd/>
                    </a:ln>
                  </pic:spPr>
                </pic:pic>
              </a:graphicData>
            </a:graphic>
          </wp:inline>
        </w:drawing>
      </w:r>
    </w:p>
    <w:p>
      <w:pPr>
        <w:pStyle w:val="ImageCaption"/>
      </w:pPr>
      <w:r>
        <w:t xml:space="preserve">Figure 9.4: Example participant database model</w:t>
      </w:r>
    </w:p>
    <w:p>
      <w:pPr>
        <w:pStyle w:val="BodyText"/>
      </w:pPr>
      <w:r>
        <w:t xml:space="preserve">I have designed my database model in this way:</w:t>
      </w:r>
    </w:p>
    <w:p>
      <w:pPr>
        <w:numPr>
          <w:ilvl w:val="0"/>
          <w:numId w:val="1152"/>
        </w:numPr>
        <w:pStyle w:val="Compact"/>
      </w:pPr>
      <w:r>
        <w:t xml:space="preserve">I have four tables total</w:t>
      </w:r>
    </w:p>
    <w:p>
      <w:pPr>
        <w:numPr>
          <w:ilvl w:val="1"/>
          <w:numId w:val="1153"/>
        </w:numPr>
        <w:pStyle w:val="Compact"/>
      </w:pPr>
      <w:r>
        <w:t xml:space="preserve">Two tables have information that should be constant (name, email, consent, one time payments sent out, one time documents received)</w:t>
      </w:r>
    </w:p>
    <w:p>
      <w:pPr>
        <w:numPr>
          <w:ilvl w:val="2"/>
          <w:numId w:val="1154"/>
        </w:numPr>
        <w:pStyle w:val="Compact"/>
      </w:pPr>
      <w:r>
        <w:t xml:space="preserve">If at any time this constant information changes (ex: new last name, new principal), I would update that information in the appropriate table and make a note of when and why the change occurred in my</w:t>
      </w:r>
      <w:r>
        <w:t xml:space="preserve"> </w:t>
      </w:r>
      <w:r>
        <w:t xml:space="preserve">“</w:t>
      </w:r>
      <w:r>
        <w:t xml:space="preserve">notes</w:t>
      </w:r>
      <w:r>
        <w:t xml:space="preserve">”</w:t>
      </w:r>
      <w:r>
        <w:t xml:space="preserve"> </w:t>
      </w:r>
      <w:r>
        <w:t xml:space="preserve">field</w:t>
      </w:r>
    </w:p>
    <w:p>
      <w:pPr>
        <w:numPr>
          <w:ilvl w:val="1"/>
          <w:numId w:val="1153"/>
        </w:numPr>
        <w:pStyle w:val="Compact"/>
      </w:pPr>
      <w:r>
        <w:t xml:space="preserve">Two tables are for my longitudinal information</w:t>
      </w:r>
    </w:p>
    <w:p>
      <w:pPr>
        <w:numPr>
          <w:ilvl w:val="2"/>
          <w:numId w:val="1155"/>
        </w:numPr>
        <w:pStyle w:val="Compact"/>
      </w:pPr>
      <w:r>
        <w:t xml:space="preserve">This is where I will track my data collection activities each wave</w:t>
      </w:r>
    </w:p>
    <w:p>
      <w:pPr>
        <w:numPr>
          <w:ilvl w:val="0"/>
          <w:numId w:val="1152"/>
        </w:numPr>
        <w:pStyle w:val="Compact"/>
      </w:pPr>
      <w:r>
        <w:t xml:space="preserve">I have connected my tables through primary and foreign keys (</w:t>
      </w:r>
      <w:r>
        <w:t xml:space="preserve">“</w:t>
      </w:r>
      <w:r>
        <w:t xml:space="preserve">tch_id</w:t>
      </w:r>
      <w:r>
        <w:t xml:space="preserve">”</w:t>
      </w:r>
      <w:r>
        <w:t xml:space="preserve"> </w:t>
      </w:r>
      <w:r>
        <w:t xml:space="preserve">and</w:t>
      </w:r>
      <w:r>
        <w:t xml:space="preserve"> </w:t>
      </w:r>
      <w:r>
        <w:t xml:space="preserve">“</w:t>
      </w:r>
      <w:r>
        <w:t xml:space="preserve">sch_id</w:t>
      </w:r>
      <w:r>
        <w:t xml:space="preserve">”</w:t>
      </w:r>
      <w:r>
        <w:t xml:space="preserve">)</w:t>
      </w:r>
    </w:p>
    <w:p>
      <w:pPr>
        <w:pStyle w:val="FirstParagraph"/>
      </w:pPr>
      <w:r>
        <w:t xml:space="preserve">While this example is for a fairly simple scenario, you can hopefully see how you might extrapolate this model to more entities and more waves of data collection, as well as how you might modify it to better meet the needs of your specific project.</w:t>
      </w:r>
    </w:p>
    <w:p>
      <w:pPr>
        <w:pStyle w:val="BlockText"/>
      </w:pPr>
      <w:r>
        <w:t xml:space="preserve">It is possible that you have a study where you are collecting anonymous data. While you will no longer have participant level identifiable information, you can still construct a simple system, creating tables based on your sites for instance (school table, district table) to track your project management and data collection efforts (ex: number of student surveys received per school per wave, MOU received).</w:t>
      </w:r>
    </w:p>
    <w:bookmarkEnd w:id="614"/>
    <w:bookmarkStart w:id="616" w:name="choosing-fields"/>
    <w:p>
      <w:pPr>
        <w:pStyle w:val="Heading3"/>
      </w:pPr>
      <w:r>
        <w:rPr>
          <w:rStyle w:val="SectionNumber"/>
        </w:rPr>
        <w:t xml:space="preserve">9.2.3</w:t>
      </w:r>
      <w:r>
        <w:tab/>
      </w:r>
      <w:r>
        <w:t xml:space="preserve">Choosing fields</w:t>
      </w:r>
    </w:p>
    <w:p>
      <w:pPr>
        <w:pStyle w:val="FirstParagraph"/>
      </w:pPr>
      <w:r>
        <w:t xml:space="preserve">As you design your database model, you will also need to choose what fields to include in each table. The fields you choose to include will be dependent on your particular study design. While your participant tracking database may be the same database you enter all of your study data, for the purposes of this chapter we are only considering fields that are relevant for project coordination and participant de-identification. We are not concerned with fields that are collected as part of your data collection measures (i.e. survey items). You can consider your participant tracking database as an</w:t>
      </w:r>
      <w:r>
        <w:t xml:space="preserve"> </w:t>
      </w:r>
      <w:r>
        <w:rPr>
          <w:bCs/>
          <w:b/>
        </w:rPr>
        <w:t xml:space="preserve">internal</w:t>
      </w:r>
      <w:r>
        <w:t xml:space="preserve"> </w:t>
      </w:r>
      <w:r>
        <w:t xml:space="preserve">database that is only used for coordination, summary, and linking purposes. This is not a database where you would export data for external data sharing.</w:t>
      </w:r>
    </w:p>
    <w:p>
      <w:pPr>
        <w:pStyle w:val="BodyText"/>
      </w:pPr>
      <w:r>
        <w:rPr>
          <w:bCs/>
          <w:b/>
        </w:rPr>
        <w:t xml:space="preserve">Ideas of static fields to collect:</w:t>
      </w:r>
    </w:p>
    <w:p>
      <w:pPr>
        <w:numPr>
          <w:ilvl w:val="0"/>
          <w:numId w:val="1156"/>
        </w:numPr>
        <w:pStyle w:val="Compact"/>
      </w:pPr>
      <w:r>
        <w:t xml:space="preserve">Study IDs (Primary and foreign keys for a relational database)</w:t>
      </w:r>
    </w:p>
    <w:p>
      <w:pPr>
        <w:numPr>
          <w:ilvl w:val="0"/>
          <w:numId w:val="1156"/>
        </w:numPr>
        <w:pStyle w:val="Compact"/>
      </w:pPr>
      <w:r>
        <w:t xml:space="preserve">Names (Participants and sites)</w:t>
      </w:r>
    </w:p>
    <w:p>
      <w:pPr>
        <w:numPr>
          <w:ilvl w:val="0"/>
          <w:numId w:val="1156"/>
        </w:numPr>
        <w:pStyle w:val="Compact"/>
      </w:pPr>
      <w:r>
        <w:t xml:space="preserve">Contact information</w:t>
      </w:r>
    </w:p>
    <w:p>
      <w:pPr>
        <w:numPr>
          <w:ilvl w:val="0"/>
          <w:numId w:val="1156"/>
        </w:numPr>
        <w:pStyle w:val="Compact"/>
      </w:pPr>
      <w:r>
        <w:t xml:space="preserve">Other necessary linking identifiers (double IDs, district/school IDs)</w:t>
      </w:r>
    </w:p>
    <w:p>
      <w:pPr>
        <w:numPr>
          <w:ilvl w:val="0"/>
          <w:numId w:val="1156"/>
        </w:numPr>
        <w:pStyle w:val="Compact"/>
      </w:pPr>
      <w:r>
        <w:t xml:space="preserve">Information helpful for data collection scheduling (blocks, class times)</w:t>
      </w:r>
    </w:p>
    <w:p>
      <w:pPr>
        <w:numPr>
          <w:ilvl w:val="0"/>
          <w:numId w:val="1156"/>
        </w:numPr>
        <w:pStyle w:val="Compact"/>
      </w:pPr>
      <w:r>
        <w:t xml:space="preserve">Consent/assent status</w:t>
      </w:r>
    </w:p>
    <w:p>
      <w:pPr>
        <w:numPr>
          <w:ilvl w:val="0"/>
          <w:numId w:val="1156"/>
        </w:numPr>
        <w:pStyle w:val="Compact"/>
      </w:pPr>
      <w:r>
        <w:t xml:space="preserve">Randomization information (cohort, group)</w:t>
      </w:r>
    </w:p>
    <w:p>
      <w:pPr>
        <w:numPr>
          <w:ilvl w:val="0"/>
          <w:numId w:val="1156"/>
        </w:numPr>
        <w:pStyle w:val="Compact"/>
      </w:pPr>
      <w:r>
        <w:t xml:space="preserve">Condition (treatment/control)</w:t>
      </w:r>
    </w:p>
    <w:p>
      <w:pPr>
        <w:numPr>
          <w:ilvl w:val="0"/>
          <w:numId w:val="1156"/>
        </w:numPr>
        <w:pStyle w:val="Compact"/>
      </w:pPr>
      <w:r>
        <w:t xml:space="preserve">Summary information for rates (# of consents sent out, # of students in class)</w:t>
      </w:r>
    </w:p>
    <w:p>
      <w:pPr>
        <w:numPr>
          <w:ilvl w:val="0"/>
          <w:numId w:val="1156"/>
        </w:numPr>
        <w:pStyle w:val="Compact"/>
      </w:pPr>
      <w:r>
        <w:t xml:space="preserve">Administrative status (W-9 received, MOUs received)</w:t>
      </w:r>
    </w:p>
    <w:p>
      <w:pPr>
        <w:numPr>
          <w:ilvl w:val="0"/>
          <w:numId w:val="1156"/>
        </w:numPr>
        <w:pStyle w:val="Compact"/>
      </w:pPr>
      <w:r>
        <w:t xml:space="preserve">Movement/drop out status</w:t>
      </w:r>
    </w:p>
    <w:p>
      <w:pPr>
        <w:numPr>
          <w:ilvl w:val="0"/>
          <w:numId w:val="1156"/>
        </w:numPr>
        <w:pStyle w:val="Compact"/>
      </w:pPr>
      <w:r>
        <w:t xml:space="preserve">Notes</w:t>
      </w:r>
    </w:p>
    <w:p>
      <w:pPr>
        <w:numPr>
          <w:ilvl w:val="1"/>
          <w:numId w:val="1157"/>
        </w:numPr>
        <w:pStyle w:val="Compact"/>
      </w:pPr>
      <w:r>
        <w:t xml:space="preserve">Reasons for changes (for example changes in name, email)</w:t>
      </w:r>
    </w:p>
    <w:p>
      <w:pPr>
        <w:numPr>
          <w:ilvl w:val="1"/>
          <w:numId w:val="1157"/>
        </w:numPr>
        <w:pStyle w:val="Compact"/>
      </w:pPr>
      <w:r>
        <w:t xml:space="preserve">Reasons for movement/drop out</w:t>
      </w:r>
    </w:p>
    <w:p>
      <w:pPr>
        <w:pStyle w:val="FirstParagraph"/>
      </w:pPr>
      <w:r>
        <w:rPr>
          <w:bCs/>
          <w:b/>
        </w:rPr>
        <w:t xml:space="preserve">Ideas of fields to collect longitudinally:</w:t>
      </w:r>
    </w:p>
    <w:p>
      <w:pPr>
        <w:numPr>
          <w:ilvl w:val="0"/>
          <w:numId w:val="1158"/>
        </w:numPr>
        <w:pStyle w:val="Compact"/>
      </w:pPr>
      <w:r>
        <w:t xml:space="preserve">Data collection status (unique fields for each instrument)</w:t>
      </w:r>
    </w:p>
    <w:p>
      <w:pPr>
        <w:numPr>
          <w:ilvl w:val="0"/>
          <w:numId w:val="1158"/>
        </w:numPr>
        <w:pStyle w:val="Compact"/>
      </w:pPr>
      <w:r>
        <w:t xml:space="preserve">Incentive status (gift cards sent out)</w:t>
      </w:r>
    </w:p>
    <w:p>
      <w:pPr>
        <w:numPr>
          <w:ilvl w:val="0"/>
          <w:numId w:val="1158"/>
        </w:numPr>
        <w:pStyle w:val="Compact"/>
      </w:pPr>
      <w:r>
        <w:t xml:space="preserve">Other changing information relevant to project coordination (grade level)</w:t>
      </w:r>
    </w:p>
    <w:p>
      <w:pPr>
        <w:numPr>
          <w:ilvl w:val="0"/>
          <w:numId w:val="1158"/>
        </w:numPr>
        <w:pStyle w:val="Compact"/>
      </w:pPr>
      <w:r>
        <w:t xml:space="preserve">Notes</w:t>
      </w:r>
    </w:p>
    <w:p>
      <w:pPr>
        <w:numPr>
          <w:ilvl w:val="1"/>
          <w:numId w:val="1159"/>
        </w:numPr>
        <w:pStyle w:val="Compact"/>
      </w:pPr>
      <w:r>
        <w:t xml:space="preserve">Communication with participants</w:t>
      </w:r>
    </w:p>
    <w:p>
      <w:pPr>
        <w:numPr>
          <w:ilvl w:val="1"/>
          <w:numId w:val="1159"/>
        </w:numPr>
        <w:pStyle w:val="Compact"/>
      </w:pPr>
      <w:r>
        <w:t xml:space="preserve">Reasons for missing data</w:t>
      </w:r>
    </w:p>
    <w:p>
      <w:pPr>
        <w:numPr>
          <w:ilvl w:val="1"/>
          <w:numId w:val="1159"/>
        </w:numPr>
        <w:pStyle w:val="Compact"/>
      </w:pPr>
      <w:r>
        <w:t xml:space="preserve">Errors in data</w:t>
      </w:r>
    </w:p>
    <w:bookmarkStart w:id="615" w:name="structuring-fields"/>
    <w:p>
      <w:pPr>
        <w:pStyle w:val="Heading4"/>
      </w:pPr>
      <w:r>
        <w:rPr>
          <w:rStyle w:val="SectionNumber"/>
        </w:rPr>
        <w:t xml:space="preserve">9.2.3.1</w:t>
      </w:r>
      <w:r>
        <w:tab/>
      </w:r>
      <w:r>
        <w:t xml:space="preserve">Structuring fields</w:t>
      </w:r>
    </w:p>
    <w:p>
      <w:pPr>
        <w:pStyle w:val="FirstParagraph"/>
      </w:pPr>
      <w:r>
        <w:t xml:space="preserve">As you choose your fields you also need to make some decisions about how you will structure those fields.</w:t>
      </w:r>
    </w:p>
    <w:p>
      <w:pPr>
        <w:numPr>
          <w:ilvl w:val="0"/>
          <w:numId w:val="1160"/>
        </w:numPr>
        <w:pStyle w:val="Compact"/>
      </w:pPr>
      <w:r>
        <w:t xml:space="preserve">Set data types for your fields (ex: character, integer, date)</w:t>
      </w:r>
    </w:p>
    <w:p>
      <w:pPr>
        <w:numPr>
          <w:ilvl w:val="1"/>
          <w:numId w:val="1161"/>
        </w:numPr>
        <w:pStyle w:val="Compact"/>
      </w:pPr>
      <w:r>
        <w:t xml:space="preserve">Restrict entry values to only allowable data types to reduce errors</w:t>
      </w:r>
    </w:p>
    <w:p>
      <w:pPr>
        <w:numPr>
          <w:ilvl w:val="0"/>
          <w:numId w:val="1160"/>
        </w:numPr>
        <w:pStyle w:val="Compact"/>
      </w:pPr>
      <w:r>
        <w:t xml:space="preserve">Set allowable values and ranges</w:t>
      </w:r>
    </w:p>
    <w:p>
      <w:pPr>
        <w:numPr>
          <w:ilvl w:val="1"/>
          <w:numId w:val="1162"/>
        </w:numPr>
        <w:pStyle w:val="Compact"/>
      </w:pPr>
      <w:r>
        <w:t xml:space="preserve">For example, a categorical status field may only allow</w:t>
      </w:r>
      <w:r>
        <w:t xml:space="preserve"> </w:t>
      </w:r>
      <w:r>
        <w:t xml:space="preserve">“</w:t>
      </w:r>
      <w:r>
        <w:t xml:space="preserve">complete</w:t>
      </w:r>
      <w:r>
        <w:t xml:space="preserve">”</w:t>
      </w:r>
      <w:r>
        <w:t xml:space="preserve">,</w:t>
      </w:r>
      <w:r>
        <w:t xml:space="preserve"> </w:t>
      </w:r>
      <w:r>
        <w:t xml:space="preserve">“</w:t>
      </w:r>
      <w:r>
        <w:t xml:space="preserve">partially complete</w:t>
      </w:r>
      <w:r>
        <w:t xml:space="preserve">”</w:t>
      </w:r>
      <w:r>
        <w:t xml:space="preserve"> </w:t>
      </w:r>
      <w:r>
        <w:t xml:space="preserve">or</w:t>
      </w:r>
      <w:r>
        <w:t xml:space="preserve"> </w:t>
      </w:r>
      <w:r>
        <w:t xml:space="preserve">“</w:t>
      </w:r>
      <w:r>
        <w:t xml:space="preserve">incomplete</w:t>
      </w:r>
      <w:r>
        <w:t xml:space="preserve">”</w:t>
      </w:r>
    </w:p>
    <w:p>
      <w:pPr>
        <w:numPr>
          <w:ilvl w:val="0"/>
          <w:numId w:val="1160"/>
        </w:numPr>
        <w:pStyle w:val="Compact"/>
      </w:pPr>
      <w:r>
        <w:t xml:space="preserve">Do not lump separate pieces of information together in a field</w:t>
      </w:r>
    </w:p>
    <w:p>
      <w:pPr>
        <w:numPr>
          <w:ilvl w:val="1"/>
          <w:numId w:val="1163"/>
        </w:numPr>
        <w:pStyle w:val="Compact"/>
      </w:pPr>
      <w:r>
        <w:t xml:space="preserve">For example separate out first name and last name into two fields</w:t>
      </w:r>
    </w:p>
    <w:p>
      <w:pPr>
        <w:numPr>
          <w:ilvl w:val="0"/>
          <w:numId w:val="1160"/>
        </w:numPr>
        <w:pStyle w:val="Compact"/>
      </w:pPr>
      <w:r>
        <w:t xml:space="preserve">Name your fields according to the variable naming rules we discussed in our</w:t>
      </w:r>
      <w:r>
        <w:t xml:space="preserve"> </w:t>
      </w:r>
      <w:hyperlink w:anchor="varname">
        <w:r>
          <w:rPr>
            <w:rStyle w:val="Hyperlink"/>
          </w:rPr>
          <w:t xml:space="preserve">Style Guide</w:t>
        </w:r>
      </w:hyperlink>
      <w:r>
        <w:t xml:space="preserve"> </w:t>
      </w:r>
      <w:r>
        <w:t xml:space="preserve">chapter</w:t>
      </w:r>
    </w:p>
    <w:bookmarkEnd w:id="615"/>
    <w:bookmarkEnd w:id="616"/>
    <w:bookmarkStart w:id="617" w:name="choosing-a-tool"/>
    <w:p>
      <w:pPr>
        <w:pStyle w:val="Heading3"/>
      </w:pPr>
      <w:r>
        <w:rPr>
          <w:rStyle w:val="SectionNumber"/>
        </w:rPr>
        <w:t xml:space="preserve">9.2.4</w:t>
      </w:r>
      <w:r>
        <w:tab/>
      </w:r>
      <w:r>
        <w:t xml:space="preserve">Choosing a tool</w:t>
      </w:r>
    </w:p>
    <w:p>
      <w:pPr>
        <w:pStyle w:val="FirstParagraph"/>
      </w:pPr>
      <w:r>
        <w:t xml:space="preserve">There are many criteria to consider when choosing a tool to build your database in.</w:t>
      </w:r>
    </w:p>
    <w:p>
      <w:pPr>
        <w:numPr>
          <w:ilvl w:val="0"/>
          <w:numId w:val="1164"/>
        </w:numPr>
        <w:pStyle w:val="Compact"/>
      </w:pPr>
      <w:r>
        <w:t xml:space="preserve">Choose a tool that is customizable to your needs</w:t>
      </w:r>
    </w:p>
    <w:p>
      <w:pPr>
        <w:numPr>
          <w:ilvl w:val="1"/>
          <w:numId w:val="1165"/>
        </w:numPr>
        <w:pStyle w:val="Compact"/>
      </w:pPr>
      <w:r>
        <w:t xml:space="preserve">Can you build a relational table structure?</w:t>
      </w:r>
    </w:p>
    <w:p>
      <w:pPr>
        <w:numPr>
          <w:ilvl w:val="1"/>
          <w:numId w:val="1165"/>
        </w:numPr>
        <w:pStyle w:val="Compact"/>
      </w:pPr>
      <w:r>
        <w:t xml:space="preserve">Can you export files? Can we connect to the database via application programming interfaces (APIs)?</w:t>
      </w:r>
    </w:p>
    <w:p>
      <w:pPr>
        <w:numPr>
          <w:ilvl w:val="1"/>
          <w:numId w:val="1165"/>
        </w:numPr>
        <w:pStyle w:val="Compact"/>
      </w:pPr>
      <w:r>
        <w:t xml:space="preserve">Can you query data?</w:t>
      </w:r>
    </w:p>
    <w:p>
      <w:pPr>
        <w:numPr>
          <w:ilvl w:val="0"/>
          <w:numId w:val="1164"/>
        </w:numPr>
        <w:pStyle w:val="Compact"/>
      </w:pPr>
      <w:r>
        <w:t xml:space="preserve">Choose a tool that is user-friendly</w:t>
      </w:r>
    </w:p>
    <w:p>
      <w:pPr>
        <w:numPr>
          <w:ilvl w:val="1"/>
          <w:numId w:val="1166"/>
        </w:numPr>
        <w:pStyle w:val="Compact"/>
      </w:pPr>
      <w:r>
        <w:t xml:space="preserve">You don’t want a tool with a steep learning curve for users.</w:t>
      </w:r>
    </w:p>
    <w:p>
      <w:pPr>
        <w:numPr>
          <w:ilvl w:val="0"/>
          <w:numId w:val="1164"/>
        </w:numPr>
        <w:pStyle w:val="Compact"/>
      </w:pPr>
      <w:r>
        <w:t xml:space="preserve">If you are running a project across multiple sites, consider the accessibility of the tool</w:t>
      </w:r>
    </w:p>
    <w:p>
      <w:pPr>
        <w:numPr>
          <w:ilvl w:val="1"/>
          <w:numId w:val="1167"/>
        </w:numPr>
        <w:pStyle w:val="Compact"/>
      </w:pPr>
      <w:r>
        <w:t xml:space="preserve">For example, you may want a tool that is cloud-based so everyone can access it</w:t>
      </w:r>
    </w:p>
    <w:p>
      <w:pPr>
        <w:numPr>
          <w:ilvl w:val="1"/>
          <w:numId w:val="1167"/>
        </w:numPr>
        <w:pStyle w:val="Compact"/>
      </w:pPr>
      <w:r>
        <w:t xml:space="preserve">You may also want to make sure multiple users can access it at the same time</w:t>
      </w:r>
    </w:p>
    <w:p>
      <w:pPr>
        <w:numPr>
          <w:ilvl w:val="0"/>
          <w:numId w:val="1164"/>
        </w:numPr>
        <w:pStyle w:val="Compact"/>
      </w:pPr>
      <w:r>
        <w:t xml:space="preserve">Choose a tool that is interoperable</w:t>
      </w:r>
    </w:p>
    <w:p>
      <w:pPr>
        <w:numPr>
          <w:ilvl w:val="1"/>
          <w:numId w:val="1168"/>
        </w:numPr>
        <w:pStyle w:val="Compact"/>
      </w:pPr>
      <w:r>
        <w:t xml:space="preserve">For instance, some tools may have difficulties running on certain operating systems</w:t>
      </w:r>
    </w:p>
    <w:p>
      <w:pPr>
        <w:numPr>
          <w:ilvl w:val="0"/>
          <w:numId w:val="1164"/>
        </w:numPr>
        <w:pStyle w:val="Compact"/>
      </w:pPr>
      <w:r>
        <w:t xml:space="preserve">Consider cost and licensing</w:t>
      </w:r>
    </w:p>
    <w:p>
      <w:pPr>
        <w:numPr>
          <w:ilvl w:val="1"/>
          <w:numId w:val="1169"/>
        </w:numPr>
        <w:pStyle w:val="Compact"/>
      </w:pPr>
      <w:r>
        <w:t xml:space="preserve">There are many free tools, but they may not provide all of the functionality you want</w:t>
      </w:r>
    </w:p>
    <w:p>
      <w:pPr>
        <w:numPr>
          <w:ilvl w:val="1"/>
          <w:numId w:val="1169"/>
        </w:numPr>
        <w:pStyle w:val="Compact"/>
      </w:pPr>
      <w:r>
        <w:t xml:space="preserve">What products do you already have access to? Your institution has a license for?</w:t>
      </w:r>
    </w:p>
    <w:p>
      <w:pPr>
        <w:numPr>
          <w:ilvl w:val="0"/>
          <w:numId w:val="1164"/>
        </w:numPr>
        <w:pStyle w:val="Compact"/>
      </w:pPr>
      <w:r>
        <w:t xml:space="preserve">Consider security</w:t>
      </w:r>
    </w:p>
    <w:p>
      <w:pPr>
        <w:numPr>
          <w:ilvl w:val="1"/>
          <w:numId w:val="1170"/>
        </w:numPr>
        <w:pStyle w:val="Compact"/>
      </w:pPr>
      <w:r>
        <w:t xml:space="preserve">Security in terms of participant confidentiality</w:t>
      </w:r>
    </w:p>
    <w:p>
      <w:pPr>
        <w:numPr>
          <w:ilvl w:val="2"/>
          <w:numId w:val="1171"/>
        </w:numPr>
        <w:pStyle w:val="Compact"/>
      </w:pPr>
      <w:r>
        <w:t xml:space="preserve">Does the tool meet HIPAA/FERPA requirements?</w:t>
      </w:r>
    </w:p>
    <w:p>
      <w:pPr>
        <w:numPr>
          <w:ilvl w:val="2"/>
          <w:numId w:val="1171"/>
        </w:numPr>
        <w:pStyle w:val="Compact"/>
      </w:pPr>
      <w:r>
        <w:t xml:space="preserve">Can we limit access to the entire database? To specific tables?</w:t>
      </w:r>
    </w:p>
    <w:p>
      <w:pPr>
        <w:numPr>
          <w:ilvl w:val="3"/>
          <w:numId w:val="1172"/>
        </w:numPr>
        <w:pStyle w:val="Compact"/>
      </w:pPr>
      <w:r>
        <w:t xml:space="preserve">Since this database contains PII you will want to place restrictions on who can access and enter data</w:t>
      </w:r>
    </w:p>
    <w:p>
      <w:pPr>
        <w:numPr>
          <w:ilvl w:val="1"/>
          <w:numId w:val="1170"/>
        </w:numPr>
        <w:pStyle w:val="Compact"/>
      </w:pPr>
      <w:r>
        <w:t xml:space="preserve">Protect data loss</w:t>
      </w:r>
    </w:p>
    <w:p>
      <w:pPr>
        <w:numPr>
          <w:ilvl w:val="2"/>
          <w:numId w:val="1173"/>
        </w:numPr>
        <w:pStyle w:val="Compact"/>
      </w:pPr>
      <w:r>
        <w:t xml:space="preserve">Can we backup the system?</w:t>
      </w:r>
    </w:p>
    <w:p>
      <w:pPr>
        <w:numPr>
          <w:ilvl w:val="2"/>
          <w:numId w:val="1173"/>
        </w:numPr>
        <w:pStyle w:val="Compact"/>
      </w:pPr>
      <w:r>
        <w:t xml:space="preserve">Can we protect against overwriting data?</w:t>
      </w:r>
    </w:p>
    <w:p>
      <w:pPr>
        <w:numPr>
          <w:ilvl w:val="0"/>
          <w:numId w:val="1164"/>
        </w:numPr>
        <w:pStyle w:val="Compact"/>
      </w:pPr>
      <w:r>
        <w:t xml:space="preserve">Data quality protection</w:t>
      </w:r>
    </w:p>
    <w:p>
      <w:pPr>
        <w:numPr>
          <w:ilvl w:val="1"/>
          <w:numId w:val="1174"/>
        </w:numPr>
        <w:pStyle w:val="Compact"/>
      </w:pPr>
      <w:r>
        <w:t xml:space="preserve">Can we set up data quality constraints? For example, restrict input types/values.</w:t>
      </w:r>
    </w:p>
    <w:p>
      <w:pPr>
        <w:pStyle w:val="FirstParagraph"/>
      </w:pPr>
      <w:r>
        <w:t xml:space="preserve">There are many tool options you can choose from. A sampling of those options are below. These tools represent a wide range from the criteria above. Take some time to review your options to see which one best meets your needs.</w:t>
      </w:r>
    </w:p>
    <w:p>
      <w:pPr>
        <w:numPr>
          <w:ilvl w:val="0"/>
          <w:numId w:val="1175"/>
        </w:numPr>
        <w:pStyle w:val="Compact"/>
      </w:pPr>
      <w:r>
        <w:t xml:space="preserve">Microsoft Access</w:t>
      </w:r>
    </w:p>
    <w:p>
      <w:pPr>
        <w:numPr>
          <w:ilvl w:val="0"/>
          <w:numId w:val="1175"/>
        </w:numPr>
        <w:pStyle w:val="Compact"/>
      </w:pPr>
      <w:r>
        <w:t xml:space="preserve">Microsoft Excel</w:t>
      </w:r>
    </w:p>
    <w:p>
      <w:pPr>
        <w:numPr>
          <w:ilvl w:val="0"/>
          <w:numId w:val="1175"/>
        </w:numPr>
        <w:pStyle w:val="Compact"/>
      </w:pPr>
      <w:r>
        <w:t xml:space="preserve">QuickBase</w:t>
      </w:r>
    </w:p>
    <w:p>
      <w:pPr>
        <w:numPr>
          <w:ilvl w:val="0"/>
          <w:numId w:val="1175"/>
        </w:numPr>
        <w:pStyle w:val="Compact"/>
      </w:pPr>
      <w:r>
        <w:t xml:space="preserve">Airtable</w:t>
      </w:r>
    </w:p>
    <w:p>
      <w:pPr>
        <w:numPr>
          <w:ilvl w:val="0"/>
          <w:numId w:val="1175"/>
        </w:numPr>
        <w:pStyle w:val="Compact"/>
      </w:pPr>
      <w:r>
        <w:t xml:space="preserve">REDCap</w:t>
      </w:r>
    </w:p>
    <w:p>
      <w:pPr>
        <w:numPr>
          <w:ilvl w:val="0"/>
          <w:numId w:val="1175"/>
        </w:numPr>
        <w:pStyle w:val="Compact"/>
      </w:pPr>
      <w:r>
        <w:t xml:space="preserve">Claris FileMaker</w:t>
      </w:r>
    </w:p>
    <w:p>
      <w:pPr>
        <w:numPr>
          <w:ilvl w:val="0"/>
          <w:numId w:val="1175"/>
        </w:numPr>
        <w:pStyle w:val="Compact"/>
      </w:pPr>
      <w:r>
        <w:t xml:space="preserve">Google Sheets and Google Forms</w:t>
      </w:r>
    </w:p>
    <w:p>
      <w:pPr>
        <w:numPr>
          <w:ilvl w:val="0"/>
          <w:numId w:val="1175"/>
        </w:numPr>
        <w:pStyle w:val="Compact"/>
      </w:pPr>
      <w:r>
        <w:t xml:space="preserve">Forms that feed into a relational database, maintained using a SQL (structured query language) database engine such as SQLite, MySQL, or PostgreSQL</w:t>
      </w:r>
    </w:p>
    <w:bookmarkEnd w:id="617"/>
    <w:bookmarkStart w:id="627" w:name="entering-data"/>
    <w:p>
      <w:pPr>
        <w:pStyle w:val="Heading3"/>
      </w:pPr>
      <w:r>
        <w:rPr>
          <w:rStyle w:val="SectionNumber"/>
        </w:rPr>
        <w:t xml:space="preserve">9.2.5</w:t>
      </w:r>
      <w:r>
        <w:tab/>
      </w:r>
      <w:r>
        <w:t xml:space="preserve">Entering data</w:t>
      </w:r>
    </w:p>
    <w:p>
      <w:pPr>
        <w:pStyle w:val="FirstParagraph"/>
      </w:pPr>
      <w:r>
        <w:t xml:space="preserve">Your last consideration when building your database will be, how do you want your team to enter data into your database? There are many ways to enter data including using SQL statements, importing data, integrating your data collection platform and your tracking database, or even scanning forms using QR codes. While some of those options may work great for your project, here we are going to talk about the two simplest and most common options: manually entering data into a spreadsheet view, and manually entering data into a form.</w:t>
      </w:r>
    </w:p>
    <w:bookmarkStart w:id="621" w:name="entering-data-in-a-spreadsheet-view"/>
    <w:p>
      <w:pPr>
        <w:pStyle w:val="Heading4"/>
      </w:pPr>
      <w:r>
        <w:rPr>
          <w:rStyle w:val="SectionNumber"/>
        </w:rPr>
        <w:t xml:space="preserve">9.2.5.1</w:t>
      </w:r>
      <w:r>
        <w:tab/>
      </w:r>
      <w:r>
        <w:t xml:space="preserve">Entering data in a spreadsheet view</w:t>
      </w:r>
    </w:p>
    <w:p>
      <w:pPr>
        <w:pStyle w:val="FirstParagraph"/>
      </w:pPr>
      <w:r>
        <w:t xml:space="preserve">Your first option is to manually enter data in a spreadsheet format for each participant in a row. This would be the most common (or only) option when using tools such as Microsoft Excel or Google Sheets. However, you can also use this option when entering into other database tools such as Microsoft Access. There are both pros and cons to this method.</w:t>
      </w:r>
    </w:p>
    <w:p>
      <w:pPr>
        <w:numPr>
          <w:ilvl w:val="0"/>
          <w:numId w:val="1176"/>
        </w:numPr>
        <w:pStyle w:val="Compact"/>
      </w:pPr>
      <w:r>
        <w:t xml:space="preserve">Pros: This is the quickest and easiest method. It also allows you to view all the data holistically.</w:t>
      </w:r>
    </w:p>
    <w:p>
      <w:pPr>
        <w:numPr>
          <w:ilvl w:val="0"/>
          <w:numId w:val="1176"/>
        </w:numPr>
        <w:pStyle w:val="Compact"/>
      </w:pPr>
      <w:r>
        <w:t xml:space="preserve">Cons: This method can lead to errors if someone enters data on the wrong row/record.</w:t>
      </w:r>
    </w:p>
    <w:p>
      <w:pPr>
        <w:pStyle w:val="CaptionedFigure"/>
      </w:pPr>
      <w:r>
        <w:drawing>
          <wp:inline>
            <wp:extent cx="5334000" cy="855306"/>
            <wp:effectExtent b="0" l="0" r="0" t="0"/>
            <wp:docPr descr="Figure 9.5: Example spreadsheet view data entry" title="" id="619" name="Picture"/>
            <a:graphic>
              <a:graphicData uri="http://schemas.openxmlformats.org/drawingml/2006/picture">
                <pic:pic>
                  <pic:nvPicPr>
                    <pic:cNvPr descr="img/datasheet-view-new.PNG" id="620" name="Picture"/>
                    <pic:cNvPicPr>
                      <a:picLocks noChangeArrowheads="1" noChangeAspect="1"/>
                    </pic:cNvPicPr>
                  </pic:nvPicPr>
                  <pic:blipFill>
                    <a:blip r:embed="rId618"/>
                    <a:stretch>
                      <a:fillRect/>
                    </a:stretch>
                  </pic:blipFill>
                  <pic:spPr bwMode="auto">
                    <a:xfrm>
                      <a:off x="0" y="0"/>
                      <a:ext cx="5334000" cy="855306"/>
                    </a:xfrm>
                    <a:prstGeom prst="rect">
                      <a:avLst/>
                    </a:prstGeom>
                    <a:noFill/>
                    <a:ln w="9525">
                      <a:noFill/>
                      <a:headEnd/>
                      <a:tailEnd/>
                    </a:ln>
                  </pic:spPr>
                </pic:pic>
              </a:graphicData>
            </a:graphic>
          </wp:inline>
        </w:drawing>
      </w:r>
    </w:p>
    <w:p>
      <w:pPr>
        <w:pStyle w:val="ImageCaption"/>
      </w:pPr>
      <w:r>
        <w:t xml:space="preserve">Figure 9.5: Example spreadsheet view data entry</w:t>
      </w:r>
    </w:p>
    <w:bookmarkEnd w:id="621"/>
    <w:bookmarkStart w:id="625" w:name="entering-data-in-a-form"/>
    <w:p>
      <w:pPr>
        <w:pStyle w:val="Heading4"/>
      </w:pPr>
      <w:r>
        <w:rPr>
          <w:rStyle w:val="SectionNumber"/>
        </w:rPr>
        <w:t xml:space="preserve">9.2.5.2</w:t>
      </w:r>
      <w:r>
        <w:tab/>
      </w:r>
      <w:r>
        <w:t xml:space="preserve">Entering data in a form</w:t>
      </w:r>
    </w:p>
    <w:p>
      <w:pPr>
        <w:pStyle w:val="FirstParagraph"/>
      </w:pPr>
      <w:r>
        <w:t xml:space="preserve">Your second option is to create a form that is linked to your tables. As you enter data in your forms, it automatically populates your tables with the information. This option is possible in many systems including Microsoft Access, RedCap, and even Google Forms which populates into Google Sheets.</w:t>
      </w:r>
    </w:p>
    <w:p>
      <w:pPr>
        <w:numPr>
          <w:ilvl w:val="0"/>
          <w:numId w:val="1177"/>
        </w:numPr>
        <w:pStyle w:val="Compact"/>
      </w:pPr>
      <w:r>
        <w:t xml:space="preserve">Pros: This method reduces data entry errors as you are only working on one participant form at a time</w:t>
      </w:r>
    </w:p>
    <w:p>
      <w:pPr>
        <w:numPr>
          <w:ilvl w:val="0"/>
          <w:numId w:val="1177"/>
        </w:numPr>
        <w:pStyle w:val="Compact"/>
      </w:pPr>
      <w:r>
        <w:t xml:space="preserve">Cons: Takes some time, and possibly expertise, to set up the data entry forms</w:t>
      </w:r>
    </w:p>
    <w:p>
      <w:pPr>
        <w:pStyle w:val="CaptionedFigure"/>
      </w:pPr>
      <w:r>
        <w:drawing>
          <wp:inline>
            <wp:extent cx="5334000" cy="3731915"/>
            <wp:effectExtent b="0" l="0" r="0" t="0"/>
            <wp:docPr descr="Figure 9.6: Example form view data entry" title="" id="623" name="Picture"/>
            <a:graphic>
              <a:graphicData uri="http://schemas.openxmlformats.org/drawingml/2006/picture">
                <pic:pic>
                  <pic:nvPicPr>
                    <pic:cNvPr descr="img/form-view-new.PNG" id="624" name="Picture"/>
                    <pic:cNvPicPr>
                      <a:picLocks noChangeArrowheads="1" noChangeAspect="1"/>
                    </pic:cNvPicPr>
                  </pic:nvPicPr>
                  <pic:blipFill>
                    <a:blip r:embed="rId622"/>
                    <a:stretch>
                      <a:fillRect/>
                    </a:stretch>
                  </pic:blipFill>
                  <pic:spPr bwMode="auto">
                    <a:xfrm>
                      <a:off x="0" y="0"/>
                      <a:ext cx="5334000" cy="3731915"/>
                    </a:xfrm>
                    <a:prstGeom prst="rect">
                      <a:avLst/>
                    </a:prstGeom>
                    <a:noFill/>
                    <a:ln w="9525">
                      <a:noFill/>
                      <a:headEnd/>
                      <a:tailEnd/>
                    </a:ln>
                  </pic:spPr>
                </pic:pic>
              </a:graphicData>
            </a:graphic>
          </wp:inline>
        </w:drawing>
      </w:r>
    </w:p>
    <w:p>
      <w:pPr>
        <w:pStyle w:val="ImageCaption"/>
      </w:pPr>
      <w:r>
        <w:t xml:space="preserve">Figure 9.6: Example form view data entry</w:t>
      </w:r>
    </w:p>
    <w:bookmarkEnd w:id="625"/>
    <w:bookmarkStart w:id="626" w:name="other-considerations"/>
    <w:p>
      <w:pPr>
        <w:pStyle w:val="Heading4"/>
      </w:pPr>
      <w:r>
        <w:rPr>
          <w:rStyle w:val="SectionNumber"/>
        </w:rPr>
        <w:t xml:space="preserve">9.2.5.3</w:t>
      </w:r>
      <w:r>
        <w:tab/>
      </w:r>
      <w:r>
        <w:t xml:space="preserve">Other considerations</w:t>
      </w:r>
    </w:p>
    <w:p>
      <w:pPr>
        <w:pStyle w:val="FirstParagraph"/>
      </w:pPr>
      <w:r>
        <w:t xml:space="preserve">If your participant tracking database is separate from your data collection tools, all information will need to be entered by your team using one of these ways. However, if your participant tracking tool is also your data collection/data capture tool (such as those who collect data using RedCap), fields such as data collection status (ex: survey completed), may not be manually entry. Rather they may be automated to populate as</w:t>
      </w:r>
      <w:r>
        <w:t xml:space="preserve"> </w:t>
      </w:r>
      <w:r>
        <w:t xml:space="preserve">“</w:t>
      </w:r>
      <w:r>
        <w:t xml:space="preserve">complete</w:t>
      </w:r>
      <w:r>
        <w:t xml:space="preserve">”</w:t>
      </w:r>
      <w:r>
        <w:t xml:space="preserve"> </w:t>
      </w:r>
      <w:r>
        <w:t xml:space="preserve">once a participant submits their responses in the data collection tool.</w:t>
      </w:r>
    </w:p>
    <w:bookmarkEnd w:id="626"/>
    <w:bookmarkEnd w:id="627"/>
    <w:bookmarkEnd w:id="628"/>
    <w:bookmarkStart w:id="632" w:name="ids"/>
    <w:p>
      <w:pPr>
        <w:pStyle w:val="Heading2"/>
      </w:pPr>
      <w:r>
        <w:rPr>
          <w:rStyle w:val="SectionNumber"/>
        </w:rPr>
        <w:t xml:space="preserve">9.3</w:t>
      </w:r>
      <w:r>
        <w:tab/>
      </w:r>
      <w:r>
        <w:t xml:space="preserve">Creating unique identifiers</w:t>
      </w:r>
    </w:p>
    <w:p>
      <w:pPr>
        <w:pStyle w:val="FirstParagraph"/>
      </w:pPr>
      <w:r>
        <w:t xml:space="preserve">Assigning unique identifiers (UIDs) is an important part of ensuring the protection of the privacy of human participants. Hopefully at this point your team has already created your study id schema and documented it in an</w:t>
      </w:r>
      <w:r>
        <w:t xml:space="preserve"> </w:t>
      </w:r>
      <w:hyperlink w:anchor="sop">
        <w:r>
          <w:rPr>
            <w:rStyle w:val="Hyperlink"/>
          </w:rPr>
          <w:t xml:space="preserve">SOP</w:t>
        </w:r>
      </w:hyperlink>
      <w:r>
        <w:t xml:space="preserve">. However, since this is the point when you will begin actually assigning those IDs, this is a good time to discuss best practices for creating your unique identifier schema. There are several rules to consider when assigning your identifiers.</w:t>
      </w:r>
    </w:p>
    <w:p>
      <w:pPr>
        <w:numPr>
          <w:ilvl w:val="0"/>
          <w:numId w:val="1178"/>
        </w:numPr>
        <w:pStyle w:val="Compact"/>
      </w:pPr>
      <w:r>
        <w:t xml:space="preserve">These identifiers are numeric or alphanumeric and typically range from 2-10 digits</w:t>
      </w:r>
    </w:p>
    <w:p>
      <w:pPr>
        <w:numPr>
          <w:ilvl w:val="0"/>
          <w:numId w:val="1178"/>
        </w:numPr>
        <w:pStyle w:val="Compact"/>
      </w:pPr>
      <w:r>
        <w:t xml:space="preserve">They must be unique within entities and but also across entities to reduce confusion</w:t>
      </w:r>
    </w:p>
    <w:p>
      <w:pPr>
        <w:numPr>
          <w:ilvl w:val="1"/>
          <w:numId w:val="1179"/>
        </w:numPr>
        <w:pStyle w:val="Compact"/>
      </w:pPr>
      <w:r>
        <w:t xml:space="preserve">For example, no duplicating IDs within students or across students and teachers</w:t>
      </w:r>
    </w:p>
    <w:p>
      <w:pPr>
        <w:numPr>
          <w:ilvl w:val="0"/>
          <w:numId w:val="1178"/>
        </w:numPr>
        <w:pStyle w:val="Compact"/>
      </w:pPr>
      <w:r>
        <w:t xml:space="preserve">The identifier must be randomly assigned and be completely distinct from any participant information</w:t>
      </w:r>
    </w:p>
    <w:p>
      <w:pPr>
        <w:numPr>
          <w:ilvl w:val="1"/>
          <w:numId w:val="1180"/>
        </w:numPr>
        <w:pStyle w:val="Compact"/>
      </w:pPr>
      <w:r>
        <w:t xml:space="preserve">The ID should not be associated with name, location, dob, income, grade level, and so forth</w:t>
      </w:r>
    </w:p>
    <w:p>
      <w:pPr>
        <w:numPr>
          <w:ilvl w:val="1"/>
          <w:numId w:val="1180"/>
        </w:numPr>
        <w:pStyle w:val="Compact"/>
      </w:pPr>
      <w:r>
        <w:t xml:space="preserve">As an example, do not sort names alphabetically and then assign IDs in sequential order or do not include initials as part of the identifier</w:t>
      </w:r>
    </w:p>
    <w:p>
      <w:pPr>
        <w:numPr>
          <w:ilvl w:val="0"/>
          <w:numId w:val="1178"/>
        </w:numPr>
        <w:pStyle w:val="Compact"/>
      </w:pPr>
      <w:r>
        <w:t xml:space="preserve">Participants must keep this same identifier for the entire project, never change a participant’s ID</w:t>
      </w:r>
    </w:p>
    <w:p>
      <w:pPr>
        <w:numPr>
          <w:ilvl w:val="1"/>
          <w:numId w:val="1181"/>
        </w:numPr>
        <w:pStyle w:val="Compact"/>
      </w:pPr>
      <w:r>
        <w:t xml:space="preserve">This applies across all waves of data collection</w:t>
      </w:r>
    </w:p>
    <w:p>
      <w:pPr>
        <w:numPr>
          <w:ilvl w:val="1"/>
          <w:numId w:val="1181"/>
        </w:numPr>
        <w:pStyle w:val="Compact"/>
      </w:pPr>
      <w:r>
        <w:t xml:space="preserve">This even applies in circumstances where a participant has the opportunity to be re-recruited into your study more than once. The participant still keeps the same ID throughout the study. You can use other variables to identify the unique instances of that participant (ex: cohort associated with that participant)</w:t>
      </w:r>
    </w:p>
    <w:p>
      <w:pPr>
        <w:numPr>
          <w:ilvl w:val="0"/>
          <w:numId w:val="1178"/>
        </w:numPr>
        <w:pStyle w:val="Compact"/>
      </w:pPr>
      <w:r>
        <w:t xml:space="preserve">If confidentiality was promised to schools or districts, assign identifiers to sites as well</w:t>
      </w:r>
    </w:p>
    <w:p>
      <w:pPr>
        <w:pStyle w:val="CaptionedFigure"/>
      </w:pPr>
      <w:r>
        <w:drawing>
          <wp:inline>
            <wp:extent cx="5334000" cy="2306991"/>
            <wp:effectExtent b="0" l="0" r="0" t="0"/>
            <wp:docPr descr="Figure 9.7: Example of keeping participant IDs for the entire study" title="" id="630" name="Picture"/>
            <a:graphic>
              <a:graphicData uri="http://schemas.openxmlformats.org/drawingml/2006/picture">
                <pic:pic>
                  <pic:nvPicPr>
                    <pic:cNvPr descr="img/dupe_id.PNG" id="631" name="Picture"/>
                    <pic:cNvPicPr>
                      <a:picLocks noChangeArrowheads="1" noChangeAspect="1"/>
                    </pic:cNvPicPr>
                  </pic:nvPicPr>
                  <pic:blipFill>
                    <a:blip r:embed="rId629"/>
                    <a:stretch>
                      <a:fillRect/>
                    </a:stretch>
                  </pic:blipFill>
                  <pic:spPr bwMode="auto">
                    <a:xfrm>
                      <a:off x="0" y="0"/>
                      <a:ext cx="5334000" cy="2306991"/>
                    </a:xfrm>
                    <a:prstGeom prst="rect">
                      <a:avLst/>
                    </a:prstGeom>
                    <a:noFill/>
                    <a:ln w="9525">
                      <a:noFill/>
                      <a:headEnd/>
                      <a:tailEnd/>
                    </a:ln>
                  </pic:spPr>
                </pic:pic>
              </a:graphicData>
            </a:graphic>
          </wp:inline>
        </w:drawing>
      </w:r>
    </w:p>
    <w:p>
      <w:pPr>
        <w:pStyle w:val="ImageCaption"/>
      </w:pPr>
      <w:r>
        <w:t xml:space="preserve">Figure 9.7: Example of keeping participant IDs for the entire study</w:t>
      </w:r>
    </w:p>
    <w:p>
      <w:pPr>
        <w:pStyle w:val="BodyText"/>
      </w:pPr>
      <w:r>
        <w:t xml:space="preserve">The only time you will not assign unique identifiers is when you collect anonymous data. In this situation you will not be able to assign identifiers since you will not know who participants are. However, it is still possible to assign identifiers to known entities such as school sites if anonymity is required.</w:t>
      </w:r>
    </w:p>
    <w:bookmarkEnd w:id="632"/>
    <w:bookmarkStart w:id="633" w:name="tracking-best-practices"/>
    <w:p>
      <w:pPr>
        <w:pStyle w:val="Heading2"/>
      </w:pPr>
      <w:r>
        <w:rPr>
          <w:rStyle w:val="SectionNumber"/>
        </w:rPr>
        <w:t xml:space="preserve">9.4</w:t>
      </w:r>
      <w:r>
        <w:tab/>
      </w:r>
      <w:r>
        <w:t xml:space="preserve">Tracking best practices</w:t>
      </w:r>
    </w:p>
    <w:p>
      <w:pPr>
        <w:pStyle w:val="FirstParagraph"/>
      </w:pPr>
      <w:r>
        <w:t xml:space="preserve">Last, it is important to review</w:t>
      </w:r>
      <w:r>
        <w:t xml:space="preserve"> </w:t>
      </w:r>
      <w:r>
        <w:rPr>
          <w:bCs/>
          <w:b/>
        </w:rPr>
        <w:t xml:space="preserve">how</w:t>
      </w:r>
      <w:r>
        <w:t xml:space="preserve"> </w:t>
      </w:r>
      <w:r>
        <w:t xml:space="preserve">to use the participant tracking database. As mentioned earlier, this database should be created before you begin recruiting participants so that as soon as participants begin to consent, they can be added to your database. Then once data collection begins, your Institutional Review Board (IRB) approved staff member can begin tracking data as it is collected. Your team may designate one person to track, or they may designate multiple. If you are working across multiple sites, with multiple teams, you will most likely have one or more persons at each site tracking data as it comes in.</w:t>
      </w:r>
    </w:p>
    <w:p>
      <w:pPr>
        <w:pStyle w:val="BodyText"/>
      </w:pPr>
      <w:r>
        <w:t xml:space="preserve">Since this is a highly sensitive database, not only may you want to restrict who has access to your database, but if your tool allows it, it can be helpful to also limit access to specific tables with identifiable information. For instance, project coordinators may have access to all information in the database (including sensitive data), while research assistants have limited access to tables that only include unique identifiers where they can track data collection completion. No matter who is tracking information, it is important to develop a tracking routine, assign roles and responsibilities, add your routine to an</w:t>
      </w:r>
      <w:r>
        <w:t xml:space="preserve"> </w:t>
      </w:r>
      <w:hyperlink w:anchor="sop">
        <w:r>
          <w:rPr>
            <w:rStyle w:val="Hyperlink"/>
          </w:rPr>
          <w:t xml:space="preserve">SOP</w:t>
        </w:r>
      </w:hyperlink>
      <w:r>
        <w:t xml:space="preserve">.</w:t>
      </w:r>
    </w:p>
    <w:p>
      <w:pPr>
        <w:pStyle w:val="BodyText"/>
      </w:pPr>
      <w:r>
        <w:t xml:space="preserve">Some tracking best practices include:</w:t>
      </w:r>
    </w:p>
    <w:p>
      <w:pPr>
        <w:numPr>
          <w:ilvl w:val="0"/>
          <w:numId w:val="1182"/>
        </w:numPr>
        <w:pStyle w:val="Compact"/>
      </w:pPr>
      <w:r>
        <w:t xml:space="preserve">Update all relevant contact information in this database alone, not in other places.</w:t>
      </w:r>
    </w:p>
    <w:p>
      <w:pPr>
        <w:numPr>
          <w:ilvl w:val="1"/>
          <w:numId w:val="1183"/>
        </w:numPr>
        <w:pStyle w:val="Compact"/>
      </w:pPr>
      <w:r>
        <w:t xml:space="preserve">Again, you can allow multiple people to update or designate one contact to funnel all updates through.</w:t>
      </w:r>
    </w:p>
    <w:p>
      <w:pPr>
        <w:numPr>
          <w:ilvl w:val="0"/>
          <w:numId w:val="1182"/>
        </w:numPr>
        <w:pStyle w:val="Compact"/>
      </w:pPr>
      <w:r>
        <w:t xml:space="preserve">When tracking data (consents, paperwork, data collection forms) only track data that you physically have (paper or electronic)</w:t>
      </w:r>
    </w:p>
    <w:p>
      <w:pPr>
        <w:numPr>
          <w:ilvl w:val="1"/>
          <w:numId w:val="1184"/>
        </w:numPr>
        <w:pStyle w:val="Compact"/>
      </w:pPr>
      <w:r>
        <w:t xml:space="preserve">Never track data as</w:t>
      </w:r>
      <w:r>
        <w:t xml:space="preserve"> </w:t>
      </w:r>
      <w:r>
        <w:t xml:space="preserve">“</w:t>
      </w:r>
      <w:r>
        <w:t xml:space="preserve">complete</w:t>
      </w:r>
      <w:r>
        <w:t xml:space="preserve">”</w:t>
      </w:r>
      <w:r>
        <w:t xml:space="preserve"> </w:t>
      </w:r>
      <w:r>
        <w:t xml:space="preserve">that someone tells you they collected</w:t>
      </w:r>
    </w:p>
    <w:p>
      <w:pPr>
        <w:numPr>
          <w:ilvl w:val="2"/>
          <w:numId w:val="1185"/>
        </w:numPr>
        <w:pStyle w:val="Compact"/>
      </w:pPr>
      <w:r>
        <w:t xml:space="preserve">You can always mark this information in a</w:t>
      </w:r>
      <w:r>
        <w:t xml:space="preserve"> </w:t>
      </w:r>
      <w:r>
        <w:t xml:space="preserve">“</w:t>
      </w:r>
      <w:r>
        <w:t xml:space="preserve">notes</w:t>
      </w:r>
      <w:r>
        <w:t xml:space="preserve">”</w:t>
      </w:r>
      <w:r>
        <w:t xml:space="preserve"> </w:t>
      </w:r>
      <w:r>
        <w:t xml:space="preserve">field and track when you have the physical data</w:t>
      </w:r>
    </w:p>
    <w:p>
      <w:pPr>
        <w:numPr>
          <w:ilvl w:val="0"/>
          <w:numId w:val="1182"/>
        </w:numPr>
        <w:pStyle w:val="Compact"/>
      </w:pPr>
      <w:r>
        <w:t xml:space="preserve">Track daily during data collection</w:t>
      </w:r>
    </w:p>
    <w:p>
      <w:pPr>
        <w:numPr>
          <w:ilvl w:val="1"/>
          <w:numId w:val="1186"/>
        </w:numPr>
        <w:pStyle w:val="Compact"/>
      </w:pPr>
      <w:r>
        <w:t xml:space="preserve">Do not wait until the end of data collection to track what data was collected</w:t>
      </w:r>
    </w:p>
    <w:p>
      <w:pPr>
        <w:numPr>
          <w:ilvl w:val="1"/>
          <w:numId w:val="1186"/>
        </w:numPr>
        <w:pStyle w:val="Compact"/>
      </w:pPr>
      <w:r>
        <w:t xml:space="preserve">This helps ensure that you don’t miss the opportunity to collect data that you</w:t>
      </w:r>
      <w:r>
        <w:t xml:space="preserve"> </w:t>
      </w:r>
      <w:r>
        <w:rPr>
          <w:iCs/>
          <w:i/>
        </w:rPr>
        <w:t xml:space="preserve">thought</w:t>
      </w:r>
      <w:r>
        <w:t xml:space="preserve"> </w:t>
      </w:r>
      <w:r>
        <w:t xml:space="preserve">you had but never actually collected</w:t>
      </w:r>
    </w:p>
    <w:p>
      <w:pPr>
        <w:numPr>
          <w:ilvl w:val="0"/>
          <w:numId w:val="1182"/>
        </w:numPr>
        <w:pStyle w:val="Compact"/>
      </w:pPr>
      <w:r>
        <w:t xml:space="preserve">Only track complete data as</w:t>
      </w:r>
      <w:r>
        <w:t xml:space="preserve"> </w:t>
      </w:r>
      <w:r>
        <w:t xml:space="preserve">“</w:t>
      </w:r>
      <w:r>
        <w:t xml:space="preserve">complete</w:t>
      </w:r>
      <w:r>
        <w:t xml:space="preserve">”</w:t>
      </w:r>
    </w:p>
    <w:p>
      <w:pPr>
        <w:numPr>
          <w:ilvl w:val="1"/>
          <w:numId w:val="1187"/>
        </w:numPr>
        <w:pStyle w:val="Compact"/>
      </w:pPr>
      <w:r>
        <w:t xml:space="preserve">If a form is only partially completed and you plan to send it back out to the field for completion, mark this in the</w:t>
      </w:r>
      <w:r>
        <w:t xml:space="preserve"> </w:t>
      </w:r>
      <w:r>
        <w:t xml:space="preserve">“</w:t>
      </w:r>
      <w:r>
        <w:t xml:space="preserve">notes</w:t>
      </w:r>
      <w:r>
        <w:t xml:space="preserve">”</w:t>
      </w:r>
      <w:r>
        <w:t xml:space="preserve"> </w:t>
      </w:r>
      <w:r>
        <w:t xml:space="preserve">but do not mark it as</w:t>
      </w:r>
      <w:r>
        <w:t xml:space="preserve"> </w:t>
      </w:r>
      <w:r>
        <w:t xml:space="preserve">“</w:t>
      </w:r>
      <w:r>
        <w:t xml:space="preserve">completed</w:t>
      </w:r>
      <w:r>
        <w:t xml:space="preserve">”</w:t>
      </w:r>
      <w:r>
        <w:t xml:space="preserve">. If you have a</w:t>
      </w:r>
      <w:r>
        <w:t xml:space="preserve"> </w:t>
      </w:r>
      <w:r>
        <w:t xml:space="preserve">“</w:t>
      </w:r>
      <w:r>
        <w:t xml:space="preserve">partially completed</w:t>
      </w:r>
      <w:r>
        <w:t xml:space="preserve">”</w:t>
      </w:r>
      <w:r>
        <w:t xml:space="preserve"> </w:t>
      </w:r>
      <w:r>
        <w:t xml:space="preserve">option, you can mark this option.</w:t>
      </w:r>
    </w:p>
    <w:bookmarkEnd w:id="633"/>
    <w:bookmarkEnd w:id="634"/>
    <w:bookmarkStart w:id="640" w:name="data-collection"/>
    <w:p>
      <w:pPr>
        <w:pStyle w:val="Heading1"/>
      </w:pPr>
      <w:r>
        <w:rPr>
          <w:rStyle w:val="SectionNumber"/>
        </w:rPr>
        <w:t xml:space="preserve">10</w:t>
      </w:r>
      <w:r>
        <w:tab/>
      </w:r>
      <w:r>
        <w:t xml:space="preserve">Data Collection</w:t>
      </w:r>
    </w:p>
    <w:bookmarkStart w:id="635" w:name="Xbc8506d1182cf1426d832e6ab42eeb02f5268c0"/>
    <w:p>
      <w:pPr>
        <w:pStyle w:val="Heading2"/>
      </w:pPr>
      <w:r>
        <w:rPr>
          <w:rStyle w:val="SectionNumber"/>
        </w:rPr>
        <w:t xml:space="preserve">10.1</w:t>
      </w:r>
      <w:r>
        <w:tab/>
      </w:r>
      <w:r>
        <w:t xml:space="preserve">Why consider data management in data collection?</w:t>
      </w:r>
    </w:p>
    <w:bookmarkEnd w:id="635"/>
    <w:bookmarkStart w:id="636" w:name="consents"/>
    <w:p>
      <w:pPr>
        <w:pStyle w:val="Heading2"/>
      </w:pPr>
      <w:r>
        <w:rPr>
          <w:rStyle w:val="SectionNumber"/>
        </w:rPr>
        <w:t xml:space="preserve">10.2</w:t>
      </w:r>
      <w:r>
        <w:tab/>
      </w:r>
      <w:r>
        <w:t xml:space="preserve">Consents</w:t>
      </w:r>
    </w:p>
    <w:bookmarkEnd w:id="636"/>
    <w:bookmarkStart w:id="637" w:name="electronic-data-collection-instruments"/>
    <w:p>
      <w:pPr>
        <w:pStyle w:val="Heading2"/>
      </w:pPr>
      <w:r>
        <w:rPr>
          <w:rStyle w:val="SectionNumber"/>
        </w:rPr>
        <w:t xml:space="preserve">10.3</w:t>
      </w:r>
      <w:r>
        <w:tab/>
      </w:r>
      <w:r>
        <w:t xml:space="preserve">Electronic data collection instruments</w:t>
      </w:r>
    </w:p>
    <w:bookmarkEnd w:id="637"/>
    <w:bookmarkStart w:id="638" w:name="paper-data-collection-instruments"/>
    <w:p>
      <w:pPr>
        <w:pStyle w:val="Heading2"/>
      </w:pPr>
      <w:r>
        <w:rPr>
          <w:rStyle w:val="SectionNumber"/>
        </w:rPr>
        <w:t xml:space="preserve">10.4</w:t>
      </w:r>
      <w:r>
        <w:tab/>
      </w:r>
      <w:r>
        <w:t xml:space="preserve">Paper data collection instruments</w:t>
      </w:r>
    </w:p>
    <w:bookmarkEnd w:id="638"/>
    <w:bookmarkStart w:id="639" w:name="interviewsfocus-groups"/>
    <w:p>
      <w:pPr>
        <w:pStyle w:val="Heading2"/>
      </w:pPr>
      <w:r>
        <w:rPr>
          <w:rStyle w:val="SectionNumber"/>
        </w:rPr>
        <w:t xml:space="preserve">10.5</w:t>
      </w:r>
      <w:r>
        <w:tab/>
      </w:r>
      <w:r>
        <w:t xml:space="preserve">Interviews/focus groups</w:t>
      </w:r>
    </w:p>
    <w:bookmarkEnd w:id="639"/>
    <w:bookmarkEnd w:id="640"/>
    <w:bookmarkStart w:id="644" w:name="data-capture"/>
    <w:p>
      <w:pPr>
        <w:pStyle w:val="Heading1"/>
      </w:pPr>
      <w:r>
        <w:rPr>
          <w:rStyle w:val="SectionNumber"/>
        </w:rPr>
        <w:t xml:space="preserve">11</w:t>
      </w:r>
      <w:r>
        <w:tab/>
      </w:r>
      <w:r>
        <w:t xml:space="preserve">Data Capture</w:t>
      </w:r>
    </w:p>
    <w:bookmarkStart w:id="641" w:name="electronic-data-capture"/>
    <w:p>
      <w:pPr>
        <w:pStyle w:val="Heading2"/>
      </w:pPr>
      <w:r>
        <w:rPr>
          <w:rStyle w:val="SectionNumber"/>
        </w:rPr>
        <w:t xml:space="preserve">11.1</w:t>
      </w:r>
      <w:r>
        <w:tab/>
      </w:r>
      <w:r>
        <w:t xml:space="preserve">Electronic data capture</w:t>
      </w:r>
    </w:p>
    <w:bookmarkEnd w:id="641"/>
    <w:bookmarkStart w:id="642" w:name="paper-data-capture"/>
    <w:p>
      <w:pPr>
        <w:pStyle w:val="Heading2"/>
      </w:pPr>
      <w:r>
        <w:rPr>
          <w:rStyle w:val="SectionNumber"/>
        </w:rPr>
        <w:t xml:space="preserve">11.2</w:t>
      </w:r>
      <w:r>
        <w:tab/>
      </w:r>
      <w:r>
        <w:t xml:space="preserve">Paper data capture</w:t>
      </w:r>
    </w:p>
    <w:bookmarkEnd w:id="642"/>
    <w:bookmarkStart w:id="643" w:name="extant-data"/>
    <w:p>
      <w:pPr>
        <w:pStyle w:val="Heading2"/>
      </w:pPr>
      <w:r>
        <w:rPr>
          <w:rStyle w:val="SectionNumber"/>
        </w:rPr>
        <w:t xml:space="preserve">11.3</w:t>
      </w:r>
      <w:r>
        <w:tab/>
      </w:r>
      <w:r>
        <w:t xml:space="preserve">Extant data</w:t>
      </w:r>
    </w:p>
    <w:bookmarkEnd w:id="643"/>
    <w:bookmarkEnd w:id="644"/>
    <w:bookmarkStart w:id="653" w:name="data-storage-and-security"/>
    <w:p>
      <w:pPr>
        <w:pStyle w:val="Heading1"/>
      </w:pPr>
      <w:r>
        <w:rPr>
          <w:rStyle w:val="SectionNumber"/>
        </w:rPr>
        <w:t xml:space="preserve">12</w:t>
      </w:r>
      <w:r>
        <w:tab/>
      </w:r>
      <w:r>
        <w:t xml:space="preserve">Data Storage and Security</w:t>
      </w:r>
    </w:p>
    <w:bookmarkStart w:id="645" w:name="types-of-data-youll-be-storing"/>
    <w:p>
      <w:pPr>
        <w:pStyle w:val="Heading2"/>
      </w:pPr>
      <w:r>
        <w:rPr>
          <w:rStyle w:val="SectionNumber"/>
        </w:rPr>
        <w:t xml:space="preserve">12.1</w:t>
      </w:r>
      <w:r>
        <w:tab/>
      </w:r>
      <w:r>
        <w:t xml:space="preserve">Types of data you’ll be storing</w:t>
      </w:r>
    </w:p>
    <w:bookmarkEnd w:id="645"/>
    <w:bookmarkStart w:id="646" w:name="general-security-rules"/>
    <w:p>
      <w:pPr>
        <w:pStyle w:val="Heading2"/>
      </w:pPr>
      <w:r>
        <w:rPr>
          <w:rStyle w:val="SectionNumber"/>
        </w:rPr>
        <w:t xml:space="preserve">12.2</w:t>
      </w:r>
      <w:r>
        <w:tab/>
      </w:r>
      <w:r>
        <w:t xml:space="preserve">General security rules</w:t>
      </w:r>
    </w:p>
    <w:bookmarkEnd w:id="646"/>
    <w:bookmarkStart w:id="647" w:name="trackingstorage"/>
    <w:p>
      <w:pPr>
        <w:pStyle w:val="Heading2"/>
      </w:pPr>
      <w:r>
        <w:rPr>
          <w:rStyle w:val="SectionNumber"/>
        </w:rPr>
        <w:t xml:space="preserve">12.3</w:t>
      </w:r>
      <w:r>
        <w:tab/>
      </w:r>
      <w:r>
        <w:t xml:space="preserve">Participant tracking database</w:t>
      </w:r>
    </w:p>
    <w:bookmarkEnd w:id="647"/>
    <w:bookmarkStart w:id="648" w:name="electronic-data"/>
    <w:p>
      <w:pPr>
        <w:pStyle w:val="Heading2"/>
      </w:pPr>
      <w:r>
        <w:rPr>
          <w:rStyle w:val="SectionNumber"/>
        </w:rPr>
        <w:t xml:space="preserve">12.4</w:t>
      </w:r>
      <w:r>
        <w:tab/>
      </w:r>
      <w:r>
        <w:t xml:space="preserve">Electronic data</w:t>
      </w:r>
    </w:p>
    <w:bookmarkEnd w:id="648"/>
    <w:bookmarkStart w:id="649" w:name="detachable-media"/>
    <w:p>
      <w:pPr>
        <w:pStyle w:val="Heading2"/>
      </w:pPr>
      <w:r>
        <w:rPr>
          <w:rStyle w:val="SectionNumber"/>
        </w:rPr>
        <w:t xml:space="preserve">12.5</w:t>
      </w:r>
      <w:r>
        <w:tab/>
      </w:r>
      <w:r>
        <w:t xml:space="preserve">Detachable media</w:t>
      </w:r>
    </w:p>
    <w:bookmarkEnd w:id="649"/>
    <w:bookmarkStart w:id="650" w:name="audiovisual-data"/>
    <w:p>
      <w:pPr>
        <w:pStyle w:val="Heading2"/>
      </w:pPr>
      <w:r>
        <w:rPr>
          <w:rStyle w:val="SectionNumber"/>
        </w:rPr>
        <w:t xml:space="preserve">12.6</w:t>
      </w:r>
      <w:r>
        <w:tab/>
      </w:r>
      <w:r>
        <w:t xml:space="preserve">Audio/visual data</w:t>
      </w:r>
    </w:p>
    <w:bookmarkEnd w:id="650"/>
    <w:bookmarkStart w:id="651" w:name="paper-data"/>
    <w:p>
      <w:pPr>
        <w:pStyle w:val="Heading2"/>
      </w:pPr>
      <w:r>
        <w:rPr>
          <w:rStyle w:val="SectionNumber"/>
        </w:rPr>
        <w:t xml:space="preserve">12.7</w:t>
      </w:r>
      <w:r>
        <w:tab/>
      </w:r>
      <w:r>
        <w:t xml:space="preserve">Paper data</w:t>
      </w:r>
    </w:p>
    <w:bookmarkEnd w:id="651"/>
    <w:bookmarkStart w:id="652" w:name="sharing-data"/>
    <w:p>
      <w:pPr>
        <w:pStyle w:val="Heading2"/>
      </w:pPr>
      <w:r>
        <w:rPr>
          <w:rStyle w:val="SectionNumber"/>
        </w:rPr>
        <w:t xml:space="preserve">12.8</w:t>
      </w:r>
      <w:r>
        <w:tab/>
      </w:r>
      <w:r>
        <w:t xml:space="preserve">Sharing data</w:t>
      </w:r>
    </w:p>
    <w:bookmarkEnd w:id="652"/>
    <w:bookmarkEnd w:id="653"/>
    <w:bookmarkStart w:id="659" w:name="clean"/>
    <w:p>
      <w:pPr>
        <w:pStyle w:val="Heading1"/>
      </w:pPr>
      <w:r>
        <w:rPr>
          <w:rStyle w:val="SectionNumber"/>
        </w:rPr>
        <w:t xml:space="preserve">13</w:t>
      </w:r>
      <w:r>
        <w:tab/>
      </w:r>
      <w:r>
        <w:t xml:space="preserve">Data Cleaning</w:t>
      </w:r>
    </w:p>
    <w:bookmarkStart w:id="654" w:name="foundational-knowledge"/>
    <w:p>
      <w:pPr>
        <w:pStyle w:val="Heading2"/>
      </w:pPr>
      <w:r>
        <w:rPr>
          <w:rStyle w:val="SectionNumber"/>
        </w:rPr>
        <w:t xml:space="preserve">13.1</w:t>
      </w:r>
      <w:r>
        <w:tab/>
      </w:r>
      <w:r>
        <w:t xml:space="preserve">Foundational knowledge</w:t>
      </w:r>
    </w:p>
    <w:bookmarkEnd w:id="654"/>
    <w:bookmarkStart w:id="655" w:name="data-structure-1"/>
    <w:p>
      <w:pPr>
        <w:pStyle w:val="Heading2"/>
      </w:pPr>
      <w:r>
        <w:rPr>
          <w:rStyle w:val="SectionNumber"/>
        </w:rPr>
        <w:t xml:space="preserve">13.2</w:t>
      </w:r>
      <w:r>
        <w:tab/>
      </w:r>
      <w:r>
        <w:t xml:space="preserve">Data structure</w:t>
      </w:r>
    </w:p>
    <w:bookmarkEnd w:id="655"/>
    <w:bookmarkStart w:id="656" w:name="data-cleaning-plan-1"/>
    <w:p>
      <w:pPr>
        <w:pStyle w:val="Heading2"/>
      </w:pPr>
      <w:r>
        <w:rPr>
          <w:rStyle w:val="SectionNumber"/>
        </w:rPr>
        <w:t xml:space="preserve">13.3</w:t>
      </w:r>
      <w:r>
        <w:tab/>
      </w:r>
      <w:r>
        <w:t xml:space="preserve">Data cleaning plan</w:t>
      </w:r>
    </w:p>
    <w:bookmarkEnd w:id="656"/>
    <w:bookmarkStart w:id="657" w:name="data-validation"/>
    <w:p>
      <w:pPr>
        <w:pStyle w:val="Heading2"/>
      </w:pPr>
      <w:r>
        <w:rPr>
          <w:rStyle w:val="SectionNumber"/>
        </w:rPr>
        <w:t xml:space="preserve">13.4</w:t>
      </w:r>
      <w:r>
        <w:tab/>
      </w:r>
      <w:r>
        <w:t xml:space="preserve">Data validation</w:t>
      </w:r>
    </w:p>
    <w:bookmarkEnd w:id="657"/>
    <w:bookmarkStart w:id="658" w:name="why-use-code"/>
    <w:p>
      <w:pPr>
        <w:pStyle w:val="Heading2"/>
      </w:pPr>
      <w:r>
        <w:rPr>
          <w:rStyle w:val="SectionNumber"/>
        </w:rPr>
        <w:t xml:space="preserve">13.5</w:t>
      </w:r>
      <w:r>
        <w:tab/>
      </w:r>
      <w:r>
        <w:t xml:space="preserve">Why use code?</w:t>
      </w:r>
    </w:p>
    <w:bookmarkEnd w:id="658"/>
    <w:bookmarkEnd w:id="659"/>
    <w:bookmarkStart w:id="664" w:name="share"/>
    <w:p>
      <w:pPr>
        <w:pStyle w:val="Heading1"/>
      </w:pPr>
      <w:r>
        <w:rPr>
          <w:rStyle w:val="SectionNumber"/>
        </w:rPr>
        <w:t xml:space="preserve">14</w:t>
      </w:r>
      <w:r>
        <w:tab/>
      </w:r>
      <w:r>
        <w:t xml:space="preserve">Data Sharing</w:t>
      </w:r>
    </w:p>
    <w:bookmarkStart w:id="660" w:name="why-share-your-data"/>
    <w:p>
      <w:pPr>
        <w:pStyle w:val="Heading2"/>
      </w:pPr>
      <w:r>
        <w:rPr>
          <w:rStyle w:val="SectionNumber"/>
        </w:rPr>
        <w:t xml:space="preserve">14.1</w:t>
      </w:r>
      <w:r>
        <w:tab/>
      </w:r>
      <w:r>
        <w:t xml:space="preserve">Why share your data?</w:t>
      </w:r>
    </w:p>
    <w:bookmarkEnd w:id="660"/>
    <w:bookmarkStart w:id="661" w:name="considering-fair-principles"/>
    <w:p>
      <w:pPr>
        <w:pStyle w:val="Heading2"/>
      </w:pPr>
      <w:r>
        <w:rPr>
          <w:rStyle w:val="SectionNumber"/>
        </w:rPr>
        <w:t xml:space="preserve">14.2</w:t>
      </w:r>
      <w:r>
        <w:tab/>
      </w:r>
      <w:r>
        <w:t xml:space="preserve">Considering FAIR principles</w:t>
      </w:r>
    </w:p>
    <w:bookmarkEnd w:id="661"/>
    <w:bookmarkStart w:id="662" w:name="best-practices"/>
    <w:p>
      <w:pPr>
        <w:pStyle w:val="Heading2"/>
      </w:pPr>
      <w:r>
        <w:rPr>
          <w:rStyle w:val="SectionNumber"/>
        </w:rPr>
        <w:t xml:space="preserve">14.3</w:t>
      </w:r>
      <w:r>
        <w:tab/>
      </w:r>
      <w:r>
        <w:t xml:space="preserve">Best practices</w:t>
      </w:r>
    </w:p>
    <w:bookmarkEnd w:id="662"/>
    <w:bookmarkStart w:id="663" w:name="retractions-and-revisions"/>
    <w:p>
      <w:pPr>
        <w:pStyle w:val="Heading2"/>
      </w:pPr>
      <w:r>
        <w:rPr>
          <w:rStyle w:val="SectionNumber"/>
        </w:rPr>
        <w:t xml:space="preserve">14.4</w:t>
      </w:r>
      <w:r>
        <w:tab/>
      </w:r>
      <w:r>
        <w:t xml:space="preserve">Retractions and revisions</w:t>
      </w:r>
    </w:p>
    <w:bookmarkEnd w:id="663"/>
    <w:bookmarkEnd w:id="664"/>
    <w:bookmarkStart w:id="667" w:name="wrapping-it-up-1"/>
    <w:p>
      <w:pPr>
        <w:pStyle w:val="Heading1"/>
      </w:pPr>
      <w:r>
        <w:rPr>
          <w:rStyle w:val="SectionNumber"/>
        </w:rPr>
        <w:t xml:space="preserve">15</w:t>
      </w:r>
      <w:r>
        <w:tab/>
      </w:r>
      <w:r>
        <w:t xml:space="preserve">Wrapping It Up</w:t>
      </w:r>
    </w:p>
    <w:bookmarkStart w:id="665" w:name="connecting-practices-to-outcomes"/>
    <w:p>
      <w:pPr>
        <w:pStyle w:val="Heading2"/>
      </w:pPr>
      <w:r>
        <w:rPr>
          <w:rStyle w:val="SectionNumber"/>
        </w:rPr>
        <w:t xml:space="preserve">15.1</w:t>
      </w:r>
      <w:r>
        <w:tab/>
      </w:r>
      <w:r>
        <w:t xml:space="preserve">Connecting practices to outcomes</w:t>
      </w:r>
    </w:p>
    <w:bookmarkEnd w:id="665"/>
    <w:bookmarkStart w:id="666" w:name="putting-in-the-work"/>
    <w:p>
      <w:pPr>
        <w:pStyle w:val="Heading2"/>
      </w:pPr>
      <w:r>
        <w:rPr>
          <w:rStyle w:val="SectionNumber"/>
        </w:rPr>
        <w:t xml:space="preserve">15.2</w:t>
      </w:r>
      <w:r>
        <w:tab/>
      </w:r>
      <w:r>
        <w:t xml:space="preserve">Putting in the work</w:t>
      </w:r>
    </w:p>
    <w:bookmarkEnd w:id="666"/>
    <w:bookmarkEnd w:id="667"/>
    <w:bookmarkStart w:id="825" w:name="call-to-action"/>
    <w:p>
      <w:pPr>
        <w:pStyle w:val="Heading1"/>
      </w:pPr>
      <w:r>
        <w:rPr>
          <w:rStyle w:val="SectionNumber"/>
        </w:rPr>
        <w:t xml:space="preserve">16</w:t>
      </w:r>
      <w:r>
        <w:tab/>
      </w:r>
      <w:r>
        <w:t xml:space="preserve">Call to Action</w:t>
      </w:r>
    </w:p>
    <w:bookmarkStart w:id="668" w:name="last-thoughts"/>
    <w:p>
      <w:pPr>
        <w:pStyle w:val="Heading2"/>
      </w:pPr>
      <w:r>
        <w:rPr>
          <w:rStyle w:val="SectionNumber"/>
        </w:rPr>
        <w:t xml:space="preserve">16.1</w:t>
      </w:r>
      <w:r>
        <w:tab/>
      </w:r>
      <w:r>
        <w:t xml:space="preserve">Last thoughts</w:t>
      </w:r>
    </w:p>
    <w:bookmarkEnd w:id="668"/>
    <w:bookmarkStart w:id="669" w:name="training-for-future-researchers"/>
    <w:p>
      <w:pPr>
        <w:pStyle w:val="Heading2"/>
      </w:pPr>
      <w:r>
        <w:rPr>
          <w:rStyle w:val="SectionNumber"/>
        </w:rPr>
        <w:t xml:space="preserve">16.2</w:t>
      </w:r>
      <w:r>
        <w:tab/>
      </w:r>
      <w:r>
        <w:t xml:space="preserve">Training for future researchers</w:t>
      </w:r>
    </w:p>
    <w:bookmarkEnd w:id="669"/>
    <w:bookmarkStart w:id="824" w:name="X77f9e2dc88081311896fe5c0fa48604f4a8018c"/>
    <w:p>
      <w:pPr>
        <w:pStyle w:val="Heading2"/>
      </w:pPr>
      <w:r>
        <w:rPr>
          <w:rStyle w:val="SectionNumber"/>
        </w:rPr>
        <w:t xml:space="preserve">16.3</w:t>
      </w:r>
      <w:r>
        <w:tab/>
      </w:r>
      <w:r>
        <w:t xml:space="preserve">Investing in data management and data managers</w:t>
      </w:r>
    </w:p>
    <w:bookmarkStart w:id="823" w:name="refs"/>
    <w:bookmarkStart w:id="670" w:name="X7bb0249fcea6ab00ad15ea75266e71728988b30"/>
    <w:p>
      <w:pPr>
        <w:pStyle w:val="Bibliography"/>
      </w:pPr>
      <w:r>
        <w:t xml:space="preserve">Academic Health Science Libraries, Association of,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4">
        <w:r>
          <w:rPr>
            <w:rStyle w:val="Hyperlink"/>
          </w:rPr>
          <w:t xml:space="preserve">https://www.aamc.org/media/62881/download?attachment</w:t>
        </w:r>
      </w:hyperlink>
      <w:r>
        <w:t xml:space="preserve">.</w:t>
      </w:r>
    </w:p>
    <w:bookmarkEnd w:id="670"/>
    <w:bookmarkStart w:id="671" w:name="ref-noauthor_advances_nodate"/>
    <w:p>
      <w:pPr>
        <w:pStyle w:val="Bibliography"/>
      </w:pP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2">
        <w:r>
          <w:rPr>
            <w:rStyle w:val="Hyperlink"/>
          </w:rPr>
          <w:t xml:space="preserve">https://www.psychologicalscience.org/publications/ampps</w:t>
        </w:r>
      </w:hyperlink>
      <w:r>
        <w:t xml:space="preserve">.</w:t>
      </w:r>
    </w:p>
    <w:bookmarkEnd w:id="671"/>
    <w:bookmarkStart w:id="672" w:name="ref-ddi_alliance_controlled_nodate"/>
    <w:p>
      <w:pPr>
        <w:pStyle w:val="Bibliography"/>
      </w:pPr>
      <w:r>
        <w:t xml:space="preserve">Alliance, DDI.</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21">
        <w:r>
          <w:rPr>
            <w:rStyle w:val="Hyperlink"/>
          </w:rPr>
          <w:t xml:space="preserve">https://ddialliance.org/controlled-vocabularies</w:t>
        </w:r>
      </w:hyperlink>
      <w:r>
        <w:t xml:space="preserve">.</w:t>
      </w:r>
    </w:p>
    <w:bookmarkEnd w:id="672"/>
    <w:bookmarkStart w:id="673" w:name="ref-alliance_mapping_nodate"/>
    <w:p>
      <w:pPr>
        <w:pStyle w:val="Bibliography"/>
      </w:pPr>
      <w:r>
        <w:t xml:space="preserv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30">
        <w:r>
          <w:rPr>
            <w:rStyle w:val="Hyperlink"/>
          </w:rPr>
          <w:t xml:space="preserve">https://ddialliance.org/resources/ddi-profiles/dc</w:t>
        </w:r>
      </w:hyperlink>
      <w:r>
        <w:t xml:space="preserve">.</w:t>
      </w:r>
    </w:p>
    <w:bookmarkEnd w:id="673"/>
    <w:bookmarkStart w:id="674" w:name="ref-alston_beginners_2021"/>
    <w:p>
      <w:pPr>
        <w:pStyle w:val="Bibliography"/>
      </w:pPr>
      <w:r>
        <w:t xml:space="preserve">Alston, Jesse M.,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8">
        <w:r>
          <w:rPr>
            <w:rStyle w:val="Hyperlink"/>
          </w:rPr>
          <w:t xml:space="preserve">https://doi.org/10.1002/bes2.1801</w:t>
        </w:r>
      </w:hyperlink>
      <w:r>
        <w:t xml:space="preserve">.</w:t>
      </w:r>
    </w:p>
    <w:bookmarkEnd w:id="674"/>
    <w:bookmarkStart w:id="675" w:name="ref-alvinashcraft_naming_2022"/>
    <w:p>
      <w:pPr>
        <w:pStyle w:val="Bibliography"/>
      </w:pPr>
      <w:r>
        <w:t xml:space="preserve">alvinashcraft.</w:t>
      </w:r>
      <w:r>
        <w:t xml:space="preserve"> </w:t>
      </w:r>
      <w:r>
        <w:t xml:space="preserve">“Naming Files, Paths, and Namespaces - Win32 Apps,”</w:t>
      </w:r>
      <w:r>
        <w:t xml:space="preserve"> </w:t>
      </w:r>
      <w:r>
        <w:t xml:space="preserve">December 15, 2022.</w:t>
      </w:r>
      <w:r>
        <w:t xml:space="preserve"> </w:t>
      </w:r>
      <w:hyperlink r:id="rId561">
        <w:r>
          <w:rPr>
            <w:rStyle w:val="Hyperlink"/>
          </w:rPr>
          <w:t xml:space="preserve">https://learn.microsoft.com/en-us/windows/win32/fileio/naming-a-file</w:t>
        </w:r>
      </w:hyperlink>
      <w:r>
        <w:t xml:space="preserve">.</w:t>
      </w:r>
    </w:p>
    <w:bookmarkEnd w:id="675"/>
    <w:bookmarkStart w:id="676" w:name="ref-aly_aly_2018"/>
    <w:p>
      <w:pPr>
        <w:pStyle w:val="Bibliography"/>
      </w:pPr>
      <w:r>
        <w:t xml:space="preserve">Aly, Mariam.</w:t>
      </w:r>
      <w:r>
        <w:t xml:space="preserve"> </w:t>
      </w:r>
      <w:r>
        <w:t xml:space="preserve">“Aly Lab Wiki,”</w:t>
      </w:r>
      <w:r>
        <w:t xml:space="preserve"> </w:t>
      </w:r>
      <w:r>
        <w:t xml:space="preserve">August 28, 2018.</w:t>
      </w:r>
      <w:r>
        <w:t xml:space="preserve"> </w:t>
      </w:r>
      <w:hyperlink r:id="rId357">
        <w:r>
          <w:rPr>
            <w:rStyle w:val="Hyperlink"/>
          </w:rPr>
          <w:t xml:space="preserve">https://osf.io/mdh87/</w:t>
        </w:r>
      </w:hyperlink>
      <w:r>
        <w:t xml:space="preserve">.</w:t>
      </w:r>
    </w:p>
    <w:bookmarkEnd w:id="676"/>
    <w:bookmarkStart w:id="677" w:name="ref-arslan_how_2018"/>
    <w:p>
      <w:pPr>
        <w:pStyle w:val="Bibliography"/>
      </w:pPr>
      <w:r>
        <w:t xml:space="preserve">Arslan, Ruben C.</w:t>
      </w:r>
      <w:r>
        <w:t xml:space="preserve"> </w:t>
      </w:r>
      <w:r>
        <w:t xml:space="preserve">“How to Automatically Document Data with the Codebook Package to Facilitate Data Re-Use.”</w:t>
      </w:r>
      <w:r>
        <w:t xml:space="preserve"> </w:t>
      </w:r>
      <w:r>
        <w:t xml:space="preserve">Preprint.</w:t>
      </w:r>
      <w:r>
        <w:t xml:space="preserve"> </w:t>
      </w:r>
      <w:r>
        <w:t xml:space="preserve">PsyArXiv</w:t>
      </w:r>
      <w:r>
        <w:t xml:space="preserve">, September 5, 2018.</w:t>
      </w:r>
      <w:r>
        <w:t xml:space="preserve"> </w:t>
      </w:r>
      <w:hyperlink r:id="rId516">
        <w:r>
          <w:rPr>
            <w:rStyle w:val="Hyperlink"/>
          </w:rPr>
          <w:t xml:space="preserve">https://doi.org/10.31234/osf.io/5qc6h</w:t>
        </w:r>
      </w:hyperlink>
      <w:r>
        <w:t xml:space="preserve">.</w:t>
      </w:r>
    </w:p>
    <w:bookmarkEnd w:id="677"/>
    <w:bookmarkStart w:id="678" w:name="ref-baker_1500_2016"/>
    <w:p>
      <w:pPr>
        <w:pStyle w:val="Bibliography"/>
      </w:pPr>
      <w:r>
        <w:t xml:space="preserve">Baker, Monya.</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bookmarkEnd w:id="678"/>
    <w:bookmarkStart w:id="679" w:name="ref-balazs_crowdsourced_nodate"/>
    <w:p>
      <w:pPr>
        <w:pStyle w:val="Bibliography"/>
      </w:pPr>
      <w:r>
        <w:t xml:space="preserve">Balazs, Aczel.</w:t>
      </w:r>
      <w:r>
        <w:t xml:space="preserve"> </w:t>
      </w:r>
      <w:r>
        <w:t xml:space="preserve">“A Crowdsourced Effort to Develop a Lab Manual Template. Google Docs.”</w:t>
      </w:r>
      <w:r>
        <w:t xml:space="preserve"> </w:t>
      </w:r>
      <w:r>
        <w:t xml:space="preserve">Accessed January 12, 2023.</w:t>
      </w:r>
      <w:r>
        <w:t xml:space="preserve"> </w:t>
      </w:r>
      <w:hyperlink r:id="rId344">
        <w:r>
          <w:rPr>
            <w:rStyle w:val="Hyperlink"/>
          </w:rPr>
          <w:t xml:space="preserve">https://docs.google.com/document/d/1LqGdtHg0dMbj9lsCnC1QOoWzIsnSNRTSek6i3Kls2Ik/edit?usp=embed_facebook</w:t>
        </w:r>
      </w:hyperlink>
      <w:r>
        <w:t xml:space="preserve">.</w:t>
      </w:r>
    </w:p>
    <w:bookmarkEnd w:id="679"/>
    <w:bookmarkStart w:id="680" w:name="X572ab2182c1f81fc916d33620c505aa6b779294"/>
    <w:p>
      <w:pPr>
        <w:pStyle w:val="Bibliography"/>
      </w:pPr>
      <w:r>
        <w:t xml:space="preserve">Board, The Ohio State University Institutional Review.</w:t>
      </w:r>
      <w:r>
        <w:t xml:space="preserve"> </w:t>
      </w:r>
      <w:r>
        <w:t xml:space="preserve">“Guidelines for Writing a Research Protocol,”</w:t>
      </w:r>
      <w:r>
        <w:t xml:space="preserve"> </w:t>
      </w:r>
      <w:r>
        <w:t xml:space="preserve">March 6, 2014.</w:t>
      </w:r>
      <w:r>
        <w:t xml:space="preserve"> </w:t>
      </w:r>
      <w:hyperlink r:id="rId392">
        <w:r>
          <w:rPr>
            <w:rStyle w:val="Hyperlink"/>
          </w:rPr>
          <w:t xml:space="preserve">http://orrp.osu.edu/files/2011/10/GuidelinesforWritingaResearchProtocol.pdf</w:t>
        </w:r>
      </w:hyperlink>
      <w:r>
        <w:t xml:space="preserve">.</w:t>
      </w:r>
    </w:p>
    <w:bookmarkEnd w:id="680"/>
    <w:bookmarkStart w:id="681" w:name="ref-bolam_guides_nodate"/>
    <w:p>
      <w:pPr>
        <w:pStyle w:val="Bibliography"/>
      </w:pPr>
      <w:r>
        <w:t xml:space="preserve">Bolam, Mike.</w:t>
      </w:r>
      <w:r>
        <w:t xml:space="preserve"> </w:t>
      </w:r>
      <w:r>
        <w:t xml:space="preserve">“Guides: Metadata &amp; Discovery @ Pitt: Metadata Standards.”</w:t>
      </w:r>
      <w:r>
        <w:t xml:space="preserve"> </w:t>
      </w:r>
      <w:r>
        <w:t xml:space="preserve">Accessed January 18, 2023.</w:t>
      </w:r>
      <w:r>
        <w:t xml:space="preserve"> </w:t>
      </w:r>
      <w:hyperlink r:id="rId520">
        <w:r>
          <w:rPr>
            <w:rStyle w:val="Hyperlink"/>
          </w:rPr>
          <w:t xml:space="preserve">https://pitt.libguides.com/metadatadiscovery/metadata-standards</w:t>
        </w:r>
      </w:hyperlink>
      <w:r>
        <w:t xml:space="preserve">.</w:t>
      </w:r>
    </w:p>
    <w:bookmarkEnd w:id="681"/>
    <w:bookmarkStart w:id="682" w:name="ref-bordelon_guides_nodate"/>
    <w:p>
      <w:pPr>
        <w:pStyle w:val="Bibliography"/>
      </w:pPr>
      <w:r>
        <w:t xml:space="preserve">Bordelon, Dominic.</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bookmarkEnd w:id="682"/>
    <w:bookmarkStart w:id="683" w:name="ref-borghi_data_2021"/>
    <w:p>
      <w:pPr>
        <w:pStyle w:val="Bibliography"/>
      </w:pPr>
      <w:r>
        <w:t xml:space="preserve">Borghi, John A.,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bookmarkEnd w:id="683"/>
    <w:bookmarkStart w:id="684" w:name="ref-borghi_promoting_2022"/>
    <w:p>
      <w:pPr>
        <w:pStyle w:val="Bibliography"/>
      </w:pPr>
      <w:r>
        <w:t xml:space="preserve">Borghi, John,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bookmarkEnd w:id="684"/>
    <w:bookmarkStart w:id="685" w:name="ref-borycz_implementing_2021"/>
    <w:p>
      <w:pPr>
        <w:pStyle w:val="Bibliography"/>
      </w:pPr>
      <w:r>
        <w:t xml:space="preserve">Borycz, Joshua.</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4">
        <w:r>
          <w:rPr>
            <w:rStyle w:val="Hyperlink"/>
          </w:rPr>
          <w:t xml:space="preserve">https://doi.org/10.5334/dsj-2021-009</w:t>
        </w:r>
      </w:hyperlink>
      <w:r>
        <w:t xml:space="preserve">.</w:t>
      </w:r>
    </w:p>
    <w:bookmarkEnd w:id="685"/>
    <w:bookmarkStart w:id="686" w:name="ref-briney_data_2015"/>
    <w:p>
      <w:pPr>
        <w:pStyle w:val="Bibliography"/>
      </w:pPr>
      <w:r>
        <w:t xml:space="preserve">Briney, Kristin.</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bookmarkEnd w:id="686"/>
    <w:bookmarkStart w:id="687" w:name="ref-briney_foundational_2020"/>
    <w:p>
      <w:pPr>
        <w:pStyle w:val="Bibliography"/>
      </w:pPr>
      <w:r>
        <w:t xml:space="preserve">Briney, Kristin,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4">
        <w:r>
          <w:rPr>
            <w:rStyle w:val="Hyperlink"/>
          </w:rPr>
          <w:t xml:space="preserve">https://doi.org/10.3897/rio.6.e56508</w:t>
        </w:r>
      </w:hyperlink>
      <w:r>
        <w:t xml:space="preserve">.</w:t>
      </w:r>
    </w:p>
    <w:bookmarkEnd w:id="687"/>
    <w:bookmarkStart w:id="688" w:name="ref-broman_data_2018"/>
    <w:p>
      <w:pPr>
        <w:pStyle w:val="Bibliography"/>
      </w:pPr>
      <w:r>
        <w:t xml:space="preserve">Broman, Karl W.,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3">
        <w:r>
          <w:rPr>
            <w:rStyle w:val="Hyperlink"/>
          </w:rPr>
          <w:t xml:space="preserve">https://doi.org/10.1080/00031305.2017.1375989</w:t>
        </w:r>
      </w:hyperlink>
      <w:r>
        <w:t xml:space="preserve">.</w:t>
      </w:r>
    </w:p>
    <w:bookmarkEnd w:id="688"/>
    <w:bookmarkStart w:id="689" w:name="ref-buchanan_getting_2021"/>
    <w:p>
      <w:pPr>
        <w:pStyle w:val="Bibliography"/>
      </w:pPr>
      <w:r>
        <w:t xml:space="preserve">Buchanan, Erin M., Sarah E. Crain, Ari L. Cunningham, Hannah R. Johnson, Hannah Stash, Marietta Papadatou-Pastou, Peder M. Isager, Rickard Carlsson, and Balazs Aczel.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15">
        <w:r>
          <w:rPr>
            <w:rStyle w:val="Hyperlink"/>
          </w:rPr>
          <w:t xml:space="preserve">https://doi.org/10.1177/2515245920928007</w:t>
        </w:r>
      </w:hyperlink>
      <w:r>
        <w:t xml:space="preserve">.</w:t>
      </w:r>
    </w:p>
    <w:bookmarkEnd w:id="689"/>
    <w:bookmarkStart w:id="690" w:name="ref-burnard_what_2014"/>
    <w:p>
      <w:pPr>
        <w:pStyle w:val="Bibliography"/>
      </w:pPr>
      <w:r>
        <w:t xml:space="preserve">Burnard, Lou.</w:t>
      </w:r>
      <w:r>
        <w:t xml:space="preserve"> </w:t>
      </w:r>
      <w:r>
        <w:rPr>
          <w:iCs/>
          <w:i/>
        </w:rPr>
        <w:t xml:space="preserve">What Is the Text Encoding Initiative?: How to Add Intelligent Markup to Digital Resources</w:t>
      </w:r>
      <w:r>
        <w:t xml:space="preserve">.</w:t>
      </w:r>
      <w:r>
        <w:t xml:space="preserve"> </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bookmarkEnd w:id="690"/>
    <w:bookmarkStart w:id="691" w:name="ref-butters_recognizing_2020"/>
    <w:p>
      <w:pPr>
        <w:pStyle w:val="Bibliography"/>
      </w:pPr>
      <w:r>
        <w:t xml:space="preserve">Butters, Oliver W,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bookmarkEnd w:id="691"/>
    <w:bookmarkStart w:id="692" w:name="ref-cakici_folders_2017"/>
    <w:p>
      <w:pPr>
        <w:pStyle w:val="Bibliography"/>
      </w:pPr>
      <w:r>
        <w:t xml:space="preserve">Cakici, Tatiana Baquero.</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56">
        <w:r>
          <w:rPr>
            <w:rStyle w:val="Hyperlink"/>
          </w:rPr>
          <w:t xml:space="preserve">https://enterprise-knowledge.com/folders-v-metadata-sharepoint-document-libraries/</w:t>
        </w:r>
      </w:hyperlink>
      <w:r>
        <w:t xml:space="preserve">.</w:t>
      </w:r>
    </w:p>
    <w:bookmarkEnd w:id="692"/>
    <w:bookmarkStart w:id="693" w:name="ref-campos-varela_misconduct_2019"/>
    <w:p>
      <w:pPr>
        <w:pStyle w:val="Bibliography"/>
      </w:pPr>
      <w:r>
        <w:t xml:space="preserve">Campos-Varela, Isabel,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bookmarkEnd w:id="693"/>
    <w:bookmarkStart w:id="694" w:name="ref-cdisc_cdisc_nodate"/>
    <w:p>
      <w:pPr>
        <w:pStyle w:val="Bibliography"/>
      </w:pP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bookmarkEnd w:id="694"/>
    <w:bookmarkStart w:id="695" w:name="ref-cessda_data_nodate"/>
    <w:p>
      <w:pPr>
        <w:pStyle w:val="Bibliography"/>
      </w:pPr>
      <w:r>
        <w:t xml:space="preserve">CESSDA.</w:t>
      </w:r>
      <w:r>
        <w:t xml:space="preserve"> </w:t>
      </w:r>
      <w:r>
        <w:t xml:space="preserve">“Data Authenticity - Data Management Expert Guide.”</w:t>
      </w:r>
      <w:r>
        <w:t xml:space="preserve"> </w:t>
      </w:r>
      <w:r>
        <w:t xml:space="preserve">Accessed January 13, 2023.</w:t>
      </w:r>
      <w:r>
        <w:t xml:space="preserve"> </w:t>
      </w:r>
      <w:hyperlink r:id="rId368">
        <w:r>
          <w:rPr>
            <w:rStyle w:val="Hyperlink"/>
          </w:rPr>
          <w:t xml:space="preserve">https://dmeg.cessda.eu/Data-Management-Expert-Guide/3.-Process/Data-authenticity</w:t>
        </w:r>
      </w:hyperlink>
      <w:r>
        <w:t xml:space="preserve">.</w:t>
      </w:r>
    </w:p>
    <w:bookmarkEnd w:id="695"/>
    <w:bookmarkStart w:id="696" w:name="ref-cessda_documentation_nodate"/>
    <w:p>
      <w:pPr>
        <w:pStyle w:val="Bibliography"/>
      </w:pPr>
      <w:r>
        <w:t xml:space="preserve">———.</w:t>
      </w:r>
      <w:r>
        <w:t xml:space="preserve"> </w:t>
      </w:r>
      <w:r>
        <w:t xml:space="preserve">“Documentation and Metadata.”</w:t>
      </w:r>
      <w:r>
        <w:t xml:space="preserve"> </w:t>
      </w:r>
      <w:r>
        <w:t xml:space="preserve">Accessed February 9, 2023.</w:t>
      </w:r>
      <w:r>
        <w:t xml:space="preserve"> </w:t>
      </w:r>
      <w:hyperlink r:id="rId484">
        <w:r>
          <w:rPr>
            <w:rStyle w:val="Hyperlink"/>
          </w:rPr>
          <w:t xml:space="preserve">https://dmeg.cessda.eu/Data-Management-Expert-Guide/2.-Organise-Document/Documentation-and-metadata</w:t>
        </w:r>
      </w:hyperlink>
      <w:r>
        <w:t xml:space="preserve">.</w:t>
      </w:r>
    </w:p>
    <w:bookmarkEnd w:id="696"/>
    <w:bookmarkStart w:id="697" w:name="X5bae659f86833a38d74a2eed52821ad689afee8"/>
    <w:p>
      <w:pPr>
        <w:pStyle w:val="Bibliography"/>
      </w:pPr>
      <w:r>
        <w:t xml:space="preserve">Ceviren, A. Busra,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bookmarkEnd w:id="697"/>
    <w:bookmarkStart w:id="698" w:name="X3c58fa396648992885e115acda7a40c4d2c18af"/>
    <w:p>
      <w:pPr>
        <w:pStyle w:val="Bibliography"/>
      </w:pPr>
      <w:r>
        <w:t xml:space="preserve">Clinical {and} Translational Research, Johns Hopkins Institute for.</w:t>
      </w:r>
      <w:r>
        <w:t xml:space="preserve"> </w:t>
      </w:r>
      <w:r>
        <w:t xml:space="preserve">“Best Practices for Research Data Management.”</w:t>
      </w:r>
      <w:r>
        <w:t xml:space="preserve"> </w:t>
      </w:r>
      <w:r>
        <w:t xml:space="preserve">Accessed February 10, 2023.</w:t>
      </w:r>
      <w:r>
        <w:t xml:space="preserve"> </w:t>
      </w:r>
      <w:hyperlink r:id="rId384">
        <w:r>
          <w:rPr>
            <w:rStyle w:val="Hyperlink"/>
          </w:rPr>
          <w:t xml:space="preserve">https://ictrweb.johnshopkins.edu/ictr/dmig/Best_Practice/a8376318-ebd6-421f-be63-acf8c88376a1_e0996b36-932a-44d5-94b0-61ad04f5774d.html?v=65849&amp;ip=qam562joeegjlraagoltna</w:t>
        </w:r>
      </w:hyperlink>
      <w:r>
        <w:t xml:space="preserve">.</w:t>
      </w:r>
    </w:p>
    <w:bookmarkEnd w:id="698"/>
    <w:bookmarkStart w:id="699" w:name="Xd1423447ed18ab30821e77f49f5ecffc46872cc"/>
    <w:p>
      <w:pPr>
        <w:pStyle w:val="Bibliography"/>
      </w:pPr>
      <w:r>
        <w:t xml:space="preserve">———.</w:t>
      </w:r>
      <w:r>
        <w:t xml:space="preserve"> </w:t>
      </w:r>
      <w:r>
        <w:t xml:space="preserve">“Data Dictionary/Codebook.”</w:t>
      </w:r>
      <w:r>
        <w:t xml:space="preserve"> </w:t>
      </w:r>
      <w:r>
        <w:t xml:space="preserve">Accessed February 10, 2023.</w:t>
      </w:r>
      <w:r>
        <w:t xml:space="preserve"> </w:t>
      </w:r>
      <w:hyperlink r:id="rId451">
        <w:r>
          <w:rPr>
            <w:rStyle w:val="Hyperlink"/>
          </w:rPr>
          <w:t xml:space="preserve">https://ictrweb.johnshopkins.edu/ictr/dmig/Best_Practice/a8376318-ebd6-421f-be63-acf8c88376a1_6342a1c3-1a5d-4287-a46e-374824e3780e.html?v=65849&amp;ip=hpdkvlttuiyioooqhw</w:t>
        </w:r>
      </w:hyperlink>
      <w:r>
        <w:t xml:space="preserve">.</w:t>
      </w:r>
    </w:p>
    <w:bookmarkEnd w:id="699"/>
    <w:bookmarkStart w:id="700" w:name="ref-cofield_libguides_nodate"/>
    <w:p>
      <w:pPr>
        <w:pStyle w:val="Bibliography"/>
      </w:pPr>
      <w:r>
        <w:t xml:space="preserve">Cofield, Melanie.</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92">
        <w:r>
          <w:rPr>
            <w:rStyle w:val="Hyperlink"/>
          </w:rPr>
          <w:t xml:space="preserve">https://guides.lib.utexas.edu/metadata-basics/key-concepts</w:t>
        </w:r>
      </w:hyperlink>
      <w:r>
        <w:t xml:space="preserve">.</w:t>
      </w:r>
    </w:p>
    <w:bookmarkEnd w:id="700"/>
    <w:bookmarkStart w:id="701" w:name="ref-consort_consort_nodate"/>
    <w:p>
      <w:pPr>
        <w:pStyle w:val="Bibliography"/>
      </w:pP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402">
        <w:r>
          <w:rPr>
            <w:rStyle w:val="Hyperlink"/>
          </w:rPr>
          <w:t xml:space="preserve">https://www.consort-statement.org/consort-statement/flow-diagram</w:t>
        </w:r>
      </w:hyperlink>
      <w:r>
        <w:t xml:space="preserve">.</w:t>
      </w:r>
    </w:p>
    <w:bookmarkEnd w:id="701"/>
    <w:bookmarkStart w:id="702" w:name="ref-cowles_research_nodate"/>
    <w:p>
      <w:pPr>
        <w:pStyle w:val="Bibliography"/>
      </w:pPr>
      <w:r>
        <w:t xml:space="preserve">Cowles, Wind.</w:t>
      </w:r>
      <w:r>
        <w:t xml:space="preserve"> </w:t>
      </w:r>
      <w:r>
        <w:t xml:space="preserve">“Research Guides: Research Data Management at Princeton: Home.”</w:t>
      </w:r>
      <w:r>
        <w:t xml:space="preserve"> </w:t>
      </w:r>
      <w:r>
        <w:t xml:space="preserve">Accessed September 15, 2022.</w:t>
      </w:r>
      <w:r>
        <w:t xml:space="preserve"> </w:t>
      </w:r>
      <w:hyperlink r:id="rId91">
        <w:r>
          <w:rPr>
            <w:rStyle w:val="Hyperlink"/>
          </w:rPr>
          <w:t xml:space="preserve">https://libguides.princeton.edu/c.php?g=102546&amp;p=665862</w:t>
        </w:r>
      </w:hyperlink>
      <w:r>
        <w:t xml:space="preserve">.</w:t>
      </w:r>
    </w:p>
    <w:bookmarkEnd w:id="702"/>
    <w:bookmarkStart w:id="703" w:name="ref-cruse_best_2011"/>
    <w:p>
      <w:pPr>
        <w:pStyle w:val="Bibliography"/>
      </w:pPr>
      <w:r>
        <w:t xml:space="preserve">Cruse, Trisha.</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7">
        <w:r>
          <w:rPr>
            <w:rStyle w:val="Hyperlink"/>
          </w:rPr>
          <w:t xml:space="preserve">https://dataoneorg.github.io/Education/bestpractices/provide-budget-information</w:t>
        </w:r>
      </w:hyperlink>
      <w:r>
        <w:t xml:space="preserve">.</w:t>
      </w:r>
    </w:p>
    <w:bookmarkEnd w:id="703"/>
    <w:bookmarkStart w:id="704" w:name="ref-dahdul_research_nodate"/>
    <w:p>
      <w:pPr>
        <w:pStyle w:val="Bibliography"/>
      </w:pPr>
      <w:r>
        <w:t xml:space="preserve">Dahdul, Wasila.</w:t>
      </w:r>
      <w:r>
        <w:t xml:space="preserve"> </w:t>
      </w:r>
      <w:r>
        <w:t xml:space="preserve">“Research Guides: Research Data Management: Describing Data.”</w:t>
      </w:r>
      <w:r>
        <w:t xml:space="preserve"> </w:t>
      </w:r>
      <w:r>
        <w:t xml:space="preserve">Accessed January 18, 2023.</w:t>
      </w:r>
      <w:r>
        <w:t xml:space="preserve"> </w:t>
      </w:r>
      <w:hyperlink r:id="rId499">
        <w:r>
          <w:rPr>
            <w:rStyle w:val="Hyperlink"/>
          </w:rPr>
          <w:t xml:space="preserve">https://guides.lib.uci.edu/datamanagement/describe</w:t>
        </w:r>
      </w:hyperlink>
      <w:r>
        <w:t xml:space="preserve">.</w:t>
      </w:r>
    </w:p>
    <w:bookmarkEnd w:id="704"/>
    <w:bookmarkStart w:id="705" w:name="ref-daskalova_coding_nodate"/>
    <w:p>
      <w:pPr>
        <w:pStyle w:val="Bibliography"/>
      </w:pPr>
      <w:r>
        <w:t xml:space="preserve">Daskalova, Gergana.</w:t>
      </w:r>
      <w:r>
        <w:t xml:space="preserve"> </w:t>
      </w:r>
      <w:r>
        <w:t xml:space="preserve">“Coding Etiquette. Coding Club.”</w:t>
      </w:r>
      <w:r>
        <w:t xml:space="preserve"> </w:t>
      </w:r>
      <w:r>
        <w:t xml:space="preserve">Accessed February 17, 2023.</w:t>
      </w:r>
      <w:r>
        <w:t xml:space="preserve"> </w:t>
      </w:r>
      <w:hyperlink r:id="rId585">
        <w:r>
          <w:rPr>
            <w:rStyle w:val="Hyperlink"/>
          </w:rPr>
          <w:t xml:space="preserve">https://ourcodingclub.github.io/tutorials/etiquette/</w:t>
        </w:r>
      </w:hyperlink>
      <w:r>
        <w:t xml:space="preserve">.</w:t>
      </w:r>
    </w:p>
    <w:bookmarkEnd w:id="705"/>
    <w:bookmarkStart w:id="706" w:name="ref-david_t_bourgeois_information_2014"/>
    <w:p>
      <w:pPr>
        <w:pStyle w:val="Bibliography"/>
      </w:pPr>
      <w:r>
        <w:t xml:space="preserve">David T. Bourgeois, Ph D., and Bourgeois.</w:t>
      </w:r>
      <w:r>
        <w:t xml:space="preserve"> </w:t>
      </w:r>
      <w:r>
        <w:rPr>
          <w:iCs/>
          <w:i/>
        </w:rPr>
        <w:t xml:space="preserve">Information Systems for Business and Beyond</w:t>
      </w:r>
      <w:r>
        <w:t xml:space="preserve">. Published through the Open Textbook Challenge by the Saylor Academy, 2014.</w:t>
      </w:r>
      <w:r>
        <w:t xml:space="preserve"> </w:t>
      </w:r>
      <w:hyperlink r:id="rId598">
        <w:r>
          <w:rPr>
            <w:rStyle w:val="Hyperlink"/>
          </w:rPr>
          <w:t xml:space="preserve">https://pressbooks.pub/bus206/</w:t>
        </w:r>
      </w:hyperlink>
      <w:r>
        <w:t xml:space="preserve">.</w:t>
      </w:r>
    </w:p>
    <w:bookmarkEnd w:id="706"/>
    <w:bookmarkStart w:id="707" w:name="ref-desk_csp_nodate"/>
    <w:p>
      <w:pPr>
        <w:pStyle w:val="Bibliography"/>
      </w:pPr>
      <w:r>
        <w:t xml:space="preserve">Desk, CSP Library Research.</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7">
        <w:r>
          <w:rPr>
            <w:rStyle w:val="Hyperlink"/>
          </w:rPr>
          <w:t xml:space="preserve">https://library.csp.edu/Zotero/workflow</w:t>
        </w:r>
      </w:hyperlink>
      <w:r>
        <w:t xml:space="preserve">.</w:t>
      </w:r>
    </w:p>
    <w:bookmarkEnd w:id="707"/>
    <w:bookmarkStart w:id="708" w:name="ref-van_dijk_open_2021"/>
    <w:p>
      <w:pPr>
        <w:pStyle w:val="Bibliography"/>
      </w:pPr>
      <w:r>
        <w:t xml:space="preserve">Dijk, Wilhelmina van,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5">
        <w:r>
          <w:rPr>
            <w:rStyle w:val="Hyperlink"/>
          </w:rPr>
          <w:t xml:space="preserve">https://doi.org/10.1177/0022219420945267</w:t>
        </w:r>
      </w:hyperlink>
      <w:r>
        <w:t xml:space="preserve">.</w:t>
      </w:r>
    </w:p>
    <w:bookmarkEnd w:id="708"/>
    <w:bookmarkStart w:id="709" w:name="ref-dmptool_dmp_nodate"/>
    <w:p>
      <w:pPr>
        <w:pStyle w:val="Bibliography"/>
      </w:pP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2">
        <w:r>
          <w:rPr>
            <w:rStyle w:val="Hyperlink"/>
          </w:rPr>
          <w:t xml:space="preserve">https://dmptool.org/public_templates?page=1&amp;search=&amp;sort_direction=asc&amp;sort_field=templates.title</w:t>
        </w:r>
      </w:hyperlink>
      <w:r>
        <w:t xml:space="preserve">.</w:t>
      </w:r>
    </w:p>
    <w:bookmarkEnd w:id="709"/>
    <w:bookmarkStart w:id="710" w:name="ref-noauthor_documents_nodate"/>
    <w:p>
      <w:pPr>
        <w:pStyle w:val="Bibliography"/>
      </w:pPr>
      <w:r>
        <w:t xml:space="preserve">“Documents. Xkcd.”</w:t>
      </w:r>
      <w:r>
        <w:t xml:space="preserve"> </w:t>
      </w:r>
      <w:r>
        <w:t xml:space="preserve">Accessed February 16, 2023.</w:t>
      </w:r>
      <w:r>
        <w:t xml:space="preserve"> </w:t>
      </w:r>
      <w:hyperlink r:id="rId567">
        <w:r>
          <w:rPr>
            <w:rStyle w:val="Hyperlink"/>
          </w:rPr>
          <w:t xml:space="preserve">https://xkcd.com/1459/</w:t>
        </w:r>
      </w:hyperlink>
      <w:r>
        <w:t xml:space="preserve">.</w:t>
      </w:r>
    </w:p>
    <w:bookmarkEnd w:id="710"/>
    <w:bookmarkStart w:id="711" w:name="ref-doucette_drowning_2013"/>
    <w:p>
      <w:pPr>
        <w:pStyle w:val="Bibliography"/>
      </w:pPr>
      <w:r>
        <w:t xml:space="preserve">Doucette, Lise,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bookmarkEnd w:id="711"/>
    <w:bookmarkStart w:id="712" w:name="ref-duru_gantt_nodate"/>
    <w:p>
      <w:pPr>
        <w:pStyle w:val="Bibliography"/>
      </w:pPr>
      <w:r>
        <w:t xml:space="preserve">Duru, Maya, and Sarah Kopper.</w:t>
      </w:r>
      <w:r>
        <w:t xml:space="preserve"> </w:t>
      </w:r>
      <w:r>
        <w:t xml:space="preserve">“Gantt Chart Template,”</w:t>
      </w:r>
      <w:r>
        <w:t xml:space="preserve"> </w:t>
      </w:r>
      <w:r>
        <w:t xml:space="preserve">n.d.</w:t>
      </w:r>
      <w:r>
        <w:t xml:space="preserve"> </w:t>
      </w:r>
      <w:hyperlink r:id="rId289">
        <w:r>
          <w:rPr>
            <w:rStyle w:val="Hyperlink"/>
          </w:rPr>
          <w:t xml:space="preserve">https://www.povertyactionlab.org/sites/default/files/research-resources/rr_grantprop_Template_Gantt_Chart.pdf</w:t>
        </w:r>
      </w:hyperlink>
      <w:r>
        <w:t xml:space="preserve">.</w:t>
      </w:r>
    </w:p>
    <w:bookmarkEnd w:id="712"/>
    <w:bookmarkStart w:id="713" w:name="ref-eaker_what_2016"/>
    <w:p>
      <w:pPr>
        <w:pStyle w:val="Bibliography"/>
      </w:pPr>
      <w:r>
        <w:t xml:space="preserve">Eaker, C.</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2">
        <w:r>
          <w:rPr>
            <w:rStyle w:val="Hyperlink"/>
          </w:rPr>
          <w:t xml:space="preserve">https://trace.tennessee.edu/cgi/viewcontent.cgi?article=1023&amp;context=utk_libpub</w:t>
        </w:r>
      </w:hyperlink>
      <w:r>
        <w:t xml:space="preserve">.</w:t>
      </w:r>
    </w:p>
    <w:bookmarkEnd w:id="713"/>
    <w:bookmarkStart w:id="714" w:name="Xc4b509164c0ae7471493b56c3445d12eaae87d8"/>
    <w:p>
      <w:pPr>
        <w:pStyle w:val="Bibliography"/>
      </w:pPr>
      <w:r>
        <w:t xml:space="preserve">Education Sciences, Institute of.</w:t>
      </w:r>
      <w:r>
        <w:t xml:space="preserve"> </w:t>
      </w:r>
      <w:r>
        <w:t xml:space="preserve">“Data Sharing.”</w:t>
      </w:r>
      <w:r>
        <w:t xml:space="preserve"> </w:t>
      </w:r>
      <w:r>
        <w:t xml:space="preserve">Accessed October 27, 2022.</w:t>
      </w:r>
      <w:r>
        <w:t xml:space="preserve"> </w:t>
      </w:r>
      <w:hyperlink r:id="rId203">
        <w:r>
          <w:rPr>
            <w:rStyle w:val="Hyperlink"/>
          </w:rPr>
          <w:t xml:space="preserve">https://ies.ed.gov/funding/datasharing_implementation.asp</w:t>
        </w:r>
      </w:hyperlink>
      <w:r>
        <w:t xml:space="preserve">.</w:t>
      </w:r>
    </w:p>
    <w:bookmarkEnd w:id="714"/>
    <w:bookmarkStart w:id="715" w:name="X2009c37f8a3691fc61520716d6c51727ddbeca2"/>
    <w:p>
      <w:pPr>
        <w:pStyle w:val="Bibliography"/>
      </w:pPr>
      <w:r>
        <w:t xml:space="preserve">———.</w:t>
      </w:r>
      <w:r>
        <w:t xml:space="preserve"> </w:t>
      </w:r>
      <w:r>
        <w:t xml:space="preserve">“Frequently Asked Questions about Providing Public Access to Data.”</w:t>
      </w:r>
      <w:r>
        <w:t xml:space="preserve"> </w:t>
      </w:r>
      <w:r>
        <w:t xml:space="preserve">Accessed October 21, 2022.</w:t>
      </w:r>
      <w:r>
        <w:t xml:space="preserve"> </w:t>
      </w:r>
      <w:hyperlink r:id="rId71">
        <w:r>
          <w:rPr>
            <w:rStyle w:val="Hyperlink"/>
          </w:rPr>
          <w:t xml:space="preserve">https://ies.ed.gov/funding/datasharing_faq.asp</w:t>
        </w:r>
      </w:hyperlink>
      <w:r>
        <w:t xml:space="preserve">.</w:t>
      </w:r>
    </w:p>
    <w:bookmarkEnd w:id="715"/>
    <w:bookmarkStart w:id="716" w:name="ref-education_sciences_ies_nodate"/>
    <w:p>
      <w:pPr>
        <w:pStyle w:val="Bibliography"/>
      </w:pPr>
      <w:r>
        <w:t xml:space="preserve">Education Sciences, Institute of.</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21">
        <w:r>
          <w:rPr>
            <w:rStyle w:val="Hyperlink"/>
          </w:rPr>
          <w:t xml:space="preserve">https://ies.ed.gov/funding/23rfas.asp</w:t>
        </w:r>
      </w:hyperlink>
      <w:r>
        <w:t xml:space="preserve">.</w:t>
      </w:r>
    </w:p>
    <w:bookmarkEnd w:id="716"/>
    <w:bookmarkStart w:id="717" w:name="ref-von_der_embse_raise_2019"/>
    <w:p>
      <w:pPr>
        <w:pStyle w:val="Bibliography"/>
      </w:pPr>
      <w:r>
        <w:t xml:space="preserve">Embse, Nathaniel von der.</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9">
        <w:r>
          <w:rPr>
            <w:rStyle w:val="Hyperlink"/>
          </w:rPr>
          <w:t xml:space="preserve">https://uploads.strikinglycdn.com/files/f3dfcf89-32f2-48cb-94cd-3070f733c53d/RAISE%20Lab%20Guidelines_Final.pdf</w:t>
        </w:r>
      </w:hyperlink>
      <w:r>
        <w:t xml:space="preserve">.</w:t>
      </w:r>
    </w:p>
    <w:bookmarkEnd w:id="717"/>
    <w:bookmarkStart w:id="718" w:name="ref-noauthor_fair_nodate"/>
    <w:p>
      <w:pPr>
        <w:pStyle w:val="Bibliography"/>
      </w:pP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7">
        <w:r>
          <w:rPr>
            <w:rStyle w:val="Hyperlink"/>
          </w:rPr>
          <w:t xml:space="preserve">https://www.go-fair.org/fair-principles/</w:t>
        </w:r>
      </w:hyperlink>
      <w:r>
        <w:t xml:space="preserve">.</w:t>
      </w:r>
    </w:p>
    <w:bookmarkEnd w:id="718"/>
    <w:bookmarkStart w:id="719" w:name="ref-farewell_my_2018"/>
    <w:p>
      <w:pPr>
        <w:pStyle w:val="Bibliography"/>
      </w:pPr>
      <w:r>
        <w:t xml:space="preserve">Farewell, Dr Timothy S.</w:t>
      </w:r>
      <w:r>
        <w:t xml:space="preserve"> </w:t>
      </w:r>
      <w:r>
        <w:t xml:space="preserve">“My Easy r Script Header Template – Tim Farewell,”</w:t>
      </w:r>
      <w:r>
        <w:t xml:space="preserve"> </w:t>
      </w:r>
      <w:r>
        <w:t xml:space="preserve">April 10, 2018.</w:t>
      </w:r>
      <w:r>
        <w:t xml:space="preserve"> </w:t>
      </w:r>
      <w:hyperlink r:id="rId584">
        <w:r>
          <w:rPr>
            <w:rStyle w:val="Hyperlink"/>
          </w:rPr>
          <w:t xml:space="preserve">https://timfarewell.co.uk/my-r-script-header-template/</w:t>
        </w:r>
      </w:hyperlink>
      <w:r>
        <w:t xml:space="preserve">.</w:t>
      </w:r>
    </w:p>
    <w:bookmarkEnd w:id="719"/>
    <w:bookmarkStart w:id="720" w:name="ref-fay_faylab_2022"/>
    <w:p>
      <w:pPr>
        <w:pStyle w:val="Bibliography"/>
      </w:pPr>
      <w:r>
        <w:t xml:space="preserve">Fay, Gavin, and Ashley Novak.</w:t>
      </w:r>
      <w:r>
        <w:t xml:space="preserve"> </w:t>
      </w:r>
      <w:r>
        <w:t xml:space="preserve">“Faylab Lab Manual,”</w:t>
      </w:r>
      <w:r>
        <w:t xml:space="preserve"> </w:t>
      </w:r>
      <w:r>
        <w:t xml:space="preserve">December 7, 2022.</w:t>
      </w:r>
      <w:r>
        <w:t xml:space="preserve"> </w:t>
      </w:r>
      <w:hyperlink r:id="rId347">
        <w:r>
          <w:rPr>
            <w:rStyle w:val="Hyperlink"/>
          </w:rPr>
          <w:t xml:space="preserve">https://thefaylab.github.io/lab-manual/</w:t>
        </w:r>
      </w:hyperlink>
      <w:r>
        <w:t xml:space="preserve">.</w:t>
      </w:r>
    </w:p>
    <w:bookmarkEnd w:id="720"/>
    <w:bookmarkStart w:id="721" w:name="ref-figshare_fair-figshare_nodate"/>
    <w:p>
      <w:pPr>
        <w:pStyle w:val="Bibliography"/>
      </w:pPr>
      <w:r>
        <w:t xml:space="preserve">Figshare.</w:t>
      </w:r>
      <w:r>
        <w:t xml:space="preserve"> </w:t>
      </w:r>
      <w:r>
        <w:t xml:space="preserve">“Fair-Figshare.”</w:t>
      </w:r>
      <w:r>
        <w:t xml:space="preserve"> </w:t>
      </w:r>
      <w:r>
        <w:t xml:space="preserve">Accessed February 21, 2023.</w:t>
      </w:r>
      <w:r>
        <w:t xml:space="preserve"> </w:t>
      </w:r>
      <w:hyperlink r:id="rId541">
        <w:r>
          <w:rPr>
            <w:rStyle w:val="Hyperlink"/>
          </w:rPr>
          <w:t xml:space="preserve">https://knowledge.figshare.com/publisher/fair-figshare</w:t>
        </w:r>
      </w:hyperlink>
      <w:r>
        <w:t xml:space="preserve">.</w:t>
      </w:r>
    </w:p>
    <w:bookmarkEnd w:id="721"/>
    <w:bookmarkStart w:id="722" w:name="ref-figshare_how_nodate-1"/>
    <w:p>
      <w:pPr>
        <w:pStyle w:val="Bibliography"/>
      </w:pPr>
      <w:r>
        <w:t xml:space="preserv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22">
        <w:r>
          <w:rPr>
            <w:rStyle w:val="Hyperlink"/>
          </w:rPr>
          <w:t xml:space="preserve">https://help.figshare.com/article/how-to-write-a-data-management-plan-dmp-and-include-figshare-in-your-data-sharing-plans</w:t>
        </w:r>
      </w:hyperlink>
      <w:r>
        <w:t xml:space="preserve">.</w:t>
      </w:r>
    </w:p>
    <w:bookmarkEnd w:id="722"/>
    <w:bookmarkStart w:id="723" w:name="ref-noauthor_figshare_nodate"/>
    <w:p>
      <w:pPr>
        <w:pStyle w:val="Bibliography"/>
      </w:pPr>
      <w:r>
        <w:t xml:space="preserve">“Figshare - Credit for All Your Research. Figshare.”</w:t>
      </w:r>
      <w:r>
        <w:t xml:space="preserve"> </w:t>
      </w:r>
      <w:r>
        <w:t xml:space="preserve">Accessed January 18, 2023.</w:t>
      </w:r>
      <w:r>
        <w:t xml:space="preserve"> </w:t>
      </w:r>
      <w:hyperlink r:id="rId494">
        <w:r>
          <w:rPr>
            <w:rStyle w:val="Hyperlink"/>
          </w:rPr>
          <w:t xml:space="preserve">https://figshare.com/</w:t>
        </w:r>
      </w:hyperlink>
      <w:r>
        <w:t xml:space="preserve">.</w:t>
      </w:r>
    </w:p>
    <w:bookmarkEnd w:id="723"/>
    <w:bookmarkStart w:id="724" w:name="ref-foster_open_2017"/>
    <w:p>
      <w:pPr>
        <w:pStyle w:val="Bibliography"/>
      </w:pPr>
      <w:r>
        <w:t xml:space="preserve">Foster, Erin D.,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9">
        <w:r>
          <w:rPr>
            <w:rStyle w:val="Hyperlink"/>
          </w:rPr>
          <w:t xml:space="preserve">https://doi.org/10.5195/jmla.2017.88</w:t>
        </w:r>
      </w:hyperlink>
      <w:r>
        <w:t xml:space="preserve">.</w:t>
      </w:r>
    </w:p>
    <w:bookmarkEnd w:id="724"/>
    <w:bookmarkStart w:id="725" w:name="X3e927deb72dc866f35d9553d47e6ec1d2bd2472"/>
    <w:p>
      <w:pPr>
        <w:pStyle w:val="Bibliography"/>
      </w:pPr>
      <w:r>
        <w:t xml:space="preserve">Foundation, National Science.</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8">
        <w:r>
          <w:rPr>
            <w:rStyle w:val="Hyperlink"/>
          </w:rPr>
          <w:t xml:space="preserve">https://www.nsf.gov/bfa/dias/policy/dmpdocs/ehr.pdf</w:t>
        </w:r>
      </w:hyperlink>
      <w:r>
        <w:t xml:space="preserve">.</w:t>
      </w:r>
    </w:p>
    <w:bookmarkEnd w:id="725"/>
    <w:bookmarkStart w:id="726" w:name="ref-gentzkow_code_2014"/>
    <w:p>
      <w:pPr>
        <w:pStyle w:val="Bibliography"/>
      </w:pPr>
      <w:r>
        <w:t xml:space="preserve">Gentzkow, Matthew, and Jesse Shapiro.</w:t>
      </w:r>
      <w:r>
        <w:t xml:space="preserve"> </w:t>
      </w:r>
      <w:r>
        <w:t xml:space="preserve">“Code and Data for the Social Sciences: A Practitioner’s Guide,”</w:t>
      </w:r>
      <w:r>
        <w:t xml:space="preserve"> </w:t>
      </w:r>
      <w:r>
        <w:t xml:space="preserve">2014.</w:t>
      </w:r>
      <w:r>
        <w:t xml:space="preserve"> </w:t>
      </w:r>
      <w:hyperlink r:id="rId302">
        <w:r>
          <w:rPr>
            <w:rStyle w:val="Hyperlink"/>
          </w:rPr>
          <w:t xml:space="preserve">https://web.stanford.edu/~gentzkow/research/CodeAndData.pdf</w:t>
        </w:r>
      </w:hyperlink>
      <w:r>
        <w:t xml:space="preserve">.</w:t>
      </w:r>
    </w:p>
    <w:bookmarkEnd w:id="726"/>
    <w:bookmarkStart w:id="727" w:name="ref-geraghty_formalize_nodate"/>
    <w:p>
      <w:pPr>
        <w:pStyle w:val="Bibliography"/>
      </w:pPr>
      <w:r>
        <w:t xml:space="preserve">Geraghty, Louise,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6">
        <w:r>
          <w:rPr>
            <w:rStyle w:val="Hyperlink"/>
          </w:rPr>
          <w:t xml:space="preserve">https://www.povertyactionlab.org/resource/formalize-research-partnership-and-establish-roles-and-expectations</w:t>
        </w:r>
      </w:hyperlink>
      <w:r>
        <w:t xml:space="preserve">.</w:t>
      </w:r>
    </w:p>
    <w:bookmarkEnd w:id="727"/>
    <w:bookmarkStart w:id="728" w:name="ref-gilmore_practical_2018"/>
    <w:p>
      <w:pPr>
        <w:pStyle w:val="Bibliography"/>
      </w:pPr>
      <w:r>
        <w:t xml:space="preserve">Gilmore, Rick O.,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06">
        <w:r>
          <w:rPr>
            <w:rStyle w:val="Hyperlink"/>
          </w:rPr>
          <w:t xml:space="preserve">https://doi.org/10.1177/2515245917746500</w:t>
        </w:r>
      </w:hyperlink>
      <w:r>
        <w:t xml:space="preserve">.</w:t>
      </w:r>
    </w:p>
    <w:bookmarkEnd w:id="728"/>
    <w:bookmarkStart w:id="729" w:name="ref-gonzales_ten_2022"/>
    <w:p>
      <w:pPr>
        <w:pStyle w:val="Bibliography"/>
      </w:pPr>
      <w:r>
        <w:t xml:space="preserve">Gonzales, Sara,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200">
        <w:r>
          <w:rPr>
            <w:rStyle w:val="Hyperlink"/>
          </w:rPr>
          <w:t xml:space="preserve">https://doi.org/10.1371/journal.pcbi.1010397</w:t>
        </w:r>
      </w:hyperlink>
      <w:r>
        <w:t xml:space="preserve">.</w:t>
      </w:r>
    </w:p>
    <w:bookmarkEnd w:id="729"/>
    <w:bookmarkStart w:id="730" w:name="ref-grace-martin_wide_2013"/>
    <w:p>
      <w:pPr>
        <w:pStyle w:val="Bibliography"/>
      </w:pPr>
      <w:r>
        <w:t xml:space="preserve">Grace-Martin, Karen.</w:t>
      </w:r>
      <w:r>
        <w:t xml:space="preserve"> </w:t>
      </w:r>
      <w:r>
        <w:t xml:space="preserve">“The Wide and Long Data Format for Repeated Measures Data. The Analysis Factor,”</w:t>
      </w:r>
      <w:r>
        <w:t xml:space="preserve"> </w:t>
      </w:r>
      <w:r>
        <w:t xml:space="preserve">October 4, 2013.</w:t>
      </w:r>
      <w:r>
        <w:t xml:space="preserve"> </w:t>
      </w:r>
      <w:hyperlink r:id="rId182">
        <w:r>
          <w:rPr>
            <w:rStyle w:val="Hyperlink"/>
          </w:rPr>
          <w:t xml:space="preserve">https://www.theanalysisfactor.com/wide-and-long-data/</w:t>
        </w:r>
      </w:hyperlink>
      <w:r>
        <w:t xml:space="preserve">.</w:t>
      </w:r>
    </w:p>
    <w:bookmarkEnd w:id="730"/>
    <w:bookmarkStart w:id="731" w:name="ref-gueguen_new_nodate"/>
    <w:p>
      <w:pPr>
        <w:pStyle w:val="Bibliography"/>
      </w:pPr>
      <w:r>
        <w:t xml:space="preserve">Gueguen, Gretchen.</w:t>
      </w:r>
      <w:r>
        <w:t xml:space="preserve"> </w:t>
      </w:r>
      <w:r>
        <w:t xml:space="preserve">“New</w:t>
      </w:r>
      <w:r>
        <w:t xml:space="preserve"> </w:t>
      </w:r>
      <w:r>
        <w:t xml:space="preserve">OSF</w:t>
      </w:r>
      <w:r>
        <w:t xml:space="preserve"> </w:t>
      </w:r>
      <w:r>
        <w:t xml:space="preserve">Metadata to Support Data Sharing Policy Compliance.”</w:t>
      </w:r>
      <w:r>
        <w:t xml:space="preserve"> </w:t>
      </w:r>
      <w:r>
        <w:t xml:space="preserve">Accessed March 1, 2023.</w:t>
      </w:r>
      <w:r>
        <w:t xml:space="preserve"> </w:t>
      </w:r>
      <w:hyperlink r:id="rId543">
        <w:r>
          <w:rPr>
            <w:rStyle w:val="Hyperlink"/>
          </w:rPr>
          <w:t xml:space="preserve">https://www.cos.io/blog/new-osf-metadata-to-support-data-sharing-policy-compliance</w:t>
        </w:r>
      </w:hyperlink>
      <w:r>
        <w:t xml:space="preserve">.</w:t>
      </w:r>
    </w:p>
    <w:bookmarkEnd w:id="731"/>
    <w:bookmarkStart w:id="732" w:name="ref-hansen_dataflowtoolkitdk_2017"/>
    <w:p>
      <w:pPr>
        <w:pStyle w:val="Bibliography"/>
      </w:pPr>
      <w:r>
        <w:t xml:space="preserve">Hansen, Karsten Kryger.</w:t>
      </w:r>
      <w:r>
        <w:t xml:space="preserve"> </w:t>
      </w:r>
      <w:r>
        <w:rPr>
          <w:iCs/>
          <w:i/>
        </w:rPr>
        <w:t xml:space="preserve">DataFlowToolkit</w:t>
      </w:r>
      <w:r>
        <w:rPr>
          <w:iCs/>
          <w:i/>
        </w:rPr>
        <w:t xml:space="preserve">.dk</w:t>
      </w:r>
      <w:r>
        <w:t xml:space="preserve">, 2017.</w:t>
      </w:r>
      <w:r>
        <w:t xml:space="preserve"> </w:t>
      </w:r>
      <w:hyperlink r:id="rId298">
        <w:r>
          <w:rPr>
            <w:rStyle w:val="Hyperlink"/>
          </w:rPr>
          <w:t xml:space="preserve">https://doi.org/10.5278/16k4-4n24</w:t>
        </w:r>
      </w:hyperlink>
      <w:r>
        <w:t xml:space="preserve">.</w:t>
      </w:r>
    </w:p>
    <w:bookmarkEnd w:id="732"/>
    <w:bookmarkStart w:id="733" w:name="ref-hart_example_2020"/>
    <w:p>
      <w:pPr>
        <w:pStyle w:val="Bibliography"/>
      </w:pPr>
      <w:r>
        <w:t xml:space="preserve">Hart, Sara.</w:t>
      </w:r>
      <w:r>
        <w:t xml:space="preserve"> </w:t>
      </w:r>
      <w:r>
        <w:t xml:space="preserve">“Example of a Data Management Plan.”</w:t>
      </w:r>
      <w:r>
        <w:t xml:space="preserve"> </w:t>
      </w:r>
      <w:r>
        <w:t xml:space="preserve">figshare, November 11, 2020.</w:t>
      </w:r>
      <w:r>
        <w:t xml:space="preserve"> </w:t>
      </w:r>
      <w:hyperlink r:id="rId214">
        <w:r>
          <w:rPr>
            <w:rStyle w:val="Hyperlink"/>
          </w:rPr>
          <w:t xml:space="preserve">https://doi.org/10.6084/m9.figshare.13218743.v1</w:t>
        </w:r>
      </w:hyperlink>
      <w:r>
        <w:t xml:space="preserve">.</w:t>
      </w:r>
    </w:p>
    <w:bookmarkEnd w:id="733"/>
    <w:bookmarkStart w:id="734" w:name="Xab5cc513ee7ce8da7e60613dbaa07a423b0f5dd"/>
    <w:p>
      <w:pPr>
        <w:pStyle w:val="Bibliography"/>
      </w:pPr>
      <w:r>
        <w:t xml:space="preserve">Health, National Institutes of.</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9">
        <w:r>
          <w:rPr>
            <w:rStyle w:val="Hyperlink"/>
          </w:rPr>
          <w:t xml:space="preserve">https://sharing.nih.gov/data-management-and-sharing-policy/planning-and-budgeting-for-data-management-and-sharing/budgeting-for-data-management-sharing#after</w:t>
        </w:r>
      </w:hyperlink>
      <w:r>
        <w:t xml:space="preserve">.</w:t>
      </w:r>
    </w:p>
    <w:bookmarkEnd w:id="734"/>
    <w:bookmarkStart w:id="735" w:name="X03a024fb3fd59b63f434408a82b19f9da3064fb"/>
    <w:p>
      <w:pPr>
        <w:pStyle w:val="Bibliography"/>
      </w:pPr>
      <w:r>
        <w:t xml:space="preserve">———.</w:t>
      </w:r>
      <w:r>
        <w:t xml:space="preserve"> </w:t>
      </w:r>
      <w:r>
        <w:t xml:space="preserve">“</w:t>
      </w:r>
      <w:r>
        <w:t xml:space="preserve">NIH</w:t>
      </w:r>
      <w:r>
        <w:t xml:space="preserve"> </w:t>
      </w:r>
      <w:r>
        <w:t xml:space="preserve">Sample Data Management and Sharing Plan: Human Survey Data,”</w:t>
      </w:r>
      <w:r>
        <w:t xml:space="preserve"> </w:t>
      </w:r>
      <w:r>
        <w:t xml:space="preserve">July 2022.</w:t>
      </w:r>
      <w:r>
        <w:t xml:space="preserve"> </w:t>
      </w:r>
      <w:hyperlink r:id="rId218">
        <w:r>
          <w:rPr>
            <w:rStyle w:val="Hyperlink"/>
          </w:rPr>
          <w:t xml:space="preserve">https://www.nichd.nih.gov/sites/default/files/inline-files/Example_DMS_Plan-Human-Survey-NIH_Format_Page_V2.pdf</w:t>
        </w:r>
      </w:hyperlink>
      <w:r>
        <w:t xml:space="preserve">.</w:t>
      </w:r>
    </w:p>
    <w:bookmarkEnd w:id="735"/>
    <w:bookmarkStart w:id="736" w:name="X578e5071918a149551a6b276e45135168a1a6a5"/>
    <w:p>
      <w:pPr>
        <w:pStyle w:val="Bibliography"/>
      </w:pPr>
      <w:r>
        <w:t xml:space="preserve">———.</w:t>
      </w:r>
      <w:r>
        <w:t xml:space="preserve"> </w:t>
      </w:r>
      <w:r>
        <w:t xml:space="preserve">“Writing a Data Management &amp; Sharing Plan.”</w:t>
      </w:r>
      <w:r>
        <w:t xml:space="preserve"> </w:t>
      </w:r>
      <w:r>
        <w:t xml:space="preserve">Accessed October 27, 2022.</w:t>
      </w:r>
      <w:r>
        <w:t xml:space="preserve"> </w:t>
      </w:r>
      <w:hyperlink r:id="rId194">
        <w:r>
          <w:rPr>
            <w:rStyle w:val="Hyperlink"/>
          </w:rPr>
          <w:t xml:space="preserve">https://sharing.nih.gov/data-management-and-sharing-policy/planning-and-budgeting-DMS/writing-a-data-management-and-sharing-plan</w:t>
        </w:r>
      </w:hyperlink>
      <w:r>
        <w:t xml:space="preserve">.</w:t>
      </w:r>
    </w:p>
    <w:bookmarkEnd w:id="736"/>
    <w:bookmarkStart w:id="737" w:name="ref-the_white_house_executive_2013"/>
    <w:p>
      <w:pPr>
        <w:pStyle w:val="Bibliography"/>
      </w:pPr>
      <w:r>
        <w:t xml:space="preserve">House, The White.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1">
        <w:r>
          <w:rPr>
            <w:rStyle w:val="Hyperlink"/>
          </w:rPr>
          <w:t xml:space="preserve">https://obamawhitehouse.archives.gov/the-press-office/2013/05/09/executive-order-making-open-and-machine-readable-new-default-government-</w:t>
        </w:r>
      </w:hyperlink>
      <w:r>
        <w:t xml:space="preserve">.</w:t>
      </w:r>
    </w:p>
    <w:bookmarkEnd w:id="737"/>
    <w:bookmarkStart w:id="738" w:name="ref-hubbard_data_2017"/>
    <w:p>
      <w:pPr>
        <w:pStyle w:val="Bibliography"/>
      </w:pPr>
      <w:r>
        <w:t xml:space="preserve">Hubbard, Aleata.</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bookmarkEnd w:id="738"/>
    <w:bookmarkStart w:id="739" w:name="X1cb4205e5746fef71f91a14f0ad11dbdf9b12b7"/>
    <w:p>
      <w:pPr>
        <w:pStyle w:val="Bibliography"/>
      </w:pPr>
      <w:r>
        <w:t xml:space="preserve">Humanities, National Endowment for the.</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bookmarkEnd w:id="739"/>
    <w:bookmarkStart w:id="740" w:name="ref-icpsr_guide_2011"/>
    <w:p>
      <w:pPr>
        <w:pStyle w:val="Bibliography"/>
      </w:pPr>
      <w:r>
        <w:t xml:space="preserve">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69">
        <w:r>
          <w:rPr>
            <w:rStyle w:val="Hyperlink"/>
          </w:rPr>
          <w:t xml:space="preserve">https://www.icpsr.umich.edu/files/deposit/Guide-to-Codebooks_v1.pdf</w:t>
        </w:r>
      </w:hyperlink>
      <w:r>
        <w:t xml:space="preserve">.</w:t>
      </w:r>
    </w:p>
    <w:bookmarkEnd w:id="740"/>
    <w:bookmarkStart w:id="741" w:name="ref-icpsr_guide_nodate"/>
    <w:p>
      <w:pPr>
        <w:pStyle w:val="Bibliography"/>
      </w:pPr>
      <w:r>
        <w:t xml:space="preserve">———.</w:t>
      </w:r>
      <w:r>
        <w:t xml:space="preserve"> </w:t>
      </w:r>
      <w:r>
        <w:t xml:space="preserve">“Guide to Social Science Data Preparation and Archiving: 6th Ed.”</w:t>
      </w:r>
      <w:r>
        <w:t xml:space="preserve"> Accessed January 9, 2023.</w:t>
      </w:r>
      <w:r>
        <w:t xml:space="preserve"> </w:t>
      </w:r>
      <w:hyperlink r:id="rId201">
        <w:r>
          <w:rPr>
            <w:rStyle w:val="Hyperlink"/>
          </w:rPr>
          <w:t xml:space="preserve">https://www.icpsr.umich.edu/web/pages/deposit/guide/</w:t>
        </w:r>
      </w:hyperlink>
      <w:r>
        <w:t xml:space="preserve">.</w:t>
      </w:r>
    </w:p>
    <w:bookmarkEnd w:id="741"/>
    <w:bookmarkStart w:id="742" w:name="ref-icpsr_icpsr_nodate"/>
    <w:p>
      <w:pPr>
        <w:pStyle w:val="Bibliography"/>
      </w:pPr>
      <w:r>
        <w:t xml:space="preserve">———.</w:t>
      </w:r>
      <w:r>
        <w:t xml:space="preserve"> </w:t>
      </w:r>
      <w:r>
        <w:t xml:space="preserve">“</w:t>
      </w:r>
      <w:r>
        <w:t xml:space="preserve">ICPSR</w:t>
      </w:r>
      <w:r>
        <w:t xml:space="preserve">, Data Management, Metadata.”</w:t>
      </w:r>
      <w:r>
        <w:t xml:space="preserve"> </w:t>
      </w:r>
      <w:r>
        <w:t xml:space="preserve">Accessed January 18, 2023.</w:t>
      </w:r>
      <w:r>
        <w:t xml:space="preserve"> </w:t>
      </w:r>
      <w:hyperlink r:id="rId505">
        <w:r>
          <w:rPr>
            <w:rStyle w:val="Hyperlink"/>
          </w:rPr>
          <w:t xml:space="preserve">https://www.icpsr.umich.edu/web/pages/datamanagement/lifecycle/metadata.html</w:t>
        </w:r>
      </w:hyperlink>
      <w:r>
        <w:t xml:space="preserve">.</w:t>
      </w:r>
    </w:p>
    <w:bookmarkEnd w:id="742"/>
    <w:bookmarkStart w:id="743" w:name="ref-icpsr_icpsr_2023"/>
    <w:p>
      <w:pPr>
        <w:pStyle w:val="Bibliography"/>
      </w:pPr>
      <w:r>
        <w:t xml:space="preserve">———.</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20">
        <w:r>
          <w:rPr>
            <w:rStyle w:val="Hyperlink"/>
          </w:rPr>
          <w:t xml:space="preserve">https://www.icpsr.umich.edu/files/ICPSR/nih/FINAL_ICPSR-NIH-DMS-Plan-Template_2023.docx</w:t>
        </w:r>
      </w:hyperlink>
      <w:r>
        <w:t xml:space="preserve">.</w:t>
      </w:r>
    </w:p>
    <w:bookmarkEnd w:id="743"/>
    <w:bookmarkStart w:id="744" w:name="X638a31cb2b0883a305a98c9d8d5d8a6d8b77b18"/>
    <w:p>
      <w:pPr>
        <w:pStyle w:val="Bibliography"/>
      </w:pPr>
      <w:r>
        <w:t xml:space="preserve">Iowa Libraries, University of.</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90">
        <w:r>
          <w:rPr>
            <w:rStyle w:val="Hyperlink"/>
          </w:rPr>
          <w:t xml:space="preserve">https://www.lib.uiowa.edu/</w:t>
        </w:r>
      </w:hyperlink>
      <w:r>
        <w:t xml:space="preserve">.</w:t>
      </w:r>
    </w:p>
    <w:bookmarkEnd w:id="744"/>
    <w:bookmarkStart w:id="745" w:name="X368a4b97bc8bd82c2617e7430f67aa5ececcd66"/>
    <w:p>
      <w:pPr>
        <w:pStyle w:val="Bibliography"/>
      </w:pPr>
      <w:r>
        <w:t xml:space="preserve">(ITCC), IMPACCT Trials Coordination Centre.</w:t>
      </w:r>
      <w:r>
        <w:t xml:space="preserve"> </w:t>
      </w:r>
      <w:r>
        <w:t xml:space="preserve">“Standard Operating Procedure,”</w:t>
      </w:r>
      <w:r>
        <w:t xml:space="preserve"> </w:t>
      </w:r>
      <w:r>
        <w:t xml:space="preserve">n.d.</w:t>
      </w:r>
      <w:r>
        <w:t xml:space="preserve"> </w:t>
      </w:r>
      <w:hyperlink r:id="rId423">
        <w:r>
          <w:rPr>
            <w:rStyle w:val="Hyperlink"/>
          </w:rPr>
          <w:t xml:space="preserve">https://www.uts.edu.au/sites/default/files/2020-07/5.5.5%20Allocation%20of%20Participant%20ID%20Numbers%20V2.5_20200520.pdf</w:t>
        </w:r>
      </w:hyperlink>
      <w:r>
        <w:t xml:space="preserve">.</w:t>
      </w:r>
    </w:p>
    <w:bookmarkEnd w:id="745"/>
    <w:bookmarkStart w:id="746" w:name="X12ddbf85ff2ca966539ac39d4709d8a3dc90bf6"/>
    <w:p>
      <w:pPr>
        <w:pStyle w:val="Bibliography"/>
      </w:pPr>
      <w:r>
        <w:t xml:space="preserve">Justice, National Institute of.</w:t>
      </w:r>
      <w:r>
        <w:t xml:space="preserve"> </w:t>
      </w:r>
      <w:r>
        <w:t xml:space="preserve">“Data Archiving. National Institute of Justice.”</w:t>
      </w:r>
      <w:r>
        <w:t xml:space="preserve"> </w:t>
      </w:r>
      <w:r>
        <w:t xml:space="preserve">Accessed October 27, 2022.</w:t>
      </w:r>
      <w:r>
        <w:t xml:space="preserve"> </w:t>
      </w:r>
      <w:hyperlink r:id="rId206">
        <w:r>
          <w:rPr>
            <w:rStyle w:val="Hyperlink"/>
          </w:rPr>
          <w:t xml:space="preserve">https://nij.ojp.gov/funding/data-archiving</w:t>
        </w:r>
      </w:hyperlink>
      <w:r>
        <w:t xml:space="preserve">.</w:t>
      </w:r>
    </w:p>
    <w:bookmarkEnd w:id="746"/>
    <w:bookmarkStart w:id="747" w:name="ref-kawakita_strategic_2013"/>
    <w:p>
      <w:pPr>
        <w:pStyle w:val="Bibliography"/>
      </w:pPr>
      <w:r>
        <w:t xml:space="preserve">Kawakita, Todd, and Jared Silver.</w:t>
      </w:r>
      <w:r>
        <w:t xml:space="preserve"> </w:t>
      </w:r>
      <w:r>
        <w:t xml:space="preserve">“Strategic Data Project Adopt: Coding Style Guide,”</w:t>
      </w:r>
      <w:r>
        <w:t xml:space="preserve"> </w:t>
      </w:r>
      <w:r>
        <w:t xml:space="preserve">2013.</w:t>
      </w:r>
      <w:r>
        <w:t xml:space="preserve"> </w:t>
      </w:r>
      <w:hyperlink r:id="rId376">
        <w:r>
          <w:rPr>
            <w:rStyle w:val="Hyperlink"/>
          </w:rPr>
          <w:t xml:space="preserve">https://hwpi.harvard.edu/files/sdp/files/sdp-toolkit-coding-style-guide.pdf</w:t>
        </w:r>
      </w:hyperlink>
      <w:r>
        <w:t xml:space="preserve">.</w:t>
      </w:r>
    </w:p>
    <w:bookmarkEnd w:id="747"/>
    <w:bookmarkStart w:id="748" w:name="ref-kline_technical_2018"/>
    <w:p>
      <w:pPr>
        <w:pStyle w:val="Bibliography"/>
      </w:pPr>
      <w:r>
        <w:t xml:space="preserve">Kline, Melissa.</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bookmarkEnd w:id="748"/>
    <w:bookmarkStart w:id="749" w:name="ref-kovacs_role_2021"/>
    <w:p>
      <w:pPr>
        <w:pStyle w:val="Bibliography"/>
      </w:pPr>
      <w:r>
        <w:t xml:space="preserve">Kovacs, Marton,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bookmarkEnd w:id="749"/>
    <w:bookmarkStart w:id="750" w:name="ref-ldbase_information_nodate"/>
    <w:p>
      <w:pPr>
        <w:pStyle w:val="Bibliography"/>
      </w:pP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04">
        <w:r>
          <w:rPr>
            <w:rStyle w:val="Hyperlink"/>
          </w:rPr>
          <w:t xml:space="preserve">https://www.ldbase.org/resources/user-guide/information-to-gather</w:t>
        </w:r>
      </w:hyperlink>
      <w:r>
        <w:t xml:space="preserve">.</w:t>
      </w:r>
    </w:p>
    <w:bookmarkEnd w:id="750"/>
    <w:bookmarkStart w:id="751" w:name="ref-lewis_codebook_nodate"/>
    <w:p>
      <w:pPr>
        <w:pStyle w:val="Bibliography"/>
      </w:pPr>
      <w:r>
        <w:t xml:space="preserve">Lewis, Crystal.</w:t>
      </w:r>
      <w:r>
        <w:t xml:space="preserve"> </w:t>
      </w:r>
      <w:r>
        <w:t xml:space="preserve">“Codebook Package Comparison.”</w:t>
      </w:r>
      <w:r>
        <w:t xml:space="preserve"> </w:t>
      </w:r>
      <w:r>
        <w:t xml:space="preserve">Accessed January 17, 2023.</w:t>
      </w:r>
      <w:r>
        <w:t xml:space="preserve"> </w:t>
      </w:r>
      <w:hyperlink r:id="rId478">
        <w:r>
          <w:rPr>
            <w:rStyle w:val="Hyperlink"/>
          </w:rPr>
          <w:t xml:space="preserve">https://github.com/Cghlewis/codebook-pkg-comparison</w:t>
        </w:r>
      </w:hyperlink>
      <w:r>
        <w:t xml:space="preserve">.</w:t>
      </w:r>
    </w:p>
    <w:bookmarkEnd w:id="751"/>
    <w:bookmarkStart w:id="752" w:name="ref-lewis_data_nodate-5"/>
    <w:p>
      <w:pPr>
        <w:pStyle w:val="Bibliography"/>
      </w:pPr>
      <w:r>
        <w:t xml:space="preserve">———.</w:t>
      </w:r>
      <w:r>
        <w:t xml:space="preserve"> </w:t>
      </w:r>
      <w:r>
        <w:t xml:space="preserve">“Data Capture Checklist. Google Docs.”</w:t>
      </w:r>
      <w:r>
        <w:t xml:space="preserve"> </w:t>
      </w:r>
      <w:r>
        <w:t xml:space="preserve">Accessed March 2, 2023.</w:t>
      </w:r>
      <w:r>
        <w:t xml:space="preserve"> </w:t>
      </w:r>
      <w:hyperlink r:id="rId261">
        <w:r>
          <w:rPr>
            <w:rStyle w:val="Hyperlink"/>
          </w:rPr>
          <w:t xml:space="preserve">https://drive.google.com/file/d/1y5r54NHs7v3VXcWzJDAg4QAqSDlW33d7/view?usp=share_link</w:t>
        </w:r>
      </w:hyperlink>
      <w:r>
        <w:t xml:space="preserve">.</w:t>
      </w:r>
    </w:p>
    <w:bookmarkEnd w:id="752"/>
    <w:bookmarkStart w:id="753" w:name="ref-lewis_data_nodate-4"/>
    <w:p>
      <w:pPr>
        <w:pStyle w:val="Bibliography"/>
      </w:pPr>
      <w:r>
        <w:t xml:space="preserve">———.</w:t>
      </w:r>
      <w:r>
        <w:t xml:space="preserve"> </w:t>
      </w:r>
      <w:r>
        <w:t xml:space="preserve">“Data Cleaning Checklist. Google Docs.”</w:t>
      </w:r>
      <w:r>
        <w:t xml:space="preserve"> </w:t>
      </w:r>
      <w:r>
        <w:t xml:space="preserve">Accessed March 2, 2023.</w:t>
      </w:r>
      <w:r>
        <w:t xml:space="preserve"> </w:t>
      </w:r>
      <w:hyperlink r:id="rId265">
        <w:r>
          <w:rPr>
            <w:rStyle w:val="Hyperlink"/>
          </w:rPr>
          <w:t xml:space="preserve">https://drive.google.com/file/d/1MqX4C5xaEar0JTim37tsS4dqU1QVj2vC/view?usp=share_link</w:t>
        </w:r>
      </w:hyperlink>
      <w:r>
        <w:t xml:space="preserve">.</w:t>
      </w:r>
    </w:p>
    <w:bookmarkEnd w:id="753"/>
    <w:bookmarkStart w:id="754" w:name="ref-lewis_data_nodate-3"/>
    <w:p>
      <w:pPr>
        <w:pStyle w:val="Bibliography"/>
      </w:pPr>
      <w:r>
        <w:t xml:space="preserve">———.</w:t>
      </w:r>
      <w:r>
        <w:t xml:space="preserve"> </w:t>
      </w:r>
      <w:r>
        <w:t xml:space="preserve">“Data Collection Checklist. Google Docs.”</w:t>
      </w:r>
      <w:r>
        <w:t xml:space="preserve"> </w:t>
      </w:r>
      <w:r>
        <w:t xml:space="preserve">Accessed March 2, 2023.</w:t>
      </w:r>
      <w:r>
        <w:t xml:space="preserve"> </w:t>
      </w:r>
      <w:hyperlink r:id="rId257">
        <w:r>
          <w:rPr>
            <w:rStyle w:val="Hyperlink"/>
          </w:rPr>
          <w:t xml:space="preserve">https://drive.google.com/file/d/1Y58XnnJabykuCTMlUQqkfuU7Kz9mRS2f/view?usp=share_link</w:t>
        </w:r>
      </w:hyperlink>
      <w:r>
        <w:t xml:space="preserve">.</w:t>
      </w:r>
    </w:p>
    <w:bookmarkEnd w:id="754"/>
    <w:bookmarkStart w:id="755" w:name="ref-lewis_data_nodate-2"/>
    <w:p>
      <w:pPr>
        <w:pStyle w:val="Bibliography"/>
      </w:pPr>
      <w:r>
        <w:t xml:space="preserve">———.</w:t>
      </w:r>
      <w:r>
        <w:t xml:space="preserve"> </w:t>
      </w:r>
      <w:r>
        <w:t xml:space="preserve">“Data Sharing Checklist. Google Docs.”</w:t>
      </w:r>
      <w:r>
        <w:t xml:space="preserve"> </w:t>
      </w:r>
      <w:r>
        <w:t xml:space="preserve">Accessed March 2, 2023.</w:t>
      </w:r>
      <w:r>
        <w:t xml:space="preserve"> </w:t>
      </w:r>
      <w:hyperlink r:id="rId267">
        <w:r>
          <w:rPr>
            <w:rStyle w:val="Hyperlink"/>
          </w:rPr>
          <w:t xml:space="preserve">https://drive.google.com/file/d/1Cb8pc03ciI0iwDoZ6R25z_kWsWHpFNfU/view?usp=share_link</w:t>
        </w:r>
      </w:hyperlink>
      <w:r>
        <w:t xml:space="preserve">.</w:t>
      </w:r>
    </w:p>
    <w:bookmarkEnd w:id="755"/>
    <w:bookmarkStart w:id="756" w:name="ref-lewis_data_nodate-1"/>
    <w:p>
      <w:pPr>
        <w:pStyle w:val="Bibliography"/>
      </w:pPr>
      <w:r>
        <w:t xml:space="preserve">———.</w:t>
      </w:r>
      <w:r>
        <w:t xml:space="preserve"> </w:t>
      </w:r>
      <w:r>
        <w:t xml:space="preserve">“Data Storage and Security Checklist. Google Docs.”</w:t>
      </w:r>
      <w:r>
        <w:t xml:space="preserve"> </w:t>
      </w:r>
      <w:r>
        <w:t xml:space="preserve">Accessed March 2, 2023.</w:t>
      </w:r>
      <w:r>
        <w:t xml:space="preserve"> </w:t>
      </w:r>
      <w:hyperlink r:id="rId263">
        <w:r>
          <w:rPr>
            <w:rStyle w:val="Hyperlink"/>
          </w:rPr>
          <w:t xml:space="preserve">https://drive.google.com/file/d/14yHDsvV7V3EOASGUNVann2a-p2_zeSJg/view?usp=share_link</w:t>
        </w:r>
      </w:hyperlink>
      <w:r>
        <w:t xml:space="preserve">.</w:t>
      </w:r>
    </w:p>
    <w:bookmarkEnd w:id="756"/>
    <w:bookmarkStart w:id="757" w:name="ref-lewis_data_nodate"/>
    <w:p>
      <w:pPr>
        <w:pStyle w:val="Bibliography"/>
      </w:pPr>
      <w:r>
        <w:t xml:space="preserve">———.</w:t>
      </w:r>
      <w:r>
        <w:t xml:space="preserve"> </w:t>
      </w:r>
      <w:r>
        <w:t xml:space="preserve">“Data Tracking Checklist. Google Docs.”</w:t>
      </w:r>
      <w:r>
        <w:t xml:space="preserve"> </w:t>
      </w:r>
      <w:r>
        <w:t xml:space="preserve">Accessed March 2, 2023.</w:t>
      </w:r>
      <w:r>
        <w:t xml:space="preserve"> </w:t>
      </w:r>
      <w:hyperlink r:id="rId259">
        <w:r>
          <w:rPr>
            <w:rStyle w:val="Hyperlink"/>
          </w:rPr>
          <w:t xml:space="preserve">https://drive.google.com/file/d/1uB026LDCjw7-7pju-bzKuqg1PpCifehf/view?usp=share_link</w:t>
        </w:r>
      </w:hyperlink>
      <w:r>
        <w:t xml:space="preserve">.</w:t>
      </w:r>
    </w:p>
    <w:bookmarkEnd w:id="757"/>
    <w:bookmarkStart w:id="758" w:name="ref-lewis_documentation_nodate"/>
    <w:p>
      <w:pPr>
        <w:pStyle w:val="Bibliography"/>
      </w:pPr>
      <w:r>
        <w:t xml:space="preserve">———.</w:t>
      </w:r>
      <w:r>
        <w:t xml:space="preserve"> </w:t>
      </w:r>
      <w:r>
        <w:t xml:space="preserve">“Documentation Checklist. Google Docs.”</w:t>
      </w:r>
      <w:r>
        <w:t xml:space="preserve"> </w:t>
      </w:r>
      <w:r>
        <w:t xml:space="preserve">Accessed March 1, 2023.</w:t>
      </w:r>
      <w:r>
        <w:t xml:space="preserve"> </w:t>
      </w:r>
      <w:hyperlink r:id="rId255">
        <w:r>
          <w:rPr>
            <w:rStyle w:val="Hyperlink"/>
          </w:rPr>
          <w:t xml:space="preserve">https://drive.google.com/file/d/1Es4LEW_FeYVPOXYs5zrYMyFVuqBUtDv-/view?usp=share_link</w:t>
        </w:r>
      </w:hyperlink>
      <w:r>
        <w:t xml:space="preserve">.</w:t>
      </w:r>
    </w:p>
    <w:bookmarkEnd w:id="758"/>
    <w:bookmarkStart w:id="759" w:name="ref-lewis_roles_nodate"/>
    <w:p>
      <w:pPr>
        <w:pStyle w:val="Bibliography"/>
      </w:pPr>
      <w:r>
        <w:t xml:space="preserve">———.</w:t>
      </w:r>
      <w:r>
        <w:t xml:space="preserve"> </w:t>
      </w:r>
      <w:r>
        <w:t xml:space="preserve">“Roles and Responsibilities Checklist. Google Docs.”</w:t>
      </w:r>
      <w:r>
        <w:t xml:space="preserve"> </w:t>
      </w:r>
      <w:r>
        <w:t xml:space="preserve">Accessed March 2, 2023.</w:t>
      </w:r>
      <w:r>
        <w:t xml:space="preserve"> </w:t>
      </w:r>
      <w:hyperlink r:id="rId251">
        <w:r>
          <w:rPr>
            <w:rStyle w:val="Hyperlink"/>
          </w:rPr>
          <w:t xml:space="preserve">https://drive.google.com/file/d/1cx8pc0ATJ7_dycvprEqqwDQkyvaNPl86/view?usp=share_link</w:t>
        </w:r>
      </w:hyperlink>
      <w:r>
        <w:t xml:space="preserve">.</w:t>
      </w:r>
    </w:p>
    <w:bookmarkEnd w:id="759"/>
    <w:bookmarkStart w:id="760" w:name="ref-lewis_task_nodate"/>
    <w:p>
      <w:pPr>
        <w:pStyle w:val="Bibliography"/>
      </w:pPr>
      <w:r>
        <w:t xml:space="preserve">———.</w:t>
      </w:r>
      <w:r>
        <w:t xml:space="preserve"> </w:t>
      </w:r>
      <w:r>
        <w:t xml:space="preserve">“Task Management Checklist. Google Docs.”</w:t>
      </w:r>
      <w:r>
        <w:t xml:space="preserve"> </w:t>
      </w:r>
      <w:r>
        <w:t xml:space="preserve">Accessed March 2, 2023.</w:t>
      </w:r>
      <w:r>
        <w:t xml:space="preserve"> </w:t>
      </w:r>
      <w:hyperlink r:id="rId253">
        <w:r>
          <w:rPr>
            <w:rStyle w:val="Hyperlink"/>
          </w:rPr>
          <w:t xml:space="preserve">https://drive.google.com/file/d/1ps9n6igmiwB9F-Q9zaQJlJF0NZyWDBzV/view?usp=share_link</w:t>
        </w:r>
      </w:hyperlink>
      <w:r>
        <w:t xml:space="preserve">.</w:t>
      </w:r>
    </w:p>
    <w:bookmarkEnd w:id="760"/>
    <w:bookmarkStart w:id="761" w:name="ref-lewis_using_nodate"/>
    <w:p>
      <w:pPr>
        <w:pStyle w:val="Bibliography"/>
      </w:pPr>
      <w:r>
        <w:t xml:space="preserve">———.</w:t>
      </w:r>
      <w:r>
        <w:t xml:space="preserve"> </w:t>
      </w:r>
      <w:r>
        <w:t xml:space="preserve">“Using a Data Dictionary as Your Roadmap to Quality Data. Crystal Lewis.”</w:t>
      </w:r>
      <w:r>
        <w:t xml:space="preserve"> </w:t>
      </w:r>
      <w:r>
        <w:t xml:space="preserve">Accessed January 17, 2023.</w:t>
      </w:r>
      <w:r>
        <w:t xml:space="preserve"> </w:t>
      </w:r>
      <w:hyperlink r:id="rId447">
        <w:r>
          <w:rPr>
            <w:rStyle w:val="Hyperlink"/>
          </w:rPr>
          <w:t xml:space="preserve">https://cghlewis.com/blog/data_dictionary/</w:t>
        </w:r>
      </w:hyperlink>
      <w:r>
        <w:t xml:space="preserve">.</w:t>
      </w:r>
    </w:p>
    <w:bookmarkEnd w:id="761"/>
    <w:bookmarkStart w:id="762" w:name="ref-lamar_soutter_library_necdmc_nodate"/>
    <w:p>
      <w:pPr>
        <w:pStyle w:val="Bibliography"/>
      </w:pPr>
      <w:r>
        <w:t xml:space="preserve">Library, Lamar Soutter.</w:t>
      </w:r>
      <w:r>
        <w:t xml:space="preserve"> </w:t>
      </w:r>
      <w:r>
        <w:t xml:space="preserve">“</w:t>
      </w:r>
      <w:r>
        <w:t xml:space="preserve">NECDMC</w:t>
      </w:r>
      <w:r>
        <w:t xml:space="preserve"> </w:t>
      </w:r>
      <w:r>
        <w:t xml:space="preserve">- Modules for Managing Research Data</w:t>
      </w:r>
      <w:r>
        <w:t xml:space="preserve"> </w:t>
      </w:r>
      <w:r>
        <w:t xml:space="preserve"> </w:t>
      </w:r>
      <w:r>
        <w:t xml:space="preserve">Lamar Soutter Library - University of Massachusetts Medical School - Module 3.”</w:t>
      </w:r>
      <w:r>
        <w:t xml:space="preserve"> </w:t>
      </w:r>
      <w:r>
        <w:t xml:space="preserve">Accessed February 10, 2023.</w:t>
      </w:r>
      <w:r>
        <w:t xml:space="preserve"> </w:t>
      </w:r>
      <w:hyperlink r:id="rId539">
        <w:r>
          <w:rPr>
            <w:rStyle w:val="Hyperlink"/>
          </w:rPr>
          <w:t xml:space="preserve">https://library.umassmed.edu/resources/necdmc/modules</w:t>
        </w:r>
      </w:hyperlink>
      <w:r>
        <w:t xml:space="preserve">.</w:t>
      </w:r>
    </w:p>
    <w:bookmarkEnd w:id="762"/>
    <w:bookmarkStart w:id="763" w:name="X1918d6fbae917b9bdd0828dba36f9fd52573ee1"/>
    <w:p>
      <w:pPr>
        <w:pStyle w:val="Bibliography"/>
      </w:pPr>
      <w:r>
        <w:t xml:space="preserve">Library, Samuel J. Wood.</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7">
        <w:r>
          <w:rPr>
            <w:rStyle w:val="Hyperlink"/>
          </w:rPr>
          <w:t xml:space="preserve">https://library.weill.cornell.edu/research-support/research-data-management-retention-and-sharing</w:t>
        </w:r>
      </w:hyperlink>
      <w:r>
        <w:t xml:space="preserve">.</w:t>
      </w:r>
    </w:p>
    <w:bookmarkEnd w:id="763"/>
    <w:bookmarkStart w:id="764" w:name="ref-uc_merced_library_what_nodate"/>
    <w:p>
      <w:pPr>
        <w:pStyle w:val="Bibliography"/>
      </w:pPr>
      <w:r>
        <w:t xml:space="preserve">Library, UC Merced.</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49">
        <w:r>
          <w:rPr>
            <w:rStyle w:val="Hyperlink"/>
          </w:rPr>
          <w:t xml:space="preserve">https://library.ucmerced.edu/data-dictionaries</w:t>
        </w:r>
      </w:hyperlink>
      <w:r>
        <w:t xml:space="preserve">.</w:t>
      </w:r>
    </w:p>
    <w:bookmarkEnd w:id="764"/>
    <w:bookmarkStart w:id="765" w:name="ref-lindsay_c_page_design_2020"/>
    <w:p>
      <w:pPr>
        <w:pStyle w:val="Bibliography"/>
      </w:pPr>
      <w:r>
        <w:t xml:space="preserve">Lindsay C. Page, University of Pittsburgh,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09">
        <w:r>
          <w:rPr>
            <w:rStyle w:val="Hyperlink"/>
          </w:rPr>
          <w:t xml:space="preserve">https://doi.org/10.3886/E121381V1</w:t>
        </w:r>
      </w:hyperlink>
      <w:r>
        <w:t xml:space="preserve">.</w:t>
      </w:r>
    </w:p>
    <w:bookmarkEnd w:id="765"/>
    <w:bookmarkStart w:id="766" w:name="ref-logan_data_2021"/>
    <w:p>
      <w:pPr>
        <w:pStyle w:val="Bibliography"/>
      </w:pPr>
      <w:r>
        <w:t xml:space="preserve">Logan, Jessica A. R.,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88">
        <w:r>
          <w:rPr>
            <w:rStyle w:val="Hyperlink"/>
          </w:rPr>
          <w:t xml:space="preserve">https://doi.org/10.1177/23328584211006475</w:t>
        </w:r>
      </w:hyperlink>
      <w:r>
        <w:t xml:space="preserve">.</w:t>
      </w:r>
    </w:p>
    <w:bookmarkEnd w:id="766"/>
    <w:bookmarkStart w:id="767" w:name="ref-markowetz_five_2015"/>
    <w:p>
      <w:pPr>
        <w:pStyle w:val="Bibliography"/>
      </w:pPr>
      <w:r>
        <w:t xml:space="preserve">Markowetz, Florian.</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7">
        <w:r>
          <w:rPr>
            <w:rStyle w:val="Hyperlink"/>
          </w:rPr>
          <w:t xml:space="preserve">https://doi.org/10.1186/s13059-015-0850-7</w:t>
        </w:r>
      </w:hyperlink>
      <w:r>
        <w:t xml:space="preserve">.</w:t>
      </w:r>
    </w:p>
    <w:bookmarkEnd w:id="767"/>
    <w:bookmarkStart w:id="768" w:name="ref-maryqiu1987_database_2022"/>
    <w:p>
      <w:pPr>
        <w:pStyle w:val="Bibliography"/>
      </w:pPr>
      <w:r>
        <w:t xml:space="preserve">MaryQiu1987.</w:t>
      </w:r>
      <w:r>
        <w:t xml:space="preserve"> </w:t>
      </w:r>
      <w:r>
        <w:t xml:space="preserve">“Database Normalization Description - Office,”</w:t>
      </w:r>
      <w:r>
        <w:t xml:space="preserve"> </w:t>
      </w:r>
      <w:r>
        <w:t xml:space="preserve">May 5, 2022.</w:t>
      </w:r>
      <w:r>
        <w:t xml:space="preserve"> </w:t>
      </w:r>
      <w:hyperlink r:id="rId597">
        <w:r>
          <w:rPr>
            <w:rStyle w:val="Hyperlink"/>
          </w:rPr>
          <w:t xml:space="preserve">https://learn.microsoft.com/en-us/office/troubleshoot/access/database-normalization-description</w:t>
        </w:r>
      </w:hyperlink>
      <w:r>
        <w:t xml:space="preserve">.</w:t>
      </w:r>
    </w:p>
    <w:bookmarkEnd w:id="768"/>
    <w:bookmarkStart w:id="769" w:name="ref-mehr_common_2020"/>
    <w:p>
      <w:pPr>
        <w:pStyle w:val="Bibliography"/>
      </w:pPr>
      <w:r>
        <w:t xml:space="preserve">Mehr, Samuel.</w:t>
      </w:r>
      <w:r>
        <w:t xml:space="preserve"> </w:t>
      </w:r>
      <w:r>
        <w:t xml:space="preserve">“Common Topics in Lab Handbooks,”</w:t>
      </w:r>
      <w:r>
        <w:t xml:space="preserve"> </w:t>
      </w:r>
      <w:r>
        <w:t xml:space="preserve">April 2, 2020.</w:t>
      </w:r>
      <w:r>
        <w:t xml:space="preserve"> </w:t>
      </w:r>
      <w:hyperlink r:id="rId351">
        <w:r>
          <w:rPr>
            <w:rStyle w:val="Hyperlink"/>
          </w:rPr>
          <w:t xml:space="preserve">https://www.rsb.org.uk/images/biologist/2020/Apr_May_2020_67-2/67.2_Handbook.pdf</w:t>
        </w:r>
      </w:hyperlink>
      <w:r>
        <w:t xml:space="preserve">.</w:t>
      </w:r>
    </w:p>
    <w:bookmarkEnd w:id="769"/>
    <w:bookmarkStart w:id="770" w:name="ref-mehr_how_nodate"/>
    <w:p>
      <w:pPr>
        <w:pStyle w:val="Bibliography"/>
      </w:pPr>
      <w:r>
        <w:t xml:space="preserve">———.</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42">
        <w:r>
          <w:rPr>
            <w:rStyle w:val="Hyperlink"/>
          </w:rPr>
          <w:t xml:space="preserve">https://www.rsb.org.uk//biologist-features/how-to-write-a-lab-handbook</w:t>
        </w:r>
      </w:hyperlink>
      <w:r>
        <w:t xml:space="preserve">.</w:t>
      </w:r>
    </w:p>
    <w:bookmarkEnd w:id="770"/>
    <w:bookmarkStart w:id="771" w:name="ref-michener_ten_2015"/>
    <w:p>
      <w:pPr>
        <w:pStyle w:val="Bibliography"/>
      </w:pPr>
      <w:r>
        <w:t xml:space="preserve">Michener, William K.</w:t>
      </w:r>
      <w:r>
        <w:t xml:space="preserve"> </w:t>
      </w:r>
      <w:r>
        <w:t xml:space="preserve">“Ten Simple Rules for Creating a Good Data Management Plan.”</w:t>
      </w:r>
      <w:r>
        <w:t xml:space="preserve"> </w:t>
      </w:r>
      <w:r>
        <w:rPr>
          <w:iCs/>
          <w:i/>
        </w:rPr>
        <w:t xml:space="preserve">PLOS</w:t>
      </w:r>
      <w:r>
        <w:rPr>
          <w:iCs/>
          <w:i/>
        </w:rPr>
        <w:t xml:space="preserve"> </w:t>
      </w:r>
      <w:r>
        <w:rPr>
          <w:iCs/>
          <w:i/>
        </w:rPr>
        <w:t xml:space="preserve">Computational Biology</w:t>
      </w:r>
      <w:r>
        <w:t xml:space="preserve"> </w:t>
      </w:r>
      <w:r>
        <w:t xml:space="preserve">11, no. 10 (October 22, 2015): e1004525.</w:t>
      </w:r>
      <w:r>
        <w:t xml:space="preserve"> </w:t>
      </w:r>
      <w:hyperlink r:id="rId68">
        <w:r>
          <w:rPr>
            <w:rStyle w:val="Hyperlink"/>
          </w:rPr>
          <w:t xml:space="preserve">https://doi.org/10.1371/journal.pcbi.1004525</w:t>
        </w:r>
      </w:hyperlink>
      <w:r>
        <w:t xml:space="preserve">.</w:t>
      </w:r>
    </w:p>
    <w:bookmarkEnd w:id="771"/>
    <w:bookmarkStart w:id="772" w:name="ref-microsoft_restrictions_nodate"/>
    <w:p>
      <w:pPr>
        <w:pStyle w:val="Bibliography"/>
      </w:pP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59">
        <w:r>
          <w:rPr>
            <w:rStyle w:val="Hyperlink"/>
          </w:rPr>
          <w:t xml:space="preserve">https://support.microsoft.com/en-us/office/restrictions-and-limitations-in-onedrive-and-sharepoint-64883a5d-228e-48f5-b3d2-eb39e07630fa</w:t>
        </w:r>
      </w:hyperlink>
      <w:r>
        <w:t xml:space="preserve">.</w:t>
      </w:r>
    </w:p>
    <w:bookmarkEnd w:id="772"/>
    <w:bookmarkStart w:id="773" w:name="ref-midgley_manual_2000"/>
    <w:p>
      <w:pPr>
        <w:pStyle w:val="Bibliography"/>
      </w:pPr>
      <w:r>
        <w:t xml:space="preserve">Midgley, Carol.</w:t>
      </w:r>
      <w:r>
        <w:t xml:space="preserve"> </w:t>
      </w:r>
      <w:r>
        <w:t xml:space="preserve">“Manual for the Patterns of Adaptive Learning Scales,”</w:t>
      </w:r>
      <w:r>
        <w:t xml:space="preserve"> </w:t>
      </w:r>
      <w:r>
        <w:t xml:space="preserve">2000.</w:t>
      </w:r>
      <w:r>
        <w:t xml:space="preserve"> </w:t>
      </w:r>
      <w:hyperlink r:id="rId456">
        <w:r>
          <w:rPr>
            <w:rStyle w:val="Hyperlink"/>
          </w:rPr>
          <w:t xml:space="preserve">http://websites.umich.edu/~pals/PALS%202000_V13Word97.pdf</w:t>
        </w:r>
      </w:hyperlink>
      <w:r>
        <w:t xml:space="preserve">.</w:t>
      </w:r>
    </w:p>
    <w:bookmarkEnd w:id="773"/>
    <w:bookmarkStart w:id="774" w:name="Xb5a23216d1ec994a92bc12efe6ebc14cbc71fb6"/>
    <w:p>
      <w:pPr>
        <w:pStyle w:val="Bibliography"/>
      </w:pPr>
      <w:r>
        <w:t xml:space="preserve">Mines, Colorado School of.</w:t>
      </w:r>
      <w:r>
        <w:t xml:space="preserve"> </w:t>
      </w:r>
      <w:r>
        <w:t xml:space="preserve">“Table of Responsibilities Timeline,”</w:t>
      </w:r>
      <w:r>
        <w:t xml:space="preserve"> </w:t>
      </w:r>
      <w:r>
        <w:t xml:space="preserve">n.d.</w:t>
      </w:r>
      <w:r>
        <w:t xml:space="preserve"> </w:t>
      </w:r>
      <w:hyperlink r:id="rId325">
        <w:r>
          <w:rPr>
            <w:rStyle w:val="Hyperlink"/>
          </w:rPr>
          <w:t xml:space="preserve">https://libguides.mines.edu/ld.php?content_id=49061255</w:t>
        </w:r>
      </w:hyperlink>
      <w:r>
        <w:t xml:space="preserve">.</w:t>
      </w:r>
    </w:p>
    <w:bookmarkEnd w:id="774"/>
    <w:bookmarkStart w:id="775" w:name="X957c925a38833fdf2a8b306dea7b68ce75401bc"/>
    <w:p>
      <w:pPr>
        <w:pStyle w:val="Bibliography"/>
      </w:pPr>
      <w:r>
        <w:t xml:space="preserve">Minnesota Libraries, University of.</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6">
        <w:r>
          <w:rPr>
            <w:rStyle w:val="Hyperlink"/>
          </w:rPr>
          <w:t xml:space="preserve">https://www.lib.umn.edu/services/data/dmp-examples</w:t>
        </w:r>
      </w:hyperlink>
      <w:r>
        <w:t xml:space="preserve">.</w:t>
      </w:r>
    </w:p>
    <w:bookmarkEnd w:id="775"/>
    <w:bookmarkStart w:id="776" w:name="Xb5239d967672df1b196d17e4b3896f6df8a4227"/>
    <w:p>
      <w:pPr>
        <w:pStyle w:val="Bibliography"/>
      </w:pPr>
      <w:r>
        <w:t xml:space="preserve">Missouri, University of.</w:t>
      </w:r>
      <w:r>
        <w:t xml:space="preserve"> </w:t>
      </w:r>
      <w:r>
        <w:t xml:space="preserve">“Social/Behavioral/Educational Research Protocol.”</w:t>
      </w:r>
      <w:r>
        <w:t xml:space="preserve"> </w:t>
      </w:r>
      <w:r>
        <w:t xml:space="preserve">Accessed January 12, 2023.</w:t>
      </w:r>
      <w:r>
        <w:t xml:space="preserve"> </w:t>
      </w:r>
      <w:hyperlink r:id="rId394">
        <w:r>
          <w:rPr>
            <w:rStyle w:val="Hyperlink"/>
          </w:rPr>
          <w:t xml:space="preserve">https://docs.research.missouri.edu/human_subjects/templates/Social_Behavioral_Educational_Protocol_Template.docx</w:t>
        </w:r>
      </w:hyperlink>
      <w:r>
        <w:t xml:space="preserve">.</w:t>
      </w:r>
    </w:p>
    <w:bookmarkEnd w:id="776"/>
    <w:bookmarkStart w:id="777" w:name="ref-neild_sharing_2022"/>
    <w:p>
      <w:pPr>
        <w:pStyle w:val="Bibliography"/>
      </w:pPr>
      <w:r>
        <w:t xml:space="preserve">Neild, R. C.,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w:t>
      </w:r>
    </w:p>
    <w:bookmarkEnd w:id="777"/>
    <w:bookmarkStart w:id="778" w:name="ref-nguyen_relational_2017"/>
    <w:p>
      <w:pPr>
        <w:pStyle w:val="Bibliography"/>
      </w:pPr>
      <w:r>
        <w:t xml:space="preserve">Nguyen, Kim.</w:t>
      </w:r>
      <w:r>
        <w:t xml:space="preserve"> </w:t>
      </w:r>
      <w:r>
        <w:t xml:space="preserve">“Relational Database Schema Design Overview. Medium,”</w:t>
      </w:r>
      <w:r>
        <w:t xml:space="preserve"> </w:t>
      </w:r>
      <w:r>
        <w:t xml:space="preserve">October 4, 2017.</w:t>
      </w:r>
      <w:r>
        <w:t xml:space="preserve"> </w:t>
      </w:r>
      <w:hyperlink r:id="rId600">
        <w:r>
          <w:rPr>
            <w:rStyle w:val="Hyperlink"/>
          </w:rPr>
          <w:t xml:space="preserve">https://medium.com/@kimtnguyen/relational-database-schema-design-overview-70e447ff66f9</w:t>
        </w:r>
      </w:hyperlink>
      <w:r>
        <w:t xml:space="preserve">.</w:t>
      </w:r>
    </w:p>
    <w:bookmarkEnd w:id="778"/>
    <w:bookmarkStart w:id="779" w:name="ref-nucats_standard_nodate"/>
    <w:p>
      <w:pPr>
        <w:pStyle w:val="Bibliography"/>
      </w:pP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3">
        <w:r>
          <w:rPr>
            <w:rStyle w:val="Hyperlink"/>
          </w:rPr>
          <w:t xml:space="preserve">https://www.nucats.northwestern.edu/docs/cecd/overview-of-sops.pdf</w:t>
        </w:r>
      </w:hyperlink>
      <w:r>
        <w:t xml:space="preserve">.</w:t>
      </w:r>
    </w:p>
    <w:bookmarkEnd w:id="779"/>
    <w:bookmarkStart w:id="780" w:name="ref-nucats_writing_nodate"/>
    <w:p>
      <w:pPr>
        <w:pStyle w:val="Bibliography"/>
      </w:pPr>
      <w:r>
        <w:t xml:space="preserve">———.</w:t>
      </w:r>
      <w:r>
        <w:t xml:space="preserve"> </w:t>
      </w:r>
      <w:r>
        <w:t xml:space="preserve">“Writing Standard Operating Procedures.”</w:t>
      </w:r>
      <w:r>
        <w:t xml:space="preserve"> </w:t>
      </w:r>
      <w:r>
        <w:t xml:space="preserve">Accessed January 13, 2023.</w:t>
      </w:r>
      <w:r>
        <w:t xml:space="preserve"> </w:t>
      </w:r>
      <w:hyperlink r:id="rId421">
        <w:r>
          <w:rPr>
            <w:rStyle w:val="Hyperlink"/>
          </w:rPr>
          <w:t xml:space="preserve">https://www.nucats.northwestern.edu/docs/cecd/writing-sops-and-templates.pdf</w:t>
        </w:r>
      </w:hyperlink>
      <w:r>
        <w:t xml:space="preserve">.</w:t>
      </w:r>
    </w:p>
    <w:bookmarkEnd w:id="780"/>
    <w:bookmarkStart w:id="781" w:name="ref-plos_one_data_nodate"/>
    <w:p>
      <w:pPr>
        <w:pStyle w:val="Bibliography"/>
      </w:pPr>
      <w:r>
        <w:t xml:space="preserve">One, PLOS.</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bookmarkEnd w:id="781"/>
    <w:bookmarkStart w:id="782" w:name="ref-center_for_open_science_cos_2022"/>
    <w:p>
      <w:pPr>
        <w:pStyle w:val="Bibliography"/>
      </w:pPr>
      <w:r>
        <w:t xml:space="preserve">Open Science, Center for.</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bookmarkEnd w:id="782"/>
    <w:bookmarkStart w:id="783" w:name="X39d35c31c15422dd23692680ea9abd943cfe581"/>
    <w:p>
      <w:pPr>
        <w:pStyle w:val="Bibliography"/>
      </w:pPr>
      <w:r>
        <w:t xml:space="preserv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6">
        <w:r>
          <w:rPr>
            <w:rStyle w:val="Hyperlink"/>
          </w:rPr>
          <w:t xml:space="preserve">https://help.osf.io/article/144-creating-a-data-management-plan-dmp-document</w:t>
        </w:r>
      </w:hyperlink>
      <w:r>
        <w:t xml:space="preserve">.</w:t>
      </w:r>
    </w:p>
    <w:bookmarkEnd w:id="783"/>
    <w:bookmarkStart w:id="784" w:name="ref-center_for_open_science_how_nodate"/>
    <w:p>
      <w:pPr>
        <w:pStyle w:val="Bibliography"/>
      </w:pPr>
      <w:r>
        <w:t xml:space="preserv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5">
        <w:r>
          <w:rPr>
            <w:rStyle w:val="Hyperlink"/>
          </w:rPr>
          <w:t xml:space="preserve">https://help.osf.io/article/217-how-to-make-a-data-dictionary</w:t>
        </w:r>
      </w:hyperlink>
      <w:r>
        <w:t xml:space="preserve">.</w:t>
      </w:r>
    </w:p>
    <w:bookmarkEnd w:id="784"/>
    <w:bookmarkStart w:id="785" w:name="ref-pacific_university_oregon_data_2014"/>
    <w:p>
      <w:pPr>
        <w:pStyle w:val="Bibliography"/>
      </w:pPr>
      <w:r>
        <w:t xml:space="preserve">Oregon, Pacific University.</w:t>
      </w:r>
      <w:r>
        <w:t xml:space="preserve"> </w:t>
      </w:r>
      <w:r>
        <w:t xml:space="preserve">“Data Security and Storage. Pacific University,”</w:t>
      </w:r>
      <w:r>
        <w:t xml:space="preserve"> </w:t>
      </w:r>
      <w:r>
        <w:t xml:space="preserve">March 31, 2014.</w:t>
      </w:r>
      <w:r>
        <w:t xml:space="preserve"> </w:t>
      </w:r>
      <w:hyperlink r:id="rId594">
        <w:r>
          <w:rPr>
            <w:rStyle w:val="Hyperlink"/>
          </w:rPr>
          <w:t xml:space="preserve">https://www.pacificu.edu/academics/research/scholarship-and-sponsored-projects/research-compliance-integrity/institutional-review-board/irb-policies-recommended-practices/data-security-storage</w:t>
        </w:r>
      </w:hyperlink>
      <w:r>
        <w:t xml:space="preserve">.</w:t>
      </w:r>
    </w:p>
    <w:bookmarkEnd w:id="785"/>
    <w:bookmarkStart w:id="786" w:name="ref-citi_program_citi_nodate"/>
    <w:p>
      <w:pPr>
        <w:pStyle w:val="Bibliography"/>
      </w:pPr>
      <w:r>
        <w:t xml:space="preserve">Program, CITI.</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5">
        <w:r>
          <w:rPr>
            <w:rStyle w:val="Hyperlink"/>
          </w:rPr>
          <w:t xml:space="preserve">https://drive.google.com/file/d/1kP8CNyJREs7ssGo-R2_mi6wURUQcdhfA/view?usp=share_link</w:t>
        </w:r>
      </w:hyperlink>
      <w:r>
        <w:t xml:space="preserve">.</w:t>
      </w:r>
    </w:p>
    <w:bookmarkEnd w:id="786"/>
    <w:bookmarkStart w:id="787" w:name="ref-noauthor_r_nodate"/>
    <w:p>
      <w:pPr>
        <w:pStyle w:val="Bibliography"/>
      </w:pPr>
      <w:r>
        <w:t xml:space="preserve">“R: The r Base Package.”</w:t>
      </w:r>
      <w:r>
        <w:t xml:space="preserve"> </w:t>
      </w:r>
      <w:r>
        <w:t xml:space="preserve">Accessed February 16, 2023.</w:t>
      </w:r>
      <w:r>
        <w:t xml:space="preserve"> </w:t>
      </w:r>
      <w:hyperlink r:id="rId570">
        <w:r>
          <w:rPr>
            <w:rStyle w:val="Hyperlink"/>
          </w:rPr>
          <w:t xml:space="preserve">https://stat.ethz.ch/R-manual/R-devel/library/base/html/00Index.html</w:t>
        </w:r>
      </w:hyperlink>
      <w:r>
        <w:t xml:space="preserve">.</w:t>
      </w:r>
    </w:p>
    <w:bookmarkEnd w:id="787"/>
    <w:bookmarkStart w:id="788" w:name="ref-renbarger_champions_2022"/>
    <w:p>
      <w:pPr>
        <w:pStyle w:val="Bibliography"/>
      </w:pPr>
      <w:r>
        <w:t xml:space="preserve">Renbarger, Rachel, Jill L. Adelson, Joshua Rosenberg, Sondra M Stegenga, Olivia Lowrey, Pamela Rose Buckley, and Qiyang Zhang.</w:t>
      </w:r>
      <w:r>
        <w:t xml:space="preserve"> </w:t>
      </w:r>
      <w:r>
        <w:t xml:space="preserve">“Champions of Transparency in Education: What Journal Reviewers Can Do to Encourage Open Science Practices.”</w:t>
      </w:r>
      <w:r>
        <w:t xml:space="preserve"> </w:t>
      </w:r>
      <w:r>
        <w:t xml:space="preserve">Preprint.</w:t>
      </w:r>
      <w:r>
        <w:t xml:space="preserve"> </w:t>
      </w:r>
      <w:r>
        <w:t xml:space="preserve">EdArXiv</w:t>
      </w:r>
      <w:r>
        <w:t xml:space="preserve">, November 15, 2022.</w:t>
      </w:r>
      <w:r>
        <w:t xml:space="preserve"> </w:t>
      </w:r>
      <w:hyperlink r:id="rId86">
        <w:r>
          <w:rPr>
            <w:rStyle w:val="Hyperlink"/>
          </w:rPr>
          <w:t xml:space="preserve">https://doi.org/10.35542/osf.io/xqfwb</w:t>
        </w:r>
      </w:hyperlink>
      <w:r>
        <w:t xml:space="preserve">.</w:t>
      </w:r>
    </w:p>
    <w:bookmarkEnd w:id="788"/>
    <w:bookmarkStart w:id="789" w:name="Xb6fde4699a3a569528f1ebb5291fe3ae7840150"/>
    <w:p>
      <w:pPr>
        <w:pStyle w:val="Bibliography"/>
      </w:pPr>
      <w:r>
        <w:t xml:space="preserve">Research Data Management, Danish National Forum for.</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85">
        <w:r>
          <w:rPr>
            <w:rStyle w:val="Hyperlink"/>
          </w:rPr>
          <w:t xml:space="preserve">https://howtofair.dk/how-to-fair/metadata/</w:t>
        </w:r>
      </w:hyperlink>
      <w:r>
        <w:t xml:space="preserve">.</w:t>
      </w:r>
    </w:p>
    <w:bookmarkEnd w:id="789"/>
    <w:bookmarkStart w:id="790" w:name="ref-noauthor_retraction_nodate"/>
    <w:p>
      <w:pPr>
        <w:pStyle w:val="Bibliography"/>
      </w:pPr>
      <w:r>
        <w:t xml:space="preserve">“Retraction Watch.”</w:t>
      </w:r>
      <w:r>
        <w:t xml:space="preserve"> </w:t>
      </w:r>
      <w:r>
        <w:t xml:space="preserve">Accessed January 9, 2023.</w:t>
      </w:r>
      <w:r>
        <w:t xml:space="preserve"> </w:t>
      </w:r>
      <w:hyperlink r:id="rId103">
        <w:r>
          <w:rPr>
            <w:rStyle w:val="Hyperlink"/>
          </w:rPr>
          <w:t xml:space="preserve">https://retractionwatch.com/</w:t>
        </w:r>
      </w:hyperlink>
      <w:r>
        <w:t xml:space="preserve">.</w:t>
      </w:r>
    </w:p>
    <w:bookmarkEnd w:id="790"/>
    <w:bookmarkStart w:id="791" w:name="ref-reynolds_basics_2022"/>
    <w:p>
      <w:pPr>
        <w:pStyle w:val="Bibliography"/>
      </w:pPr>
      <w:r>
        <w:t xml:space="preserve">Reynolds, Tara,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bookmarkEnd w:id="791"/>
    <w:bookmarkStart w:id="792" w:name="ref-riederer_column_2020"/>
    <w:p>
      <w:pPr>
        <w:pStyle w:val="Bibliography"/>
      </w:pPr>
      <w:r>
        <w:t xml:space="preserve">Riederer, Emily.</w:t>
      </w:r>
      <w:r>
        <w:t xml:space="preserve"> </w:t>
      </w:r>
      <w:r>
        <w:t xml:space="preserve">“Column Names as Contracts. Emily Riederer,”</w:t>
      </w:r>
      <w:r>
        <w:t xml:space="preserve"> </w:t>
      </w:r>
      <w:r>
        <w:t xml:space="preserve">September 6, 2020.</w:t>
      </w:r>
      <w:r>
        <w:t xml:space="preserve"> </w:t>
      </w:r>
      <w:hyperlink r:id="rId573">
        <w:r>
          <w:rPr>
            <w:rStyle w:val="Hyperlink"/>
          </w:rPr>
          <w:t xml:space="preserve">https://emilyriederer.netlify.app/post/column-name-contracts/</w:t>
        </w:r>
      </w:hyperlink>
      <w:r>
        <w:t xml:space="preserve">.</w:t>
      </w:r>
    </w:p>
    <w:bookmarkEnd w:id="792"/>
    <w:bookmarkStart w:id="793" w:name="ref-noauthor_schemaorg_nodate"/>
    <w:p>
      <w:pPr>
        <w:pStyle w:val="Bibliography"/>
      </w:pPr>
      <w:r>
        <w:t xml:space="preserve">“Schema.org - Schema.org.”</w:t>
      </w:r>
      <w:r>
        <w:t xml:space="preserve"> </w:t>
      </w:r>
      <w:r>
        <w:t xml:space="preserve">Accessed January 19, 2023.</w:t>
      </w:r>
      <w:r>
        <w:t xml:space="preserve"> </w:t>
      </w:r>
      <w:hyperlink r:id="rId524">
        <w:r>
          <w:rPr>
            <w:rStyle w:val="Hyperlink"/>
          </w:rPr>
          <w:t xml:space="preserve">https://www.schema.org/</w:t>
        </w:r>
      </w:hyperlink>
      <w:r>
        <w:t xml:space="preserve">.</w:t>
      </w:r>
    </w:p>
    <w:bookmarkEnd w:id="793"/>
    <w:bookmarkStart w:id="794" w:name="X8f4b22831780fffefb7a558a374ca116b7f870a"/>
    <w:p>
      <w:pPr>
        <w:pStyle w:val="Bibliography"/>
      </w:pPr>
      <w:r>
        <w:t xml:space="preserve">Science {and} Technology Policy, Office of.</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bookmarkEnd w:id="794"/>
    <w:bookmarkStart w:id="795" w:name="ref-science_center_nodate"/>
    <w:p>
      <w:pPr>
        <w:pStyle w:val="Bibliography"/>
      </w:pPr>
      <w:r>
        <w:t xml:space="preserve">Science, Center for Open.</w:t>
      </w:r>
      <w:r>
        <w:t xml:space="preserve"> </w:t>
      </w:r>
      <w:r>
        <w:t xml:space="preserve">“Center for Open Science.”</w:t>
      </w:r>
      <w:r>
        <w:t xml:space="preserve"> </w:t>
      </w:r>
      <w:r>
        <w:t xml:space="preserve">Accessed October 21, 2022.</w:t>
      </w:r>
      <w:r>
        <w:t xml:space="preserve"> </w:t>
      </w:r>
      <w:hyperlink r:id="rId117">
        <w:r>
          <w:rPr>
            <w:rStyle w:val="Hyperlink"/>
          </w:rPr>
          <w:t xml:space="preserve">https://www.cos.io</w:t>
        </w:r>
      </w:hyperlink>
      <w:r>
        <w:t xml:space="preserve">.</w:t>
      </w:r>
    </w:p>
    <w:bookmarkEnd w:id="795"/>
    <w:bookmarkStart w:id="796" w:name="ref-service_costing_nodate"/>
    <w:p>
      <w:pPr>
        <w:pStyle w:val="Bibliography"/>
      </w:pPr>
      <w:r>
        <w:t xml:space="preserve">Service, UK Data.</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5">
        <w:r>
          <w:rPr>
            <w:rStyle w:val="Hyperlink"/>
          </w:rPr>
          <w:t xml:space="preserve">https://ukdataservice.ac.uk/learning-hub/research-data-management/plan-to-share/costing/</w:t>
        </w:r>
      </w:hyperlink>
      <w:r>
        <w:t xml:space="preserve">.</w:t>
      </w:r>
    </w:p>
    <w:bookmarkEnd w:id="796"/>
    <w:bookmarkStart w:id="797" w:name="ref-uk_data_service_data_2022"/>
    <w:p>
      <w:pPr>
        <w:pStyle w:val="Bibliography"/>
      </w:pPr>
      <w:r>
        <w:t xml:space="preserve">———.</w:t>
      </w:r>
      <w:r>
        <w:t xml:space="preserve"> </w:t>
      </w:r>
      <w:r>
        <w:t xml:space="preserve">“Data Management Costing Tool and Checklist,”</w:t>
      </w:r>
      <w:r>
        <w:t xml:space="preserve"> </w:t>
      </w:r>
      <w:r>
        <w:t xml:space="preserve">2022.</w:t>
      </w:r>
      <w:r>
        <w:t xml:space="preserve"> </w:t>
      </w:r>
      <w:hyperlink r:id="rId231">
        <w:r>
          <w:rPr>
            <w:rStyle w:val="Hyperlink"/>
          </w:rPr>
          <w:t xml:space="preserve">https://ukdataservice.ac.uk//app/uploads/costingtool.pdf</w:t>
        </w:r>
      </w:hyperlink>
      <w:r>
        <w:t xml:space="preserve">.</w:t>
      </w:r>
    </w:p>
    <w:bookmarkEnd w:id="797"/>
    <w:bookmarkStart w:id="798" w:name="ref-service_metadata_nodate"/>
    <w:p>
      <w:pPr>
        <w:pStyle w:val="Bibliography"/>
      </w:pPr>
      <w:r>
        <w:t xml:space="preserv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87">
        <w:r>
          <w:rPr>
            <w:rStyle w:val="Hyperlink"/>
          </w:rPr>
          <w:t xml:space="preserve">https://ukdataservice.ac.uk/learning-hub/research-data-management/document-your-data/metadata/</w:t>
        </w:r>
      </w:hyperlink>
      <w:r>
        <w:t xml:space="preserve">.</w:t>
      </w:r>
    </w:p>
    <w:bookmarkEnd w:id="798"/>
    <w:bookmarkStart w:id="799" w:name="ref-service_quality_nodate"/>
    <w:p>
      <w:pPr>
        <w:pStyle w:val="Bibliography"/>
      </w:pPr>
      <w:r>
        <w:t xml:space="preserv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29">
        <w:r>
          <w:rPr>
            <w:rStyle w:val="Hyperlink"/>
          </w:rPr>
          <w:t xml:space="preserve">https://ukdataservice.ac.uk/learning-hub/research-data-management/format-your-data/quality/</w:t>
        </w:r>
      </w:hyperlink>
      <w:r>
        <w:t xml:space="preserve">.</w:t>
      </w:r>
    </w:p>
    <w:bookmarkEnd w:id="799"/>
    <w:bookmarkStart w:id="800" w:name="ref-service_roles_nodate"/>
    <w:p>
      <w:pPr>
        <w:pStyle w:val="Bibliography"/>
      </w:pPr>
      <w:r>
        <w:t xml:space="preserv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9">
        <w:r>
          <w:rPr>
            <w:rStyle w:val="Hyperlink"/>
          </w:rPr>
          <w:t xml:space="preserve">https://ukdataservice.ac.uk/learning-hub/research-data-management/plan-to-share/roles-and-responsibilities/</w:t>
        </w:r>
      </w:hyperlink>
      <w:r>
        <w:t xml:space="preserve">.</w:t>
      </w:r>
    </w:p>
    <w:bookmarkEnd w:id="800"/>
    <w:bookmarkStart w:id="801" w:name="ref-service_versioning_nodate"/>
    <w:p>
      <w:pPr>
        <w:pStyle w:val="Bibliography"/>
      </w:pPr>
      <w:r>
        <w:t xml:space="preserv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36">
        <w:r>
          <w:rPr>
            <w:rStyle w:val="Hyperlink"/>
          </w:rPr>
          <w:t xml:space="preserve">https://ukdataservice.ac.uk/learning-hub/research-data-management/format-your-data/versioning/</w:t>
        </w:r>
      </w:hyperlink>
      <w:r>
        <w:t xml:space="preserve">.</w:t>
      </w:r>
    </w:p>
    <w:bookmarkEnd w:id="801"/>
    <w:bookmarkStart w:id="802" w:name="ref-staff_how_2019"/>
    <w:p>
      <w:pPr>
        <w:pStyle w:val="Bibliography"/>
      </w:pPr>
      <w:r>
        <w:t xml:space="preserve">Staff, Editorial.</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57">
        <w:r>
          <w:rPr>
            <w:rStyle w:val="Hyperlink"/>
          </w:rPr>
          <w:t xml:space="preserve">https://www.webnots.com/how-to-add-and-use-tags-in-windows-10/</w:t>
        </w:r>
      </w:hyperlink>
      <w:r>
        <w:t xml:space="preserve">.</w:t>
      </w:r>
    </w:p>
    <w:bookmarkEnd w:id="802"/>
    <w:bookmarkStart w:id="803" w:name="ref-noauthor_standards_nodate"/>
    <w:p>
      <w:pPr>
        <w:pStyle w:val="Bibliography"/>
      </w:pPr>
      <w:r>
        <w:t xml:space="preserve">“Standards for Excellence in Education Research - Standards for Excellence in Education Research.”</w:t>
      </w:r>
      <w:r>
        <w:t xml:space="preserve"> </w:t>
      </w:r>
      <w:r>
        <w:t xml:space="preserve">Accessed October 21, 2022.</w:t>
      </w:r>
      <w:r>
        <w:t xml:space="preserve"> </w:t>
      </w:r>
      <w:hyperlink r:id="rId112">
        <w:r>
          <w:rPr>
            <w:rStyle w:val="Hyperlink"/>
          </w:rPr>
          <w:t xml:space="preserve">https://ies.ed.gov/seer/index.asp</w:t>
        </w:r>
      </w:hyperlink>
      <w:r>
        <w:t xml:space="preserve">.</w:t>
      </w:r>
    </w:p>
    <w:bookmarkEnd w:id="803"/>
    <w:bookmarkStart w:id="804" w:name="ref-stangroom_rules_2019"/>
    <w:p>
      <w:pPr>
        <w:pStyle w:val="Bibliography"/>
      </w:pPr>
      <w:r>
        <w:t xml:space="preserve">Stangroom, Jeremy.</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71">
        <w:r>
          <w:rPr>
            <w:rStyle w:val="Hyperlink"/>
          </w:rPr>
          <w:t xml:space="preserve">https://ezspss.com/rules-for-naming-variables-in-spss/</w:t>
        </w:r>
      </w:hyperlink>
      <w:r>
        <w:t xml:space="preserve">.</w:t>
      </w:r>
    </w:p>
    <w:bookmarkEnd w:id="804"/>
    <w:bookmarkStart w:id="805" w:name="ref-strand_error_nodate"/>
    <w:p>
      <w:pPr>
        <w:pStyle w:val="Bibliography"/>
      </w:pPr>
      <w:r>
        <w:t xml:space="preserve">Strand, Julia.</w:t>
      </w:r>
      <w:r>
        <w:t xml:space="preserve"> </w:t>
      </w:r>
      <w:r>
        <w:t xml:space="preserve">“Error Tight: Exercises for Lab Groups to Prevent Research Mistakes.”</w:t>
      </w:r>
      <w:r>
        <w:t xml:space="preserve"> </w:t>
      </w:r>
      <w:r>
        <w:t xml:space="preserve">Accessed October 31, 2022.</w:t>
      </w:r>
      <w:r>
        <w:t xml:space="preserve"> </w:t>
      </w:r>
      <w:hyperlink r:id="rId101">
        <w:r>
          <w:rPr>
            <w:rStyle w:val="Hyperlink"/>
          </w:rPr>
          <w:t xml:space="preserve">https://psyarxiv.com/rsn5y/</w:t>
        </w:r>
      </w:hyperlink>
      <w:r>
        <w:t xml:space="preserve">.</w:t>
      </w:r>
    </w:p>
    <w:bookmarkEnd w:id="805"/>
    <w:bookmarkStart w:id="806" w:name="ref-noauthor_style_2023"/>
    <w:p>
      <w:pPr>
        <w:pStyle w:val="Bibliography"/>
      </w:pPr>
      <w:r>
        <w:t xml:space="preserve">“Style Guide.”</w:t>
      </w:r>
      <w:r>
        <w:t xml:space="preserve"> </w:t>
      </w:r>
      <w:r>
        <w:t xml:space="preserve">In</w:t>
      </w:r>
      <w:r>
        <w:t xml:space="preserve"> </w:t>
      </w:r>
      <w:r>
        <w:rPr>
          <w:iCs/>
          <w:i/>
        </w:rPr>
        <w:t xml:space="preserve">Wikipedia</w:t>
      </w:r>
      <w:r>
        <w:t xml:space="preserve">, January 4, 2023.</w:t>
      </w:r>
      <w:r>
        <w:t xml:space="preserve"> </w:t>
      </w:r>
      <w:hyperlink r:id="rId374">
        <w:r>
          <w:rPr>
            <w:rStyle w:val="Hyperlink"/>
          </w:rPr>
          <w:t xml:space="preserve">https://en.wikipedia.org/w/index.php?title=Style_guide&amp;oldid=1131556370</w:t>
        </w:r>
      </w:hyperlink>
      <w:r>
        <w:t xml:space="preserve">.</w:t>
      </w:r>
    </w:p>
    <w:bookmarkEnd w:id="806"/>
    <w:bookmarkStart w:id="807" w:name="ref-noauthor_sync_nodate"/>
    <w:p>
      <w:pPr>
        <w:pStyle w:val="Bibliography"/>
      </w:pPr>
      <w:r>
        <w:t xml:space="preserve">“</w:t>
      </w:r>
      <w:r>
        <w:t xml:space="preserve">SYNC</w:t>
      </w:r>
      <w:r>
        <w:t xml:space="preserve"> </w:t>
      </w:r>
      <w:r>
        <w:t xml:space="preserve">Lab Wiki.”</w:t>
      </w:r>
      <w:r>
        <w:t xml:space="preserve"> </w:t>
      </w:r>
      <w:r>
        <w:t xml:space="preserve">Accessed January 12, 2023.</w:t>
      </w:r>
      <w:r>
        <w:t xml:space="preserve"> </w:t>
      </w:r>
      <w:hyperlink r:id="rId359">
        <w:r>
          <w:rPr>
            <w:rStyle w:val="Hyperlink"/>
          </w:rPr>
          <w:t xml:space="preserve">https://eur-synclab.github.io/</w:t>
        </w:r>
      </w:hyperlink>
      <w:r>
        <w:t xml:space="preserve">.</w:t>
      </w:r>
    </w:p>
    <w:bookmarkEnd w:id="807"/>
    <w:bookmarkStart w:id="808" w:name="ref-tenopir_data_2016-1"/>
    <w:p>
      <w:pPr>
        <w:pStyle w:val="Bibliography"/>
      </w:pPr>
      <w:r>
        <w:t xml:space="preserve">Tenopir, Carol, Suzie Allard, Priyanki Sinha, Danielle Pollock, Jess Newman, Elizabeth Dalton, Mike Frame, and Lynn Baird.</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3">
        <w:r>
          <w:rPr>
            <w:rStyle w:val="Hyperlink"/>
          </w:rPr>
          <w:t xml:space="preserve">https://doi.org/10.2218/ijdc.v11i1.389</w:t>
        </w:r>
      </w:hyperlink>
      <w:r>
        <w:t xml:space="preserve">.</w:t>
      </w:r>
    </w:p>
    <w:bookmarkEnd w:id="808"/>
    <w:bookmarkStart w:id="809" w:name="ref-tourangeau_early_2015"/>
    <w:p>
      <w:pPr>
        <w:pStyle w:val="Bibliography"/>
      </w:pPr>
      <w:r>
        <w:t xml:space="preserve">Tourangeau, Karen.</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07">
        <w:r>
          <w:rPr>
            <w:rStyle w:val="Hyperlink"/>
          </w:rPr>
          <w:t xml:space="preserve">https://nces.ed.gov/pubs2015/2015074.pdf</w:t>
        </w:r>
      </w:hyperlink>
      <w:r>
        <w:t xml:space="preserve">.</w:t>
      </w:r>
    </w:p>
    <w:bookmarkEnd w:id="809"/>
    <w:bookmarkStart w:id="810" w:name="ref-university_of_twente_how_nodate"/>
    <w:p>
      <w:pPr>
        <w:pStyle w:val="Bibliography"/>
      </w:pPr>
      <w:r>
        <w:t xml:space="preserve">Twente, University of.</w:t>
      </w:r>
      <w:r>
        <w:t xml:space="preserve"> </w:t>
      </w:r>
      <w:r>
        <w:t xml:space="preserve">“How to Estimate Research Data Management (</w:t>
      </w:r>
      <w:r>
        <w:t xml:space="preserve">RDM</w:t>
      </w:r>
      <w:r>
        <w:t xml:space="preserve">) Costs,”</w:t>
      </w:r>
      <w:r>
        <w:t xml:space="preserve"> </w:t>
      </w:r>
      <w:r>
        <w:t xml:space="preserve">n.d.</w:t>
      </w:r>
      <w:r>
        <w:t xml:space="preserve"> </w:t>
      </w:r>
      <w:hyperlink r:id="rId233">
        <w:r>
          <w:rPr>
            <w:rStyle w:val="Hyperlink"/>
          </w:rPr>
          <w:t xml:space="preserve">https://www.utwente.nl/en/service-portal/services/lisa/resources/files/library-public/dcc-rdm-costs-estimation.pdf</w:t>
        </w:r>
      </w:hyperlink>
      <w:r>
        <w:t xml:space="preserve">.</w:t>
      </w:r>
    </w:p>
    <w:bookmarkEnd w:id="810"/>
    <w:bookmarkStart w:id="811" w:name="ref-ucdavis_pmlc_nodate"/>
    <w:p>
      <w:pPr>
        <w:pStyle w:val="Bibliography"/>
      </w:pP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4">
        <w:r>
          <w:rPr>
            <w:rStyle w:val="Hyperlink"/>
          </w:rPr>
          <w:t xml:space="preserve">https://tinyurl.com/nhba9mhc</w:t>
        </w:r>
      </w:hyperlink>
      <w:r>
        <w:t xml:space="preserve">.</w:t>
      </w:r>
    </w:p>
    <w:bookmarkEnd w:id="811"/>
    <w:bookmarkStart w:id="812" w:name="X82d5668523a88e8c4ed871be1f889d37e345e30"/>
    <w:p>
      <w:pPr>
        <w:pStyle w:val="Bibliography"/>
      </w:pP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ICPSR</w:t>
      </w:r>
      <w:r>
        <w:t xml:space="preserve"> </w:t>
      </w:r>
      <w:r>
        <w:t xml:space="preserve">- Interuniversity Consortium for Political; Social Research, 2022.</w:t>
      </w:r>
      <w:r>
        <w:t xml:space="preserve"> </w:t>
      </w:r>
      <w:hyperlink r:id="rId396">
        <w:r>
          <w:rPr>
            <w:rStyle w:val="Hyperlink"/>
          </w:rPr>
          <w:t xml:space="preserve">https://doi.org/10.3886/ICPSR38290.V1</w:t>
        </w:r>
      </w:hyperlink>
      <w:r>
        <w:t xml:space="preserve">.</w:t>
      </w:r>
    </w:p>
    <w:bookmarkEnd w:id="812"/>
    <w:bookmarkStart w:id="813" w:name="ref-utrecht_university_costs_nodate"/>
    <w:p>
      <w:pPr>
        <w:pStyle w:val="Bibliography"/>
      </w:pPr>
      <w:r>
        <w:t xml:space="preserve">University, Utrecht.</w:t>
      </w:r>
      <w:r>
        <w:t xml:space="preserve"> </w:t>
      </w:r>
      <w:r>
        <w:t xml:space="preserve">“Costs of Data Management - Research Data Management Support - Utrecht University.”</w:t>
      </w:r>
      <w:r>
        <w:t xml:space="preserve"> </w:t>
      </w:r>
      <w:r>
        <w:t xml:space="preserve">Accessed October 27, 2022.</w:t>
      </w:r>
      <w:r>
        <w:t xml:space="preserve"> </w:t>
      </w:r>
      <w:hyperlink r:id="rId235">
        <w:r>
          <w:rPr>
            <w:rStyle w:val="Hyperlink"/>
          </w:rPr>
          <w:t xml:space="preserve">https://www.uu.nl/en/research/research-data-management/guides/costs-of-data-management</w:t>
        </w:r>
      </w:hyperlink>
      <w:r>
        <w:t xml:space="preserve">.</w:t>
      </w:r>
    </w:p>
    <w:bookmarkEnd w:id="813"/>
    <w:bookmarkStart w:id="814" w:name="ref-usda_data_nodate"/>
    <w:p>
      <w:pPr>
        <w:pStyle w:val="Bibliography"/>
      </w:pP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3">
        <w:r>
          <w:rPr>
            <w:rStyle w:val="Hyperlink"/>
          </w:rPr>
          <w:t xml:space="preserve">https://data.nal.usda.gov/data-dictionary-blank-template</w:t>
        </w:r>
      </w:hyperlink>
      <w:r>
        <w:t xml:space="preserve">.</w:t>
      </w:r>
    </w:p>
    <w:bookmarkEnd w:id="814"/>
    <w:bookmarkStart w:id="815" w:name="ref-usgs_tools_nodate"/>
    <w:p>
      <w:pPr>
        <w:pStyle w:val="Bibliography"/>
      </w:pPr>
      <w:r>
        <w:t xml:space="preserve">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17">
        <w:r>
          <w:rPr>
            <w:rStyle w:val="Hyperlink"/>
          </w:rPr>
          <w:t xml:space="preserve">https://www.usgs.gov/data-management/metadata-creation#tools</w:t>
        </w:r>
      </w:hyperlink>
      <w:r>
        <w:t xml:space="preserve">.</w:t>
      </w:r>
    </w:p>
    <w:bookmarkEnd w:id="815"/>
    <w:bookmarkStart w:id="816" w:name="ref-usgs_what_nodate"/>
    <w:p>
      <w:pPr>
        <w:pStyle w:val="Bibliography"/>
      </w:pPr>
      <w:r>
        <w:t xml:space="preserve">———.</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31">
        <w:r>
          <w:rPr>
            <w:rStyle w:val="Hyperlink"/>
          </w:rPr>
          <w:t xml:space="preserve">https://www.usgs.gov/faqs/what-are-differences-between-data-dataset-and-database</w:t>
        </w:r>
      </w:hyperlink>
      <w:r>
        <w:t xml:space="preserve">.</w:t>
      </w:r>
    </w:p>
    <w:bookmarkEnd w:id="816"/>
    <w:bookmarkStart w:id="817" w:name="ref-valentine_best_nodate"/>
    <w:p>
      <w:pPr>
        <w:pStyle w:val="Bibliography"/>
      </w:pPr>
      <w:r>
        <w:t xml:space="preserve">Valentine, Theresa.</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20">
        <w:r>
          <w:rPr>
            <w:rStyle w:val="Hyperlink"/>
          </w:rPr>
          <w:t xml:space="preserve">https://dataoneorg.github.io/Education/bestpractices/define-roles-and</w:t>
        </w:r>
      </w:hyperlink>
      <w:r>
        <w:t xml:space="preserve">.</w:t>
      </w:r>
    </w:p>
    <w:bookmarkEnd w:id="817"/>
    <w:bookmarkStart w:id="818" w:name="X40a4c5c6a5186ee7b74f3b9f3e7b5777cccc9d6"/>
    <w:p>
      <w:pPr>
        <w:pStyle w:val="Bibliography"/>
      </w:pPr>
      <w:r>
        <w:t xml:space="preserve">Washington, University of.</w:t>
      </w:r>
      <w:r>
        <w:t xml:space="preserve"> </w:t>
      </w:r>
      <w:r>
        <w:t xml:space="preserve">“Developing a Protocol,”</w:t>
      </w:r>
      <w:r>
        <w:t xml:space="preserve"> </w:t>
      </w:r>
      <w:r>
        <w:t xml:space="preserve">n.d.</w:t>
      </w:r>
      <w:r>
        <w:t xml:space="preserve"> </w:t>
      </w:r>
      <w:hyperlink r:id="rId390">
        <w:r>
          <w:rPr>
            <w:rStyle w:val="Hyperlink"/>
          </w:rPr>
          <w:t xml:space="preserve">https://depts.washington.edu/wildfire/resources/protckl.pdf</w:t>
        </w:r>
      </w:hyperlink>
      <w:r>
        <w:t xml:space="preserve">.</w:t>
      </w:r>
    </w:p>
    <w:bookmarkEnd w:id="818"/>
    <w:bookmarkStart w:id="819" w:name="ref-wickham_tidy_2014"/>
    <w:p>
      <w:pPr>
        <w:pStyle w:val="Bibliography"/>
      </w:pPr>
      <w:r>
        <w:t xml:space="preserve">Wickham, Hadley.</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4">
        <w:r>
          <w:rPr>
            <w:rStyle w:val="Hyperlink"/>
          </w:rPr>
          <w:t xml:space="preserve">https://doi.org/10.18637/jss.v059.i10</w:t>
        </w:r>
      </w:hyperlink>
      <w:r>
        <w:t xml:space="preserve">.</w:t>
      </w:r>
    </w:p>
    <w:bookmarkEnd w:id="819"/>
    <w:bookmarkStart w:id="820" w:name="ref-wickham_welcome_nodate"/>
    <w:p>
      <w:pPr>
        <w:pStyle w:val="Bibliography"/>
      </w:pPr>
      <w:r>
        <w:t xml:space="preserve">———.</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8">
        <w:r>
          <w:rPr>
            <w:rStyle w:val="Hyperlink"/>
          </w:rPr>
          <w:t xml:space="preserve">https://style.tidyverse.org/index.html</w:t>
        </w:r>
      </w:hyperlink>
      <w:r>
        <w:t xml:space="preserve">.</w:t>
      </w:r>
    </w:p>
    <w:bookmarkEnd w:id="820"/>
    <w:bookmarkStart w:id="821" w:name="ref-wickham_8_nodate"/>
    <w:p>
      <w:pPr>
        <w:pStyle w:val="Bibliography"/>
      </w:pPr>
      <w:r>
        <w:t xml:space="preserve">Wickham, Hadley,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87">
        <w:r>
          <w:rPr>
            <w:rStyle w:val="Hyperlink"/>
          </w:rPr>
          <w:t xml:space="preserve">https://r4ds.had.co.nz/workflow-projects.html</w:t>
        </w:r>
      </w:hyperlink>
      <w:r>
        <w:t xml:space="preserve">.</w:t>
      </w:r>
    </w:p>
    <w:bookmarkEnd w:id="821"/>
    <w:bookmarkStart w:id="822" w:name="ref-wilkinson_fair_2016"/>
    <w:p>
      <w:pPr>
        <w:pStyle w:val="Bibliography"/>
      </w:pPr>
      <w:r>
        <w:t xml:space="preserve">Wilkinson, Mark D., Michel Dumontier, IJsbrand Jan Aalbersberg, Gabrielle Appleton, Myles Axton, Arie Baak, Niklas Blomberg,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9">
        <w:r>
          <w:rPr>
            <w:rStyle w:val="Hyperlink"/>
          </w:rPr>
          <w:t xml:space="preserve">https://doi.org/10.1038/sdata.2016.18</w:t>
        </w:r>
      </w:hyperlink>
      <w:r>
        <w:t xml:space="preserve">.</w:t>
      </w:r>
    </w:p>
    <w:bookmarkEnd w:id="822"/>
    <w:bookmarkEnd w:id="823"/>
    <w:bookmarkEnd w:id="824"/>
    <w:bookmarkEnd w:id="8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Aleata Hubbard,</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footnote>
  <w:footnote w:id="24">
    <w:p>
      <w:pPr>
        <w:pStyle w:val="FootnoteText"/>
      </w:pPr>
      <w:r>
        <w:rPr>
          <w:rStyle w:val="FootnoteReference"/>
        </w:rPr>
        <w:footnoteRef/>
      </w:r>
      <w:r>
        <w:t xml:space="preserve"> </w:t>
      </w:r>
      <w:r>
        <w:t xml:space="preserve">Kristin Briney,</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 Office of Science {and} Technology Policy,</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footnote>
  <w:footnote w:id="26">
    <w:p>
      <w:pPr>
        <w:pStyle w:val="FootnoteText"/>
      </w:pPr>
      <w:r>
        <w:rPr>
          <w:rStyle w:val="FootnoteReference"/>
        </w:rPr>
        <w:footnoteRef/>
      </w:r>
      <w:r>
        <w:t xml:space="preserve"> </w:t>
      </w:r>
      <w:r>
        <w:t xml:space="preserve">John A. Borghi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footnote>
  <w:footnote w:id="28">
    <w:p>
      <w:pPr>
        <w:pStyle w:val="FootnoteText"/>
      </w:pPr>
      <w:r>
        <w:rPr>
          <w:rStyle w:val="FootnoteReference"/>
        </w:rPr>
        <w:footnoteRef/>
      </w:r>
      <w:r>
        <w:t xml:space="preserve"> </w:t>
      </w:r>
      <w:r>
        <w:t xml:space="preserve">A. Busra Ceviren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footnote>
  <w:footnote w:id="30">
    <w:p>
      <w:pPr>
        <w:pStyle w:val="FootnoteText"/>
      </w:pPr>
      <w:r>
        <w:rPr>
          <w:rStyle w:val="FootnoteReference"/>
        </w:rPr>
        <w:footnoteRef/>
      </w:r>
      <w:r>
        <w:t xml:space="preserve"> </w:t>
      </w:r>
      <w:r>
        <w:t xml:space="preserve">R. C. Neild,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 Tara Reynolds,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footnote>
  <w:footnote w:id="33">
    <w:p>
      <w:pPr>
        <w:pStyle w:val="FootnoteText"/>
      </w:pPr>
      <w:r>
        <w:rPr>
          <w:rStyle w:val="FootnoteReference"/>
        </w:rPr>
        <w:footnoteRef/>
      </w:r>
      <w:r>
        <w:t xml:space="preserve"> </w:t>
      </w:r>
      <w:r>
        <w:t xml:space="preserve">Melissa Kline,</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footnote>
  <w:footnote w:id="35">
    <w:p>
      <w:pPr>
        <w:pStyle w:val="FootnoteText"/>
      </w:pPr>
      <w:r>
        <w:rPr>
          <w:rStyle w:val="FootnoteReference"/>
        </w:rPr>
        <w:footnoteRef/>
      </w:r>
      <w:r>
        <w:t xml:space="preserve"> </w:t>
      </w:r>
      <w:r>
        <w:t xml:space="preserve">John Borghi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footnote>
  <w:footnote w:id="38">
    <w:p>
      <w:pPr>
        <w:pStyle w:val="FootnoteText"/>
      </w:pPr>
      <w:r>
        <w:rPr>
          <w:rStyle w:val="FootnoteReference"/>
        </w:rPr>
        <w:footnoteRef/>
      </w:r>
      <w:r>
        <w:t xml:space="preserve"> </w:t>
      </w:r>
      <w:r>
        <w:t xml:space="preserve">Isabel Campos-Varela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footnote>
  <w:footnote w:id="40">
    <w:p>
      <w:pPr>
        <w:pStyle w:val="FootnoteText"/>
      </w:pPr>
      <w:r>
        <w:rPr>
          <w:rStyle w:val="FootnoteReference"/>
        </w:rPr>
        <w:footnoteRef/>
      </w:r>
      <w:r>
        <w:t xml:space="preserve"> </w:t>
      </w:r>
      <w:r>
        <w:t xml:space="preserve">Lise Doucette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footnote>
  <w:footnote w:id="42">
    <w:p>
      <w:pPr>
        <w:pStyle w:val="FootnoteText"/>
      </w:pPr>
      <w:r>
        <w:rPr>
          <w:rStyle w:val="FootnoteReference"/>
        </w:rPr>
        <w:footnoteRef/>
      </w:r>
      <w:r>
        <w:t xml:space="preserve"> </w:t>
      </w:r>
      <w:r>
        <w:t xml:space="preserve">Marton Kovacs,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footnote>
  <w:footnote w:id="44">
    <w:p>
      <w:pPr>
        <w:pStyle w:val="FootnoteText"/>
      </w:pPr>
      <w:r>
        <w:rPr>
          <w:rStyle w:val="FootnoteReference"/>
        </w:rPr>
        <w:footnoteRef/>
      </w:r>
      <w:r>
        <w:t xml:space="preserve"> </w:t>
      </w:r>
      <w:r>
        <w:t xml:space="preserve">Center for Open Science,</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footnote>
  <w:footnote w:id="46">
    <w:p>
      <w:pPr>
        <w:pStyle w:val="FootnoteText"/>
      </w:pPr>
      <w:r>
        <w:rPr>
          <w:rStyle w:val="FootnoteReference"/>
        </w:rPr>
        <w:footnoteRef/>
      </w:r>
      <w:r>
        <w:t xml:space="preserve"> </w:t>
      </w:r>
      <w:r>
        <w:t xml:space="preserve">Monya Baker,</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footnote>
  <w:footnote w:id="57">
    <w:p>
      <w:pPr>
        <w:pStyle w:val="FootnoteText"/>
      </w:pPr>
      <w:r>
        <w:rPr>
          <w:rStyle w:val="FootnoteReference"/>
        </w:rPr>
        <w:footnoteRef/>
      </w:r>
      <w:r>
        <w:t xml:space="preserve"> </w:t>
      </w:r>
      <w:r>
        <w:t xml:space="preserve">Dominic Bordelon,</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footnote>
  <w:footnote w:id="59">
    <w:p>
      <w:pPr>
        <w:pStyle w:val="FootnoteText"/>
      </w:pPr>
      <w:r>
        <w:rPr>
          <w:rStyle w:val="FootnoteReference"/>
        </w:rPr>
        <w:footnoteRef/>
      </w:r>
      <w:r>
        <w:t xml:space="preserve"> </w:t>
      </w:r>
      <w:r>
        <w:t xml:space="preserve">National Endowment for the Humanities,</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footnote>
  <w:footnote w:id="62">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63">
    <w:p>
      <w:pPr>
        <w:pStyle w:val="FootnoteText"/>
      </w:pPr>
      <w:r>
        <w:rPr>
          <w:rStyle w:val="FootnoteReference"/>
        </w:rPr>
        <w:footnoteRef/>
      </w:r>
      <w:r>
        <w:t xml:space="preserve"> </w:t>
      </w: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footnote>
  <w:footnote w:id="65">
    <w:p>
      <w:pPr>
        <w:pStyle w:val="FootnoteText"/>
      </w:pPr>
      <w:r>
        <w:rPr>
          <w:rStyle w:val="FootnoteReference"/>
        </w:rPr>
        <w:footnoteRef/>
      </w:r>
      <w:r>
        <w:t xml:space="preserve"> </w:t>
      </w:r>
      <w:r>
        <w:t xml:space="preserve">Lou Burnard,</w:t>
      </w:r>
      <w:r>
        <w:t xml:space="preserve"> </w:t>
      </w:r>
      <w:r>
        <w:rPr>
          <w:iCs/>
          <w:i/>
        </w:rPr>
        <w:t xml:space="preserve">What Is the Text Encoding Initiative?: How to Add Intelligent Markup to Digital Resources</w:t>
      </w:r>
      <w:r>
        <w:t xml:space="preserve"> </w:t>
      </w:r>
      <w:r>
        <w:t xml:space="preserve">(</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footnote>
  <w:footnote w:id="67">
    <w:p>
      <w:pPr>
        <w:pStyle w:val="FootnoteText"/>
      </w:pPr>
      <w:r>
        <w:rPr>
          <w:rStyle w:val="FootnoteReference"/>
        </w:rPr>
        <w:footnoteRef/>
      </w:r>
      <w:r>
        <w:t xml:space="preserve"> </w:t>
      </w:r>
      <w:r>
        <w:t xml:space="preserve">William K. Michener,</w:t>
      </w:r>
      <w:r>
        <w:t xml:space="preserve"> </w:t>
      </w:r>
      <w:r>
        <w:t xml:space="preserve">“Ten Simple Rules for Creating a Good Data Management Plan,”</w:t>
      </w:r>
      <w:r>
        <w:t xml:space="preserve"> </w:t>
      </w:r>
      <w:r>
        <w:rPr>
          <w:iCs/>
          <w:i/>
        </w:rPr>
        <w:t xml:space="preserve">PLOS</w:t>
      </w:r>
      <w:r>
        <w:rPr>
          <w:iCs/>
          <w:i/>
        </w:rPr>
        <w:t xml:space="preserve"> </w:t>
      </w:r>
      <w:r>
        <w:rPr>
          <w:iCs/>
          <w:i/>
        </w:rPr>
        <w:t xml:space="preserve">Computational Biology</w:t>
      </w:r>
      <w:r>
        <w:t xml:space="preserve"> </w:t>
      </w:r>
      <w:r>
        <w:t xml:space="preserve">11, no. 10 (October 22, 2015): e1004525,</w:t>
      </w:r>
      <w:r>
        <w:t xml:space="preserve"> </w:t>
      </w:r>
      <w:hyperlink r:id="rId68">
        <w:r>
          <w:rPr>
            <w:rStyle w:val="Hyperlink"/>
          </w:rPr>
          <w:t xml:space="preserve">https://doi.org/10.1371/journal.pcbi.1004525</w:t>
        </w:r>
      </w:hyperlink>
      <w:r>
        <w:t xml:space="preserve">.</w:t>
      </w:r>
    </w:p>
  </w:footnote>
  <w:footnote w:id="69">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70">
    <w:p>
      <w:pPr>
        <w:pStyle w:val="FootnoteText"/>
      </w:pPr>
      <w:r>
        <w:rPr>
          <w:rStyle w:val="FootnoteReference"/>
        </w:rPr>
        <w:footnoteRef/>
      </w:r>
      <w:r>
        <w:t xml:space="preserve"> </w:t>
      </w:r>
      <w:r>
        <w:t xml:space="preserve">Institute of Education Sciences,</w:t>
      </w:r>
      <w:r>
        <w:t xml:space="preserve"> </w:t>
      </w:r>
      <w:r>
        <w:t xml:space="preserve">“Frequently Asked Questions about Providing Public Access to Data,”</w:t>
      </w:r>
      <w:r>
        <w:t xml:space="preserve"> </w:t>
      </w:r>
      <w:r>
        <w:t xml:space="preserve">accessed October 21, 2022,</w:t>
      </w:r>
      <w:r>
        <w:t xml:space="preserve"> </w:t>
      </w:r>
      <w:hyperlink r:id="rId71">
        <w:r>
          <w:rPr>
            <w:rStyle w:val="Hyperlink"/>
          </w:rPr>
          <w:t xml:space="preserve">https://ies.ed.gov/funding/datasharing_faq.asp</w:t>
        </w:r>
      </w:hyperlink>
      <w:r>
        <w:t xml:space="preserve">.</w:t>
      </w:r>
    </w:p>
  </w:footnote>
  <w:footnote w:id="72">
    <w:p>
      <w:pPr>
        <w:pStyle w:val="FootnoteText"/>
      </w:pPr>
      <w:r>
        <w:rPr>
          <w:rStyle w:val="FootnoteReference"/>
        </w:rPr>
        <w:footnoteRef/>
      </w:r>
      <w:r>
        <w:t xml:space="preserve"> </w:t>
      </w:r>
      <w:r>
        <w:t xml:space="preserve">Carol Tenopir et al.,</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3">
        <w:r>
          <w:rPr>
            <w:rStyle w:val="Hyperlink"/>
          </w:rPr>
          <w:t xml:space="preserve">https://doi.org/10.2218/ijdc.v11i1.389</w:t>
        </w:r>
      </w:hyperlink>
      <w:r>
        <w:t xml:space="preserve">.</w:t>
      </w:r>
    </w:p>
  </w:footnote>
  <w:footnote w:id="74">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7">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9">
    <w:p>
      <w:pPr>
        <w:pStyle w:val="FootnoteText"/>
      </w:pPr>
      <w:r>
        <w:rPr>
          <w:rStyle w:val="FootnoteReference"/>
        </w:rPr>
        <w:footnoteRef/>
      </w:r>
      <w:r>
        <w:t xml:space="preserve"> </w:t>
      </w:r>
      <w:r>
        <w:t xml:space="preserve">PLOS One,</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footnote>
  <w:footnote w:id="81">
    <w:p>
      <w:pPr>
        <w:pStyle w:val="FootnoteText"/>
      </w:pPr>
      <w:r>
        <w:rPr>
          <w:rStyle w:val="FootnoteReference"/>
        </w:rPr>
        <w:footnoteRef/>
      </w:r>
      <w:r>
        <w:t xml:space="preserve"> </w:t>
      </w: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2">
        <w:r>
          <w:rPr>
            <w:rStyle w:val="Hyperlink"/>
          </w:rPr>
          <w:t xml:space="preserve">https://www.psychologicalscience.org/publications/ampps</w:t>
        </w:r>
      </w:hyperlink>
      <w:r>
        <w:t xml:space="preserve">.</w:t>
      </w:r>
    </w:p>
  </w:footnote>
  <w:footnote w:id="83">
    <w:p>
      <w:pPr>
        <w:pStyle w:val="FootnoteText"/>
      </w:pPr>
      <w:r>
        <w:rPr>
          <w:rStyle w:val="FootnoteReference"/>
        </w:rPr>
        <w:footnoteRef/>
      </w:r>
      <w:r>
        <w:t xml:space="preserve"> </w:t>
      </w:r>
      <w:r>
        <w:t xml:space="preserve">Association of Academic Health Science Libraries,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4">
        <w:r>
          <w:rPr>
            <w:rStyle w:val="Hyperlink"/>
          </w:rPr>
          <w:t xml:space="preserve">https://www.aamc.org/media/62881/download?attachment</w:t>
        </w:r>
      </w:hyperlink>
      <w:r>
        <w:t xml:space="preserve">.</w:t>
      </w:r>
    </w:p>
  </w:footnote>
  <w:footnote w:id="85">
    <w:p>
      <w:pPr>
        <w:pStyle w:val="FootnoteText"/>
      </w:pPr>
      <w:r>
        <w:rPr>
          <w:rStyle w:val="FootnoteReference"/>
        </w:rPr>
        <w:footnoteRef/>
      </w:r>
      <w:r>
        <w:t xml:space="preserve"> </w:t>
      </w:r>
      <w:r>
        <w:t xml:space="preserve">Rachel Renbarger et al.,</w:t>
      </w:r>
      <w:r>
        <w:t xml:space="preserve"> </w:t>
      </w:r>
      <w:r>
        <w:t xml:space="preserve">“Champions of Transparency in Education: What Journal Reviewers Can Do to Encourage Open Science Practices,”</w:t>
      </w:r>
      <w:r>
        <w:t xml:space="preserve"> </w:t>
      </w:r>
      <w:r>
        <w:t xml:space="preserve">preprint (</w:t>
      </w:r>
      <w:r>
        <w:t xml:space="preserve">EdArXiv</w:t>
      </w:r>
      <w:r>
        <w:t xml:space="preserve">, November 15, 2022),</w:t>
      </w:r>
      <w:r>
        <w:t xml:space="preserve"> </w:t>
      </w:r>
      <w:hyperlink r:id="rId86">
        <w:r>
          <w:rPr>
            <w:rStyle w:val="Hyperlink"/>
          </w:rPr>
          <w:t xml:space="preserve">https://doi.org/10.35542/osf.io/xqfwb</w:t>
        </w:r>
      </w:hyperlink>
      <w:r>
        <w:t xml:space="preserve">.</w:t>
      </w:r>
    </w:p>
  </w:footnote>
  <w:footnote w:id="87">
    <w:p>
      <w:pPr>
        <w:pStyle w:val="FootnoteText"/>
      </w:pPr>
      <w:r>
        <w:rPr>
          <w:rStyle w:val="FootnoteReference"/>
        </w:rPr>
        <w:footnoteRef/>
      </w:r>
      <w:r>
        <w:t xml:space="preserve"> </w:t>
      </w:r>
      <w:r>
        <w:t xml:space="preserve">Jesse M. Alston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8">
        <w:r>
          <w:rPr>
            <w:rStyle w:val="Hyperlink"/>
          </w:rPr>
          <w:t xml:space="preserve">https://doi.org/10.1002/bes2.1801</w:t>
        </w:r>
      </w:hyperlink>
      <w:r>
        <w:t xml:space="preserve">.</w:t>
      </w:r>
    </w:p>
  </w:footnote>
  <w:footnote w:id="89">
    <w:p>
      <w:pPr>
        <w:pStyle w:val="FootnoteText"/>
      </w:pPr>
      <w:r>
        <w:rPr>
          <w:rStyle w:val="FootnoteReference"/>
        </w:rPr>
        <w:footnoteRef/>
      </w:r>
      <w:r>
        <w:t xml:space="preserve"> </w:t>
      </w:r>
      <w:r>
        <w:t xml:space="preserve">Alston and Rick.</w:t>
      </w:r>
    </w:p>
  </w:footnote>
  <w:footnote w:id="90">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r>
        <w:t xml:space="preserve">; Wind Cowles,</w:t>
      </w:r>
      <w:r>
        <w:t xml:space="preserve"> </w:t>
      </w:r>
      <w:r>
        <w:t xml:space="preserve">“Research Guides: Research Data Management at Princeton: Home,”</w:t>
      </w:r>
      <w:r>
        <w:t xml:space="preserve"> </w:t>
      </w:r>
      <w:r>
        <w:t xml:space="preserve">accessed September 15, 2022,</w:t>
      </w:r>
      <w:r>
        <w:t xml:space="preserve"> </w:t>
      </w:r>
      <w:hyperlink r:id="rId91">
        <w:r>
          <w:rPr>
            <w:rStyle w:val="Hyperlink"/>
          </w:rPr>
          <w:t xml:space="preserve">https://libguides.princeton.edu/c.php?g=102546&amp;p=665862</w:t>
        </w:r>
      </w:hyperlink>
      <w:r>
        <w:t xml:space="preserve">; C. Eaker,</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2">
        <w:r>
          <w:rPr>
            <w:rStyle w:val="Hyperlink"/>
          </w:rPr>
          <w:t xml:space="preserve">https://trace.tennessee.edu/cgi/viewcontent.cgi?article=1023&amp;context=utk_libpub</w:t>
        </w:r>
      </w:hyperlink>
      <w:r>
        <w:t xml:space="preserve">.</w:t>
      </w:r>
    </w:p>
  </w:footnote>
  <w:footnote w:id="94">
    <w:p>
      <w:pPr>
        <w:pStyle w:val="FootnoteText"/>
      </w:pPr>
      <w:r>
        <w:rPr>
          <w:rStyle w:val="FootnoteReference"/>
        </w:rPr>
        <w:footnoteRef/>
      </w:r>
      <w:r>
        <w:t xml:space="preserve"> </w:t>
      </w:r>
      <w:r>
        <w:t xml:space="preserve">Oliver W Butters,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footnote>
  <w:footnote w:id="96">
    <w:p>
      <w:pPr>
        <w:pStyle w:val="FootnoteText"/>
      </w:pPr>
      <w:r>
        <w:rPr>
          <w:rStyle w:val="FootnoteReference"/>
        </w:rPr>
        <w:footnoteRef/>
      </w:r>
      <w:r>
        <w:t xml:space="preserve"> </w:t>
      </w:r>
      <w:r>
        <w:t xml:space="preserve">Florian Markowetz,</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7">
        <w:r>
          <w:rPr>
            <w:rStyle w:val="Hyperlink"/>
          </w:rPr>
          <w:t xml:space="preserve">https://doi.org/10.1186/s13059-015-0850-7</w:t>
        </w:r>
      </w:hyperlink>
      <w:r>
        <w:t xml:space="preserve">.</w:t>
      </w:r>
    </w:p>
  </w:footnote>
  <w:footnote w:id="98">
    <w:p>
      <w:pPr>
        <w:pStyle w:val="FootnoteText"/>
      </w:pPr>
      <w:r>
        <w:rPr>
          <w:rStyle w:val="FootnoteReference"/>
        </w:rPr>
        <w:footnoteRef/>
      </w:r>
      <w:r>
        <w:t xml:space="preserve"> </w:t>
      </w:r>
      <w:r>
        <w:t xml:space="preserve">Borghi and Gulick,</w:t>
      </w:r>
      <w:r>
        <w:t xml:space="preserve"> </w:t>
      </w:r>
      <w:r>
        <w:t xml:space="preserve">“Data Management and Sharing”</w:t>
      </w:r>
      <w:r>
        <w:t xml:space="preserve">; Cowles,</w:t>
      </w:r>
      <w:r>
        <w:t xml:space="preserve"> </w:t>
      </w:r>
      <w:r>
        <w:t xml:space="preserve">“Research Guides.”</w:t>
      </w:r>
    </w:p>
  </w:footnote>
  <w:footnote w:id="99">
    <w:p>
      <w:pPr>
        <w:pStyle w:val="FootnoteText"/>
      </w:pPr>
      <w:r>
        <w:rPr>
          <w:rStyle w:val="FootnoteReference"/>
        </w:rPr>
        <w:footnoteRef/>
      </w:r>
      <w:r>
        <w:t xml:space="preserve"> </w:t>
      </w:r>
      <w:r>
        <w:t xml:space="preserve">Markowetz,</w:t>
      </w:r>
      <w:r>
        <w:t xml:space="preserve"> </w:t>
      </w:r>
      <w:r>
        <w:t xml:space="preserve">“Five Selfish Reasons to Work Reproducibly.”</w:t>
      </w:r>
    </w:p>
  </w:footnote>
  <w:footnote w:id="100">
    <w:p>
      <w:pPr>
        <w:pStyle w:val="FootnoteText"/>
      </w:pPr>
      <w:r>
        <w:rPr>
          <w:rStyle w:val="FootnoteReference"/>
        </w:rPr>
        <w:footnoteRef/>
      </w:r>
      <w:r>
        <w:t xml:space="preserve"> </w:t>
      </w:r>
      <w:r>
        <w:t xml:space="preserve">Kovacs, Hoekstra, and Aczel,</w:t>
      </w:r>
      <w:r>
        <w:t xml:space="preserve"> </w:t>
      </w:r>
      <w:r>
        <w:t xml:space="preserve">“The Role of Human Fallibility in Psychological Research”</w:t>
      </w:r>
      <w:r>
        <w:t xml:space="preserve">; Julia Strand,</w:t>
      </w:r>
      <w:r>
        <w:t xml:space="preserve"> </w:t>
      </w:r>
      <w:r>
        <w:t xml:space="preserve">“Error Tight: Exercises for Lab Groups to Prevent Research Mistakes,”</w:t>
      </w:r>
      <w:r>
        <w:t xml:space="preserve"> </w:t>
      </w:r>
      <w:r>
        <w:t xml:space="preserve">accessed October 31, 2022,</w:t>
      </w:r>
      <w:r>
        <w:t xml:space="preserve"> </w:t>
      </w:r>
      <w:hyperlink r:id="rId101">
        <w:r>
          <w:rPr>
            <w:rStyle w:val="Hyperlink"/>
          </w:rPr>
          <w:t xml:space="preserve">https://psyarxiv.com/rsn5y/</w:t>
        </w:r>
      </w:hyperlink>
      <w:r>
        <w:t xml:space="preserve">.</w:t>
      </w:r>
    </w:p>
  </w:footnote>
  <w:footnote w:id="102">
    <w:p>
      <w:pPr>
        <w:pStyle w:val="FootnoteText"/>
      </w:pPr>
      <w:r>
        <w:rPr>
          <w:rStyle w:val="FootnoteReference"/>
        </w:rPr>
        <w:footnoteRef/>
      </w:r>
      <w:r>
        <w:t xml:space="preserve"> </w:t>
      </w:r>
      <w:r>
        <w:t xml:space="preserve">“Retraction Watch,”</w:t>
      </w:r>
      <w:r>
        <w:t xml:space="preserve"> </w:t>
      </w:r>
      <w:r>
        <w:t xml:space="preserve">accessed January 9, 2023,</w:t>
      </w:r>
      <w:r>
        <w:t xml:space="preserve"> </w:t>
      </w:r>
      <w:hyperlink r:id="rId103">
        <w:r>
          <w:rPr>
            <w:rStyle w:val="Hyperlink"/>
          </w:rPr>
          <w:t xml:space="preserve">https://retractionwatch.com/</w:t>
        </w:r>
      </w:hyperlink>
      <w:r>
        <w:t xml:space="preserve">.</w:t>
      </w:r>
    </w:p>
  </w:footnote>
  <w:footnote w:id="106">
    <w:p>
      <w:pPr>
        <w:pStyle w:val="FootnoteText"/>
      </w:pPr>
      <w:r>
        <w:rPr>
          <w:rStyle w:val="FootnoteReference"/>
        </w:rPr>
        <w:footnoteRef/>
      </w:r>
      <w:r>
        <w:t xml:space="preserve"> </w:t>
      </w: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7">
        <w:r>
          <w:rPr>
            <w:rStyle w:val="Hyperlink"/>
          </w:rPr>
          <w:t xml:space="preserve">https://www.go-fair.org/fair-principles/</w:t>
        </w:r>
      </w:hyperlink>
      <w:r>
        <w:t xml:space="preserve">.</w:t>
      </w:r>
    </w:p>
  </w:footnote>
  <w:footnote w:id="108">
    <w:p>
      <w:pPr>
        <w:pStyle w:val="FootnoteText"/>
      </w:pPr>
      <w:r>
        <w:rPr>
          <w:rStyle w:val="FootnoteReference"/>
        </w:rPr>
        <w:footnoteRef/>
      </w:r>
      <w:r>
        <w:t xml:space="preserve"> </w:t>
      </w:r>
      <w:r>
        <w:t xml:space="preserve">Mark D. Wilkinson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9">
        <w:r>
          <w:rPr>
            <w:rStyle w:val="Hyperlink"/>
          </w:rPr>
          <w:t xml:space="preserve">https://doi.org/10.1038/sdata.2016.18</w:t>
        </w:r>
      </w:hyperlink>
      <w:r>
        <w:t xml:space="preserve">.</w:t>
      </w:r>
    </w:p>
  </w:footnote>
  <w:footnote w:id="111">
    <w:p>
      <w:pPr>
        <w:pStyle w:val="FootnoteText"/>
      </w:pPr>
      <w:r>
        <w:rPr>
          <w:rStyle w:val="FootnoteReference"/>
        </w:rPr>
        <w:footnoteRef/>
      </w:r>
      <w:r>
        <w:t xml:space="preserve"> </w:t>
      </w:r>
      <w:r>
        <w:t xml:space="preserve">“Standards for Excellence in Education Research - Standards for Excellence in Education Research,”</w:t>
      </w:r>
      <w:r>
        <w:t xml:space="preserve"> </w:t>
      </w:r>
      <w:r>
        <w:t xml:space="preserve">accessed October 21, 2022,</w:t>
      </w:r>
      <w:r>
        <w:t xml:space="preserve"> </w:t>
      </w:r>
      <w:hyperlink r:id="rId112">
        <w:r>
          <w:rPr>
            <w:rStyle w:val="Hyperlink"/>
          </w:rPr>
          <w:t xml:space="preserve">https://ies.ed.gov/seer/index.asp</w:t>
        </w:r>
      </w:hyperlink>
      <w:r>
        <w:t xml:space="preserve">.</w:t>
      </w:r>
    </w:p>
  </w:footnote>
  <w:footnote w:id="114">
    <w:p>
      <w:pPr>
        <w:pStyle w:val="FootnoteText"/>
      </w:pPr>
      <w:r>
        <w:rPr>
          <w:rStyle w:val="FootnoteReference"/>
        </w:rPr>
        <w:footnoteRef/>
      </w:r>
      <w:r>
        <w:t xml:space="preserve"> </w:t>
      </w:r>
      <w:r>
        <w:t xml:space="preserve">Wilhelmina van Dijk,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5">
        <w:r>
          <w:rPr>
            <w:rStyle w:val="Hyperlink"/>
          </w:rPr>
          <w:t xml:space="preserve">https://doi.org/10.1177/0022219420945267</w:t>
        </w:r>
      </w:hyperlink>
      <w:r>
        <w:t xml:space="preserve">.</w:t>
      </w:r>
    </w:p>
  </w:footnote>
  <w:footnote w:id="116">
    <w:p>
      <w:pPr>
        <w:pStyle w:val="FootnoteText"/>
      </w:pPr>
      <w:r>
        <w:rPr>
          <w:rStyle w:val="FootnoteReference"/>
        </w:rPr>
        <w:footnoteRef/>
      </w:r>
      <w:r>
        <w:t xml:space="preserve"> </w:t>
      </w:r>
      <w:r>
        <w:t xml:space="preserve">Center for Open Science,</w:t>
      </w:r>
      <w:r>
        <w:t xml:space="preserve"> </w:t>
      </w:r>
      <w:r>
        <w:t xml:space="preserve">“Center for Open Science,”</w:t>
      </w:r>
      <w:r>
        <w:t xml:space="preserve"> </w:t>
      </w:r>
      <w:r>
        <w:t xml:space="preserve">accessed October 21, 2022,</w:t>
      </w:r>
      <w:r>
        <w:t xml:space="preserve"> </w:t>
      </w:r>
      <w:hyperlink r:id="rId117">
        <w:r>
          <w:rPr>
            <w:rStyle w:val="Hyperlink"/>
          </w:rPr>
          <w:t xml:space="preserve">https://www.cos.io</w:t>
        </w:r>
      </w:hyperlink>
      <w:r>
        <w:t xml:space="preserve">.</w:t>
      </w:r>
    </w:p>
  </w:footnote>
  <w:footnote w:id="118">
    <w:p>
      <w:pPr>
        <w:pStyle w:val="FootnoteText"/>
      </w:pPr>
      <w:r>
        <w:rPr>
          <w:rStyle w:val="FootnoteReference"/>
        </w:rPr>
        <w:footnoteRef/>
      </w:r>
      <w:r>
        <w:t xml:space="preserve"> </w:t>
      </w:r>
      <w:r>
        <w:t xml:space="preserve">Erin D. Foster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9">
        <w:r>
          <w:rPr>
            <w:rStyle w:val="Hyperlink"/>
          </w:rPr>
          <w:t xml:space="preserve">https://doi.org/10.5195/jmla.2017.88</w:t>
        </w:r>
      </w:hyperlink>
      <w:r>
        <w:t xml:space="preserve">.</w:t>
      </w:r>
    </w:p>
  </w:footnote>
  <w:footnote w:id="120">
    <w:p>
      <w:pPr>
        <w:pStyle w:val="FootnoteText"/>
      </w:pPr>
      <w:r>
        <w:rPr>
          <w:rStyle w:val="FootnoteReference"/>
        </w:rPr>
        <w:footnoteRef/>
      </w:r>
      <w:r>
        <w:t xml:space="preserve"> </w:t>
      </w:r>
      <w:r>
        <w:t xml:space="preserve">Institute of Education Sciences,</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21">
        <w:r>
          <w:rPr>
            <w:rStyle w:val="Hyperlink"/>
          </w:rPr>
          <w:t xml:space="preserve">https://ies.ed.gov/funding/23rfas.asp</w:t>
        </w:r>
      </w:hyperlink>
      <w:r>
        <w:t xml:space="preserve">.</w:t>
      </w:r>
    </w:p>
  </w:footnote>
  <w:footnote w:id="130">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31">
        <w:r>
          <w:rPr>
            <w:rStyle w:val="Hyperlink"/>
          </w:rPr>
          <w:t xml:space="preserve">https://www.usgs.gov/faqs/what-are-differences-between-data-dataset-and-database</w:t>
        </w:r>
      </w:hyperlink>
      <w:r>
        <w:t xml:space="preserve">.</w:t>
      </w:r>
    </w:p>
  </w:footnote>
  <w:footnote w:id="142">
    <w:p>
      <w:pPr>
        <w:pStyle w:val="FootnoteText"/>
      </w:pPr>
      <w:r>
        <w:rPr>
          <w:rStyle w:val="FootnoteReference"/>
        </w:rPr>
        <w:footnoteRef/>
      </w:r>
      <w:r>
        <w:t xml:space="preserve"> </w:t>
      </w:r>
      <w:r>
        <w:t xml:space="preserve">Karl W. Broman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3">
        <w:r>
          <w:rPr>
            <w:rStyle w:val="Hyperlink"/>
          </w:rPr>
          <w:t xml:space="preserve">https://doi.org/10.1080/00031305.2017.1375989</w:t>
        </w:r>
      </w:hyperlink>
      <w:r>
        <w:t xml:space="preserve">; Hadley Wickham,</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4">
        <w:r>
          <w:rPr>
            <w:rStyle w:val="Hyperlink"/>
          </w:rPr>
          <w:t xml:space="preserve">https://doi.org/10.18637/jss.v059.i10</w:t>
        </w:r>
      </w:hyperlink>
      <w:r>
        <w:t xml:space="preserve">.</w:t>
      </w:r>
    </w:p>
  </w:footnote>
  <w:footnote w:id="164">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p>
  </w:footnote>
  <w:footnote w:id="181">
    <w:p>
      <w:pPr>
        <w:pStyle w:val="FootnoteText"/>
      </w:pPr>
      <w:r>
        <w:rPr>
          <w:rStyle w:val="FootnoteReference"/>
        </w:rPr>
        <w:footnoteRef/>
      </w:r>
      <w:r>
        <w:t xml:space="preserve"> </w:t>
      </w:r>
      <w:r>
        <w:t xml:space="preserve">Karen Grace-Martin,</w:t>
      </w:r>
      <w:r>
        <w:t xml:space="preserve"> </w:t>
      </w:r>
      <w:r>
        <w:t xml:space="preserve">“The Wide and Long Data Format for Repeated Measures Data. The Analysis Factor,”</w:t>
      </w:r>
      <w:r>
        <w:t xml:space="preserve"> </w:t>
      </w:r>
      <w:r>
        <w:t xml:space="preserve">October 4, 2013,</w:t>
      </w:r>
      <w:r>
        <w:t xml:space="preserve"> </w:t>
      </w:r>
      <w:hyperlink r:id="rId182">
        <w:r>
          <w:rPr>
            <w:rStyle w:val="Hyperlink"/>
          </w:rPr>
          <w:t xml:space="preserve">https://www.theanalysisfactor.com/wide-and-long-data/</w:t>
        </w:r>
      </w:hyperlink>
      <w:r>
        <w:t xml:space="preserve">.</w:t>
      </w:r>
    </w:p>
  </w:footnote>
  <w:footnote w:id="190">
    <w:p>
      <w:pPr>
        <w:pStyle w:val="FootnoteText"/>
      </w:pPr>
      <w:r>
        <w:rPr>
          <w:rStyle w:val="FootnoteReference"/>
        </w:rPr>
        <w:footnoteRef/>
      </w:r>
      <w:r>
        <w:t xml:space="preserve"> </w:t>
      </w:r>
      <w:r>
        <w:t xml:space="preserve">The White House,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1">
        <w:r>
          <w:rPr>
            <w:rStyle w:val="Hyperlink"/>
          </w:rPr>
          <w:t xml:space="preserve">https://obamawhitehouse.archives.gov/the-press-office/2013/05/09/executive-order-making-open-and-machine-readable-new-default-government-</w:t>
        </w:r>
      </w:hyperlink>
      <w:r>
        <w:t xml:space="preserve">.</w:t>
      </w:r>
    </w:p>
  </w:footnote>
  <w:footnote w:id="192">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193">
    <w:p>
      <w:pPr>
        <w:pStyle w:val="FootnoteText"/>
      </w:pPr>
      <w:r>
        <w:rPr>
          <w:rStyle w:val="FootnoteReference"/>
        </w:rPr>
        <w:footnoteRef/>
      </w:r>
      <w:r>
        <w:t xml:space="preserve"> </w:t>
      </w:r>
      <w:r>
        <w:t xml:space="preserve">National Institutes of Health,</w:t>
      </w:r>
      <w:r>
        <w:t xml:space="preserve"> </w:t>
      </w:r>
      <w:r>
        <w:t xml:space="preserve">“Writing a Data Management &amp; Sharing Plan,”</w:t>
      </w:r>
      <w:r>
        <w:t xml:space="preserve"> </w:t>
      </w:r>
      <w:r>
        <w:t xml:space="preserve">accessed October 27, 2022,</w:t>
      </w:r>
      <w:r>
        <w:t xml:space="preserve"> </w:t>
      </w:r>
      <w:hyperlink r:id="rId194">
        <w:r>
          <w:rPr>
            <w:rStyle w:val="Hyperlink"/>
          </w:rPr>
          <w:t xml:space="preserve">https://sharing.nih.gov/data-management-and-sharing-policy/planning-and-budgeting-DMS/writing-a-data-management-and-sharing-plan</w:t>
        </w:r>
      </w:hyperlink>
      <w:r>
        <w:t xml:space="preserve">.</w:t>
      </w:r>
    </w:p>
  </w:footnote>
  <w:footnote w:id="195">
    <w:p>
      <w:pPr>
        <w:pStyle w:val="FootnoteText"/>
      </w:pPr>
      <w:r>
        <w:rPr>
          <w:rStyle w:val="FootnoteReference"/>
        </w:rPr>
        <w:footnoteRef/>
      </w:r>
      <w:r>
        <w:t xml:space="preserve"> </w:t>
      </w:r>
      <w:r>
        <w:t xml:space="preserve">Center for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6">
        <w:r>
          <w:rPr>
            <w:rStyle w:val="Hyperlink"/>
          </w:rPr>
          <w:t xml:space="preserve">https://help.osf.io/article/144-creating-a-data-management-plan-dmp-document</w:t>
        </w:r>
      </w:hyperlink>
      <w:r>
        <w:t xml:space="preserve">.</w:t>
      </w:r>
    </w:p>
  </w:footnote>
  <w:footnote w:id="199">
    <w:p>
      <w:pPr>
        <w:pStyle w:val="FootnoteText"/>
      </w:pPr>
      <w:r>
        <w:rPr>
          <w:rStyle w:val="FootnoteReference"/>
        </w:rPr>
        <w:footnoteRef/>
      </w:r>
      <w:r>
        <w:t xml:space="preserve"> </w:t>
      </w:r>
      <w:r>
        <w:t xml:space="preserve">Sara Gonzales,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200">
        <w:r>
          <w:rPr>
            <w:rStyle w:val="Hyperlink"/>
          </w:rPr>
          <w:t xml:space="preserve">https://doi.org/10.1371/journal.pcbi.1010397</w:t>
        </w:r>
      </w:hyperlink>
      <w:r>
        <w:t xml:space="preserve">; ICPSR,</w:t>
      </w:r>
      <w:r>
        <w:t xml:space="preserve"> </w:t>
      </w:r>
      <w:r>
        <w:t xml:space="preserve">“Guide to Social Science Data Preparation and Archiving: 6th Ed.”</w:t>
      </w:r>
      <w:r>
        <w:t xml:space="preserve"> </w:t>
      </w:r>
      <w:r>
        <w:t xml:space="preserve">accessed January 9, 2023,</w:t>
      </w:r>
      <w:r>
        <w:t xml:space="preserve"> </w:t>
      </w:r>
      <w:hyperlink r:id="rId201">
        <w:r>
          <w:rPr>
            <w:rStyle w:val="Hyperlink"/>
          </w:rPr>
          <w:t xml:space="preserve">https://www.icpsr.umich.edu/web/pages/deposit/guide/</w:t>
        </w:r>
      </w:hyperlink>
      <w:r>
        <w:t xml:space="preserve">;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Michener,</w:t>
      </w:r>
      <w:r>
        <w:t xml:space="preserve"> </w:t>
      </w:r>
      <w:r>
        <w:t xml:space="preserve">“Ten Simple Rules for Creating a Good Data Management Plan.”</w:t>
      </w:r>
    </w:p>
  </w:footnote>
  <w:footnote w:id="202">
    <w:p>
      <w:pPr>
        <w:pStyle w:val="FootnoteText"/>
      </w:pPr>
      <w:r>
        <w:rPr>
          <w:rStyle w:val="FootnoteReference"/>
        </w:rPr>
        <w:footnoteRef/>
      </w:r>
      <w:r>
        <w:t xml:space="preserve"> </w:t>
      </w:r>
      <w:r>
        <w:t xml:space="preserve">Institute of Education Sciences,</w:t>
      </w:r>
      <w:r>
        <w:t xml:space="preserve"> </w:t>
      </w:r>
      <w:r>
        <w:t xml:space="preserve">“Data Sharing,”</w:t>
      </w:r>
      <w:r>
        <w:t xml:space="preserve"> </w:t>
      </w:r>
      <w:r>
        <w:t xml:space="preserve">accessed October 27, 2022,</w:t>
      </w:r>
      <w:r>
        <w:t xml:space="preserve"> </w:t>
      </w:r>
      <w:hyperlink r:id="rId203">
        <w:r>
          <w:rPr>
            <w:rStyle w:val="Hyperlink"/>
          </w:rPr>
          <w:t xml:space="preserve">https://ies.ed.gov/funding/datasharing_implementation.asp</w:t>
        </w:r>
      </w:hyperlink>
      <w:r>
        <w:t xml:space="preserve">.</w:t>
      </w:r>
    </w:p>
  </w:footnote>
  <w:footnote w:id="204">
    <w:p>
      <w:pPr>
        <w:pStyle w:val="FootnoteText"/>
      </w:pPr>
      <w:r>
        <w:rPr>
          <w:rStyle w:val="FootnoteReference"/>
        </w:rPr>
        <w:footnoteRef/>
      </w:r>
      <w:r>
        <w:t xml:space="preserve"> </w:t>
      </w:r>
      <w:r>
        <w:t xml:space="preserve">Health,</w:t>
      </w:r>
      <w:r>
        <w:t xml:space="preserve"> </w:t>
      </w:r>
      <w:r>
        <w:t xml:space="preserve">“Writing a Data Management &amp; Sharing Plan.”</w:t>
      </w:r>
    </w:p>
  </w:footnote>
  <w:footnote w:id="205">
    <w:p>
      <w:pPr>
        <w:pStyle w:val="FootnoteText"/>
      </w:pPr>
      <w:r>
        <w:rPr>
          <w:rStyle w:val="FootnoteReference"/>
        </w:rPr>
        <w:footnoteRef/>
      </w:r>
      <w:r>
        <w:t xml:space="preserve"> </w:t>
      </w:r>
      <w:r>
        <w:t xml:space="preserve">National Institute of Justice,</w:t>
      </w:r>
      <w:r>
        <w:t xml:space="preserve"> </w:t>
      </w:r>
      <w:r>
        <w:t xml:space="preserve">“Data Archiving. National Institute of Justice,”</w:t>
      </w:r>
      <w:r>
        <w:t xml:space="preserve"> </w:t>
      </w:r>
      <w:r>
        <w:t xml:space="preserve">accessed October 27, 2022,</w:t>
      </w:r>
      <w:r>
        <w:t xml:space="preserve"> </w:t>
      </w:r>
      <w:hyperlink r:id="rId206">
        <w:r>
          <w:rPr>
            <w:rStyle w:val="Hyperlink"/>
          </w:rPr>
          <w:t xml:space="preserve">https://nij.ojp.gov/funding/data-archiving</w:t>
        </w:r>
      </w:hyperlink>
      <w:r>
        <w:t xml:space="preserve">.</w:t>
      </w:r>
    </w:p>
  </w:footnote>
  <w:footnote w:id="207">
    <w:p>
      <w:pPr>
        <w:pStyle w:val="FootnoteText"/>
      </w:pPr>
      <w:r>
        <w:rPr>
          <w:rStyle w:val="FootnoteReference"/>
        </w:rPr>
        <w:footnoteRef/>
      </w:r>
      <w:r>
        <w:t xml:space="preserve"> </w:t>
      </w:r>
      <w:r>
        <w:t xml:space="preserve">National Science Foundation,</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8">
        <w:r>
          <w:rPr>
            <w:rStyle w:val="Hyperlink"/>
          </w:rPr>
          <w:t xml:space="preserve">https://www.nsf.gov/bfa/dias/policy/dmpdocs/ehr.pdf</w:t>
        </w:r>
      </w:hyperlink>
      <w:r>
        <w:t xml:space="preserve">.</w:t>
      </w:r>
    </w:p>
  </w:footnote>
  <w:footnote w:id="211">
    <w:p>
      <w:pPr>
        <w:pStyle w:val="FootnoteText"/>
      </w:pPr>
      <w:r>
        <w:rPr>
          <w:rStyle w:val="FootnoteReference"/>
        </w:rPr>
        <w:footnoteRef/>
      </w:r>
      <w:r>
        <w:t xml:space="preserve"> </w:t>
      </w: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2">
        <w:r>
          <w:rPr>
            <w:rStyle w:val="Hyperlink"/>
          </w:rPr>
          <w:t xml:space="preserve">https://dmptool.org/public_templates?page=1&amp;search=&amp;sort_direction=asc&amp;sort_field=templates.title</w:t>
        </w:r>
      </w:hyperlink>
      <w:r>
        <w:t xml:space="preserve">.</w:t>
      </w:r>
    </w:p>
  </w:footnote>
  <w:footnote w:id="213">
    <w:p>
      <w:pPr>
        <w:pStyle w:val="FootnoteText"/>
      </w:pPr>
      <w:r>
        <w:rPr>
          <w:rStyle w:val="FootnoteReference"/>
        </w:rPr>
        <w:footnoteRef/>
      </w:r>
      <w:r>
        <w:t xml:space="preserve"> </w:t>
      </w:r>
      <w:r>
        <w:t xml:space="preserve">Sara Hart,</w:t>
      </w:r>
      <w:r>
        <w:t xml:space="preserve"> </w:t>
      </w:r>
      <w:r>
        <w:t xml:space="preserve">“Example of a Data Management Plan”</w:t>
      </w:r>
      <w:r>
        <w:t xml:space="preserve"> </w:t>
      </w:r>
      <w:r>
        <w:t xml:space="preserve">(figshare, November 11, 2020),</w:t>
      </w:r>
      <w:r>
        <w:t xml:space="preserve"> </w:t>
      </w:r>
      <w:hyperlink r:id="rId214">
        <w:r>
          <w:rPr>
            <w:rStyle w:val="Hyperlink"/>
          </w:rPr>
          <w:t xml:space="preserve">https://doi.org/10.6084/m9.figshare.13218743.v1</w:t>
        </w:r>
      </w:hyperlink>
      <w:r>
        <w:t xml:space="preserve">.</w:t>
      </w:r>
    </w:p>
  </w:footnote>
  <w:footnote w:id="215">
    <w:p>
      <w:pPr>
        <w:pStyle w:val="FootnoteText"/>
      </w:pPr>
      <w:r>
        <w:rPr>
          <w:rStyle w:val="FootnoteReference"/>
        </w:rPr>
        <w:footnoteRef/>
      </w:r>
      <w:r>
        <w:t xml:space="preserve"> </w:t>
      </w:r>
      <w:r>
        <w:t xml:space="preserve">University of Minnesota Libraries,</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6">
        <w:r>
          <w:rPr>
            <w:rStyle w:val="Hyperlink"/>
          </w:rPr>
          <w:t xml:space="preserve">https://www.lib.umn.edu/services/data/dmp-examples</w:t>
        </w:r>
      </w:hyperlink>
      <w:r>
        <w:t xml:space="preserve">.</w:t>
      </w:r>
    </w:p>
  </w:footnote>
  <w:footnote w:id="217">
    <w:p>
      <w:pPr>
        <w:pStyle w:val="FootnoteText"/>
      </w:pPr>
      <w:r>
        <w:rPr>
          <w:rStyle w:val="FootnoteReference"/>
        </w:rPr>
        <w:footnoteRef/>
      </w:r>
      <w:r>
        <w:t xml:space="preserve"> </w:t>
      </w:r>
      <w:r>
        <w:t xml:space="preserve">National Institutes of Health,</w:t>
      </w:r>
      <w:r>
        <w:t xml:space="preserve"> </w:t>
      </w:r>
      <w:r>
        <w:t xml:space="preserve">“</w:t>
      </w:r>
      <w:r>
        <w:t xml:space="preserve">NIH</w:t>
      </w:r>
      <w:r>
        <w:t xml:space="preserve"> </w:t>
      </w:r>
      <w:r>
        <w:t xml:space="preserve">Sample Data Management and Sharing Plan: Human Survey Data,”</w:t>
      </w:r>
      <w:r>
        <w:t xml:space="preserve"> </w:t>
      </w:r>
      <w:r>
        <w:t xml:space="preserve">July 2022,</w:t>
      </w:r>
      <w:r>
        <w:t xml:space="preserve"> </w:t>
      </w:r>
      <w:hyperlink r:id="rId218">
        <w:r>
          <w:rPr>
            <w:rStyle w:val="Hyperlink"/>
          </w:rPr>
          <w:t xml:space="preserve">https://www.nichd.nih.gov/sites/default/files/inline-files/Example_DMS_Plan-Human-Survey-NIH_Format_Page_V2.pdf</w:t>
        </w:r>
      </w:hyperlink>
      <w:r>
        <w:t xml:space="preserve">.</w:t>
      </w:r>
    </w:p>
  </w:footnote>
  <w:footnote w:id="219">
    <w:p>
      <w:pPr>
        <w:pStyle w:val="FootnoteText"/>
      </w:pPr>
      <w:r>
        <w:rPr>
          <w:rStyle w:val="FootnoteReference"/>
        </w:rPr>
        <w:footnoteRef/>
      </w:r>
      <w:r>
        <w:t xml:space="preserve"> </w:t>
      </w:r>
      <w:r>
        <w:t xml:space="preserve">ICPSR,</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20">
        <w:r>
          <w:rPr>
            <w:rStyle w:val="Hyperlink"/>
          </w:rPr>
          <w:t xml:space="preserve">https://www.icpsr.umich.edu/files/ICPSR/nih/FINAL_ICPSR-NIH-DMS-Plan-Template_2023.docx</w:t>
        </w:r>
      </w:hyperlink>
      <w:r>
        <w:t xml:space="preserve">.</w:t>
      </w:r>
    </w:p>
  </w:footnote>
  <w:footnote w:id="221">
    <w:p>
      <w:pPr>
        <w:pStyle w:val="FootnoteText"/>
      </w:pPr>
      <w:r>
        <w:rPr>
          <w:rStyle w:val="FootnoteReference"/>
        </w:rPr>
        <w:footnoteRef/>
      </w:r>
      <w:r>
        <w:t xml:space="preserve"> </w:t>
      </w:r>
      <w:r>
        <w:t xml:space="preserve">Figshare,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22">
        <w:r>
          <w:rPr>
            <w:rStyle w:val="Hyperlink"/>
          </w:rPr>
          <w:t xml:space="preserve">https://help.figshare.com/article/how-to-write-a-data-management-plan-dmp-and-include-figshare-in-your-data-sharing-plans</w:t>
        </w:r>
      </w:hyperlink>
      <w:r>
        <w:t xml:space="preserve">.</w:t>
      </w:r>
    </w:p>
  </w:footnote>
  <w:footnote w:id="224">
    <w:p>
      <w:pPr>
        <w:pStyle w:val="FootnoteText"/>
      </w:pPr>
      <w:r>
        <w:rPr>
          <w:rStyle w:val="FootnoteReference"/>
        </w:rPr>
        <w:footnoteRef/>
      </w:r>
      <w:r>
        <w:t xml:space="preserve"> </w:t>
      </w:r>
      <w:r>
        <w:t xml:space="preserve">UK Data Service,</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5">
        <w:r>
          <w:rPr>
            <w:rStyle w:val="Hyperlink"/>
          </w:rPr>
          <w:t xml:space="preserve">https://ukdataservice.ac.uk/learning-hub/research-data-management/plan-to-share/costing/</w:t>
        </w:r>
      </w:hyperlink>
      <w:r>
        <w:t xml:space="preserve">.</w:t>
      </w:r>
    </w:p>
  </w:footnote>
  <w:footnote w:id="226">
    <w:p>
      <w:pPr>
        <w:pStyle w:val="FootnoteText"/>
      </w:pPr>
      <w:r>
        <w:rPr>
          <w:rStyle w:val="FootnoteReference"/>
        </w:rPr>
        <w:footnoteRef/>
      </w:r>
      <w:r>
        <w:t xml:space="preserve"> </w:t>
      </w:r>
      <w:r>
        <w:t xml:space="preserve">Samuel J. Wood Library,</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7">
        <w:r>
          <w:rPr>
            <w:rStyle w:val="Hyperlink"/>
          </w:rPr>
          <w:t xml:space="preserve">https://library.weill.cornell.edu/research-support/research-data-management-retention-and-sharing</w:t>
        </w:r>
      </w:hyperlink>
      <w:r>
        <w:t xml:space="preserve">.</w:t>
      </w:r>
    </w:p>
  </w:footnote>
  <w:footnote w:id="228">
    <w:p>
      <w:pPr>
        <w:pStyle w:val="FootnoteText"/>
      </w:pPr>
      <w:r>
        <w:rPr>
          <w:rStyle w:val="FootnoteReference"/>
        </w:rPr>
        <w:footnoteRef/>
      </w:r>
      <w:r>
        <w:t xml:space="preserve"> </w:t>
      </w:r>
      <w:r>
        <w:t xml:space="preserve">National Institutes of Health,</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9">
        <w:r>
          <w:rPr>
            <w:rStyle w:val="Hyperlink"/>
          </w:rPr>
          <w:t xml:space="preserve">https://sharing.nih.gov/data-management-and-sharing-policy/planning-and-budgeting-for-data-management-and-sharing/budgeting-for-data-management-sharing#after</w:t>
        </w:r>
      </w:hyperlink>
      <w:r>
        <w:t xml:space="preserve">.</w:t>
      </w:r>
    </w:p>
  </w:footnote>
  <w:footnote w:id="230">
    <w:p>
      <w:pPr>
        <w:pStyle w:val="FootnoteText"/>
      </w:pPr>
      <w:r>
        <w:rPr>
          <w:rStyle w:val="FootnoteReference"/>
        </w:rPr>
        <w:footnoteRef/>
      </w:r>
      <w:r>
        <w:t xml:space="preserve"> </w:t>
      </w:r>
      <w:r>
        <w:t xml:space="preserve">UK Data Service,</w:t>
      </w:r>
      <w:r>
        <w:t xml:space="preserve"> </w:t>
      </w:r>
      <w:r>
        <w:t xml:space="preserve">“Data Management Costing Tool and Checklist,”</w:t>
      </w:r>
      <w:r>
        <w:t xml:space="preserve"> </w:t>
      </w:r>
      <w:r>
        <w:t xml:space="preserve">2022,</w:t>
      </w:r>
      <w:r>
        <w:t xml:space="preserve"> </w:t>
      </w:r>
      <w:hyperlink r:id="rId231">
        <w:r>
          <w:rPr>
            <w:rStyle w:val="Hyperlink"/>
          </w:rPr>
          <w:t xml:space="preserve">https://ukdataservice.ac.uk//app/uploads/costingtool.pdf</w:t>
        </w:r>
      </w:hyperlink>
      <w:r>
        <w:t xml:space="preserve">.</w:t>
      </w:r>
    </w:p>
  </w:footnote>
  <w:footnote w:id="232">
    <w:p>
      <w:pPr>
        <w:pStyle w:val="FootnoteText"/>
      </w:pPr>
      <w:r>
        <w:rPr>
          <w:rStyle w:val="FootnoteReference"/>
        </w:rPr>
        <w:footnoteRef/>
      </w:r>
      <w:r>
        <w:t xml:space="preserve"> </w:t>
      </w:r>
      <w:r>
        <w:t xml:space="preserve">University of Twente,</w:t>
      </w:r>
      <w:r>
        <w:t xml:space="preserve"> </w:t>
      </w:r>
      <w:r>
        <w:t xml:space="preserve">“How to Estimate Research Data Management (</w:t>
      </w:r>
      <w:r>
        <w:t xml:space="preserve">RDM</w:t>
      </w:r>
      <w:r>
        <w:t xml:space="preserve">) Costs,”</w:t>
      </w:r>
      <w:r>
        <w:t xml:space="preserve"> </w:t>
      </w:r>
      <w:r>
        <w:t xml:space="preserve">n.d.,</w:t>
      </w:r>
      <w:r>
        <w:t xml:space="preserve"> </w:t>
      </w:r>
      <w:hyperlink r:id="rId233">
        <w:r>
          <w:rPr>
            <w:rStyle w:val="Hyperlink"/>
          </w:rPr>
          <w:t xml:space="preserve">https://www.utwente.nl/en/service-portal/services/lisa/resources/files/library-public/dcc-rdm-costs-estimation.pdf</w:t>
        </w:r>
      </w:hyperlink>
      <w:r>
        <w:t xml:space="preserve">.</w:t>
      </w:r>
    </w:p>
  </w:footnote>
  <w:footnote w:id="234">
    <w:p>
      <w:pPr>
        <w:pStyle w:val="FootnoteText"/>
      </w:pPr>
      <w:r>
        <w:rPr>
          <w:rStyle w:val="FootnoteReference"/>
        </w:rPr>
        <w:footnoteRef/>
      </w:r>
      <w:r>
        <w:t xml:space="preserve"> </w:t>
      </w:r>
      <w:r>
        <w:t xml:space="preserve">Utrecht University,</w:t>
      </w:r>
      <w:r>
        <w:t xml:space="preserve"> </w:t>
      </w:r>
      <w:r>
        <w:t xml:space="preserve">“Costs of Data Management - Research Data Management Support - Utrecht University,”</w:t>
      </w:r>
      <w:r>
        <w:t xml:space="preserve"> </w:t>
      </w:r>
      <w:r>
        <w:t xml:space="preserve">accessed October 27, 2022,</w:t>
      </w:r>
      <w:r>
        <w:t xml:space="preserve"> </w:t>
      </w:r>
      <w:hyperlink r:id="rId235">
        <w:r>
          <w:rPr>
            <w:rStyle w:val="Hyperlink"/>
          </w:rPr>
          <w:t xml:space="preserve">https://www.uu.nl/en/research/research-data-management/guides/costs-of-data-management</w:t>
        </w:r>
      </w:hyperlink>
      <w:r>
        <w:t xml:space="preserve">.</w:t>
      </w:r>
    </w:p>
  </w:footnote>
  <w:footnote w:id="236">
    <w:p>
      <w:pPr>
        <w:pStyle w:val="FootnoteText"/>
      </w:pPr>
      <w:r>
        <w:rPr>
          <w:rStyle w:val="FootnoteReference"/>
        </w:rPr>
        <w:footnoteRef/>
      </w:r>
      <w:r>
        <w:t xml:space="preserve"> </w:t>
      </w:r>
      <w:r>
        <w:t xml:space="preserve">Trisha Cruse,</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7">
        <w:r>
          <w:rPr>
            <w:rStyle w:val="Hyperlink"/>
          </w:rPr>
          <w:t xml:space="preserve">https://dataoneorg.github.io/Education/bestpractices/provide-budget-information</w:t>
        </w:r>
      </w:hyperlink>
      <w:r>
        <w:t xml:space="preserve">.</w:t>
      </w:r>
    </w:p>
  </w:footnote>
  <w:footnote w:id="243">
    <w:p>
      <w:pPr>
        <w:pStyle w:val="FootnoteText"/>
      </w:pPr>
      <w:r>
        <w:rPr>
          <w:rStyle w:val="FootnoteReference"/>
        </w:rPr>
        <w:footnoteRef/>
      </w:r>
      <w:r>
        <w:t xml:space="preserve"> </w:t>
      </w:r>
      <w:r>
        <w:t xml:space="preserve">Joshua Borycz,</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4">
        <w:r>
          <w:rPr>
            <w:rStyle w:val="Hyperlink"/>
          </w:rPr>
          <w:t xml:space="preserve">https://doi.org/10.5334/dsj-2021-009</w:t>
        </w:r>
      </w:hyperlink>
      <w:r>
        <w:t xml:space="preserve">.</w:t>
      </w:r>
    </w:p>
  </w:footnote>
  <w:footnote w:id="245">
    <w:p>
      <w:pPr>
        <w:pStyle w:val="FootnoteText"/>
      </w:pPr>
      <w:r>
        <w:rPr>
          <w:rStyle w:val="FootnoteReference"/>
        </w:rPr>
        <w:footnoteRef/>
      </w:r>
      <w:r>
        <w:t xml:space="preserve"> </w:t>
      </w:r>
      <w:r>
        <w:t xml:space="preserve">Strand,</w:t>
      </w:r>
      <w:r>
        <w:t xml:space="preserve"> </w:t>
      </w:r>
      <w:r>
        <w:t xml:space="preserve">“Error Tight.”</w:t>
      </w:r>
    </w:p>
  </w:footnote>
  <w:footnote w:id="246">
    <w:p>
      <w:pPr>
        <w:pStyle w:val="FootnoteText"/>
      </w:pPr>
      <w:r>
        <w:rPr>
          <w:rStyle w:val="FootnoteReference"/>
        </w:rPr>
        <w:footnoteRef/>
      </w:r>
      <w:r>
        <w:t xml:space="preserve"> </w:t>
      </w:r>
      <w:r>
        <w:t xml:space="preserve">Eaker,</w:t>
      </w:r>
      <w:r>
        <w:t xml:space="preserve"> </w:t>
      </w:r>
      <w:r>
        <w:t xml:space="preserve">“What Could Possibly Go Wrong? The Impact of Poor Data Management.”</w:t>
      </w:r>
    </w:p>
  </w:footnote>
  <w:footnote w:id="247">
    <w:p>
      <w:pPr>
        <w:pStyle w:val="FootnoteText"/>
      </w:pPr>
      <w:r>
        <w:rPr>
          <w:rStyle w:val="FootnoteReference"/>
        </w:rPr>
        <w:footnoteRef/>
      </w:r>
      <w:r>
        <w:t xml:space="preserve"> </w:t>
      </w:r>
      <w:r>
        <w:t xml:space="preserve">Alston and Rick,</w:t>
      </w:r>
      <w:r>
        <w:t xml:space="preserve"> </w:t>
      </w:r>
      <w:r>
        <w:t xml:space="preserve">“A Beginner’s Guide to Conducting Reproducible Research.”</w:t>
      </w:r>
    </w:p>
  </w:footnote>
  <w:footnote w:id="250">
    <w:p>
      <w:pPr>
        <w:pStyle w:val="FootnoteText"/>
      </w:pPr>
      <w:r>
        <w:rPr>
          <w:rStyle w:val="FootnoteReference"/>
        </w:rPr>
        <w:footnoteRef/>
      </w:r>
      <w:r>
        <w:t xml:space="preserve"> </w:t>
      </w:r>
      <w:r>
        <w:t xml:space="preserve">Crystal Lewis,</w:t>
      </w:r>
      <w:r>
        <w:t xml:space="preserve"> </w:t>
      </w:r>
      <w:r>
        <w:t xml:space="preserve">“Roles and Responsibilities Checklist. Google Docs,”</w:t>
      </w:r>
      <w:r>
        <w:t xml:space="preserve"> </w:t>
      </w:r>
      <w:r>
        <w:t xml:space="preserve">accessed March 2, 2023,</w:t>
      </w:r>
      <w:r>
        <w:t xml:space="preserve"> </w:t>
      </w:r>
      <w:hyperlink r:id="rId251">
        <w:r>
          <w:rPr>
            <w:rStyle w:val="Hyperlink"/>
          </w:rPr>
          <w:t xml:space="preserve">https://drive.google.com/file/d/1cx8pc0ATJ7_dycvprEqqwDQkyvaNPl86/view?usp=share_link</w:t>
        </w:r>
      </w:hyperlink>
      <w:r>
        <w:t xml:space="preserve">.</w:t>
      </w:r>
    </w:p>
  </w:footnote>
  <w:footnote w:id="252">
    <w:p>
      <w:pPr>
        <w:pStyle w:val="FootnoteText"/>
      </w:pPr>
      <w:r>
        <w:rPr>
          <w:rStyle w:val="FootnoteReference"/>
        </w:rPr>
        <w:footnoteRef/>
      </w:r>
      <w:r>
        <w:t xml:space="preserve"> </w:t>
      </w:r>
      <w:r>
        <w:t xml:space="preserve">Crystal Lewis,</w:t>
      </w:r>
      <w:r>
        <w:t xml:space="preserve"> </w:t>
      </w:r>
      <w:r>
        <w:t xml:space="preserve">“Task Management Checklist. Google Docs,”</w:t>
      </w:r>
      <w:r>
        <w:t xml:space="preserve"> </w:t>
      </w:r>
      <w:r>
        <w:t xml:space="preserve">accessed March 2, 2023,</w:t>
      </w:r>
      <w:r>
        <w:t xml:space="preserve"> </w:t>
      </w:r>
      <w:hyperlink r:id="rId253">
        <w:r>
          <w:rPr>
            <w:rStyle w:val="Hyperlink"/>
          </w:rPr>
          <w:t xml:space="preserve">https://drive.google.com/file/d/1ps9n6igmiwB9F-Q9zaQJlJF0NZyWDBzV/view?usp=share_link</w:t>
        </w:r>
      </w:hyperlink>
      <w:r>
        <w:t xml:space="preserve">.</w:t>
      </w:r>
    </w:p>
  </w:footnote>
  <w:footnote w:id="254">
    <w:p>
      <w:pPr>
        <w:pStyle w:val="FootnoteText"/>
      </w:pPr>
      <w:r>
        <w:rPr>
          <w:rStyle w:val="FootnoteReference"/>
        </w:rPr>
        <w:footnoteRef/>
      </w:r>
      <w:r>
        <w:t xml:space="preserve"> </w:t>
      </w:r>
      <w:r>
        <w:t xml:space="preserve">Crystal Lewis,</w:t>
      </w:r>
      <w:r>
        <w:t xml:space="preserve"> </w:t>
      </w:r>
      <w:r>
        <w:t xml:space="preserve">“Documentation Checklist. Google Docs,”</w:t>
      </w:r>
      <w:r>
        <w:t xml:space="preserve"> </w:t>
      </w:r>
      <w:r>
        <w:t xml:space="preserve">accessed March 1, 2023,</w:t>
      </w:r>
      <w:r>
        <w:t xml:space="preserve"> </w:t>
      </w:r>
      <w:hyperlink r:id="rId255">
        <w:r>
          <w:rPr>
            <w:rStyle w:val="Hyperlink"/>
          </w:rPr>
          <w:t xml:space="preserve">https://drive.google.com/file/d/1Es4LEW_FeYVPOXYs5zrYMyFVuqBUtDv-/view?usp=share_link</w:t>
        </w:r>
      </w:hyperlink>
      <w:r>
        <w:t xml:space="preserve">.</w:t>
      </w:r>
    </w:p>
  </w:footnote>
  <w:footnote w:id="256">
    <w:p>
      <w:pPr>
        <w:pStyle w:val="FootnoteText"/>
      </w:pPr>
      <w:r>
        <w:rPr>
          <w:rStyle w:val="FootnoteReference"/>
        </w:rPr>
        <w:footnoteRef/>
      </w:r>
      <w:r>
        <w:t xml:space="preserve"> </w:t>
      </w:r>
      <w:r>
        <w:t xml:space="preserve">Crystal Lewis,</w:t>
      </w:r>
      <w:r>
        <w:t xml:space="preserve"> </w:t>
      </w:r>
      <w:r>
        <w:t xml:space="preserve">“Data Collection Checklist. Google Docs,”</w:t>
      </w:r>
      <w:r>
        <w:t xml:space="preserve"> </w:t>
      </w:r>
      <w:r>
        <w:t xml:space="preserve">accessed March 2, 2023,</w:t>
      </w:r>
      <w:r>
        <w:t xml:space="preserve"> </w:t>
      </w:r>
      <w:hyperlink r:id="rId257">
        <w:r>
          <w:rPr>
            <w:rStyle w:val="Hyperlink"/>
          </w:rPr>
          <w:t xml:space="preserve">https://drive.google.com/file/d/1Y58XnnJabykuCTMlUQqkfuU7Kz9mRS2f/view?usp=share_link</w:t>
        </w:r>
      </w:hyperlink>
      <w:r>
        <w:t xml:space="preserve">.</w:t>
      </w:r>
    </w:p>
  </w:footnote>
  <w:footnote w:id="258">
    <w:p>
      <w:pPr>
        <w:pStyle w:val="FootnoteText"/>
      </w:pPr>
      <w:r>
        <w:rPr>
          <w:rStyle w:val="FootnoteReference"/>
        </w:rPr>
        <w:footnoteRef/>
      </w:r>
      <w:r>
        <w:t xml:space="preserve"> </w:t>
      </w:r>
      <w:r>
        <w:t xml:space="preserve">Crystal Lewis,</w:t>
      </w:r>
      <w:r>
        <w:t xml:space="preserve"> </w:t>
      </w:r>
      <w:r>
        <w:t xml:space="preserve">“Data Tracking Checklist. Google Docs,”</w:t>
      </w:r>
      <w:r>
        <w:t xml:space="preserve"> </w:t>
      </w:r>
      <w:r>
        <w:t xml:space="preserve">accessed March 2, 2023,</w:t>
      </w:r>
      <w:r>
        <w:t xml:space="preserve"> </w:t>
      </w:r>
      <w:hyperlink r:id="rId259">
        <w:r>
          <w:rPr>
            <w:rStyle w:val="Hyperlink"/>
          </w:rPr>
          <w:t xml:space="preserve">https://drive.google.com/file/d/1uB026LDCjw7-7pju-bzKuqg1PpCifehf/view?usp=share_link</w:t>
        </w:r>
      </w:hyperlink>
      <w:r>
        <w:t xml:space="preserve">.</w:t>
      </w:r>
    </w:p>
  </w:footnote>
  <w:footnote w:id="260">
    <w:p>
      <w:pPr>
        <w:pStyle w:val="FootnoteText"/>
      </w:pPr>
      <w:r>
        <w:rPr>
          <w:rStyle w:val="FootnoteReference"/>
        </w:rPr>
        <w:footnoteRef/>
      </w:r>
      <w:r>
        <w:t xml:space="preserve"> </w:t>
      </w:r>
      <w:r>
        <w:t xml:space="preserve">Crystal Lewis,</w:t>
      </w:r>
      <w:r>
        <w:t xml:space="preserve"> </w:t>
      </w:r>
      <w:r>
        <w:t xml:space="preserve">“Data Capture Checklist. Google Docs,”</w:t>
      </w:r>
      <w:r>
        <w:t xml:space="preserve"> </w:t>
      </w:r>
      <w:r>
        <w:t xml:space="preserve">accessed March 2, 2023,</w:t>
      </w:r>
      <w:r>
        <w:t xml:space="preserve"> </w:t>
      </w:r>
      <w:hyperlink r:id="rId261">
        <w:r>
          <w:rPr>
            <w:rStyle w:val="Hyperlink"/>
          </w:rPr>
          <w:t xml:space="preserve">https://drive.google.com/file/d/1y5r54NHs7v3VXcWzJDAg4QAqSDlW33d7/view?usp=share_link</w:t>
        </w:r>
      </w:hyperlink>
      <w:r>
        <w:t xml:space="preserve">.</w:t>
      </w:r>
    </w:p>
  </w:footnote>
  <w:footnote w:id="262">
    <w:p>
      <w:pPr>
        <w:pStyle w:val="FootnoteText"/>
      </w:pPr>
      <w:r>
        <w:rPr>
          <w:rStyle w:val="FootnoteReference"/>
        </w:rPr>
        <w:footnoteRef/>
      </w:r>
      <w:r>
        <w:t xml:space="preserve"> </w:t>
      </w:r>
      <w:r>
        <w:t xml:space="preserve">Crystal Lewis,</w:t>
      </w:r>
      <w:r>
        <w:t xml:space="preserve"> </w:t>
      </w:r>
      <w:r>
        <w:t xml:space="preserve">“Data Storage and Security Checklist. Google Docs,”</w:t>
      </w:r>
      <w:r>
        <w:t xml:space="preserve"> </w:t>
      </w:r>
      <w:r>
        <w:t xml:space="preserve">accessed March 2, 2023,</w:t>
      </w:r>
      <w:r>
        <w:t xml:space="preserve"> </w:t>
      </w:r>
      <w:hyperlink r:id="rId263">
        <w:r>
          <w:rPr>
            <w:rStyle w:val="Hyperlink"/>
          </w:rPr>
          <w:t xml:space="preserve">https://drive.google.com/file/d/14yHDsvV7V3EOASGUNVann2a-p2_zeSJg/view?usp=share_link</w:t>
        </w:r>
      </w:hyperlink>
      <w:r>
        <w:t xml:space="preserve">.</w:t>
      </w:r>
    </w:p>
  </w:footnote>
  <w:footnote w:id="264">
    <w:p>
      <w:pPr>
        <w:pStyle w:val="FootnoteText"/>
      </w:pPr>
      <w:r>
        <w:rPr>
          <w:rStyle w:val="FootnoteReference"/>
        </w:rPr>
        <w:footnoteRef/>
      </w:r>
      <w:r>
        <w:t xml:space="preserve"> </w:t>
      </w:r>
      <w:r>
        <w:t xml:space="preserve">Crystal Lewis,</w:t>
      </w:r>
      <w:r>
        <w:t xml:space="preserve"> </w:t>
      </w:r>
      <w:r>
        <w:t xml:space="preserve">“Data Cleaning Checklist. Google Docs,”</w:t>
      </w:r>
      <w:r>
        <w:t xml:space="preserve"> </w:t>
      </w:r>
      <w:r>
        <w:t xml:space="preserve">accessed March 2, 2023,</w:t>
      </w:r>
      <w:r>
        <w:t xml:space="preserve"> </w:t>
      </w:r>
      <w:hyperlink r:id="rId265">
        <w:r>
          <w:rPr>
            <w:rStyle w:val="Hyperlink"/>
          </w:rPr>
          <w:t xml:space="preserve">https://drive.google.com/file/d/1MqX4C5xaEar0JTim37tsS4dqU1QVj2vC/view?usp=share_link</w:t>
        </w:r>
      </w:hyperlink>
      <w:r>
        <w:t xml:space="preserve">.</w:t>
      </w:r>
    </w:p>
  </w:footnote>
  <w:footnote w:id="266">
    <w:p>
      <w:pPr>
        <w:pStyle w:val="FootnoteText"/>
      </w:pPr>
      <w:r>
        <w:rPr>
          <w:rStyle w:val="FootnoteReference"/>
        </w:rPr>
        <w:footnoteRef/>
      </w:r>
      <w:r>
        <w:t xml:space="preserve"> </w:t>
      </w:r>
      <w:r>
        <w:t xml:space="preserve">Crystal Lewis,</w:t>
      </w:r>
      <w:r>
        <w:t xml:space="preserve"> </w:t>
      </w:r>
      <w:r>
        <w:t xml:space="preserve">“Data Sharing Checklist. Google Docs,”</w:t>
      </w:r>
      <w:r>
        <w:t xml:space="preserve"> </w:t>
      </w:r>
      <w:r>
        <w:t xml:space="preserve">accessed March 2, 2023,</w:t>
      </w:r>
      <w:r>
        <w:t xml:space="preserve"> </w:t>
      </w:r>
      <w:hyperlink r:id="rId267">
        <w:r>
          <w:rPr>
            <w:rStyle w:val="Hyperlink"/>
          </w:rPr>
          <w:t xml:space="preserve">https://drive.google.com/file/d/1Cb8pc03ciI0iwDoZ6R25z_kWsWHpFNfU/view?usp=share_link</w:t>
        </w:r>
      </w:hyperlink>
      <w:r>
        <w:t xml:space="preserve">.</w:t>
      </w:r>
    </w:p>
  </w:footnote>
  <w:footnote w:id="26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69">
    <w:p>
      <w:pPr>
        <w:pStyle w:val="FootnoteText"/>
      </w:pPr>
      <w:r>
        <w:rPr>
          <w:rStyle w:val="FootnoteReference"/>
        </w:rPr>
        <w:footnoteRef/>
      </w:r>
      <w:r>
        <w:t xml:space="preserve"> </w:t>
      </w:r>
      <w:r>
        <w:t xml:space="preserve">Borghi and Van Gulick.</w:t>
      </w:r>
    </w:p>
  </w:footnote>
  <w:footnote w:id="276">
    <w:p>
      <w:pPr>
        <w:pStyle w:val="FootnoteText"/>
      </w:pPr>
      <w:r>
        <w:rPr>
          <w:rStyle w:val="FootnoteReference"/>
        </w:rPr>
        <w:footnoteRef/>
      </w:r>
      <w:r>
        <w:t xml:space="preserve"> </w:t>
      </w:r>
      <w:r>
        <w:t xml:space="preserve">CSP Library Research Desk,</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7">
        <w:r>
          <w:rPr>
            <w:rStyle w:val="Hyperlink"/>
          </w:rPr>
          <w:t xml:space="preserve">https://library.csp.edu/Zotero/workflow</w:t>
        </w:r>
      </w:hyperlink>
      <w:r>
        <w:t xml:space="preserve">.</w:t>
      </w:r>
    </w:p>
  </w:footnote>
  <w:footnote w:id="278">
    <w:p>
      <w:pPr>
        <w:pStyle w:val="FootnoteText"/>
      </w:pPr>
      <w:r>
        <w:rPr>
          <w:rStyle w:val="FootnoteReference"/>
        </w:rPr>
        <w:footnoteRef/>
      </w:r>
      <w:r>
        <w:t xml:space="preserve"> </w:t>
      </w:r>
      <w:r>
        <w:t xml:space="preserve">Borycz,</w:t>
      </w:r>
      <w:r>
        <w:t xml:space="preserve"> </w:t>
      </w:r>
      <w:r>
        <w:t xml:space="preserve">“Implementing Data Management Workflows in Research Groups Through Integrated Library Consultancy.”</w:t>
      </w:r>
    </w:p>
  </w:footnote>
  <w:footnote w:id="288">
    <w:p>
      <w:pPr>
        <w:pStyle w:val="FootnoteText"/>
      </w:pPr>
      <w:r>
        <w:rPr>
          <w:rStyle w:val="FootnoteReference"/>
        </w:rPr>
        <w:footnoteRef/>
      </w:r>
      <w:r>
        <w:t xml:space="preserve"> </w:t>
      </w:r>
      <w:r>
        <w:t xml:space="preserve">Maya Duru and Sarah Kopper,</w:t>
      </w:r>
      <w:r>
        <w:t xml:space="preserve"> </w:t>
      </w:r>
      <w:r>
        <w:t xml:space="preserve">“Gantt Chart Template,”</w:t>
      </w:r>
      <w:r>
        <w:t xml:space="preserve"> </w:t>
      </w:r>
      <w:r>
        <w:t xml:space="preserve">n.d.,</w:t>
      </w:r>
      <w:r>
        <w:t xml:space="preserve"> </w:t>
      </w:r>
      <w:hyperlink r:id="rId289">
        <w:r>
          <w:rPr>
            <w:rStyle w:val="Hyperlink"/>
          </w:rPr>
          <w:t xml:space="preserve">https://www.povertyactionlab.org/sites/default/files/research-resources/rr_grantprop_Template_Gantt_Chart.pdf</w:t>
        </w:r>
      </w:hyperlink>
      <w:r>
        <w:t xml:space="preserve">.</w:t>
      </w:r>
    </w:p>
  </w:footnote>
  <w:footnote w:id="293">
    <w:p>
      <w:pPr>
        <w:pStyle w:val="FootnoteText"/>
      </w:pPr>
      <w:r>
        <w:rPr>
          <w:rStyle w:val="FootnoteReference"/>
        </w:rPr>
        <w:footnoteRef/>
      </w:r>
      <w:r>
        <w:t xml:space="preserve"> </w:t>
      </w:r>
      <w:r>
        <w:t xml:space="preserve">Kristin Briney,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4">
        <w:r>
          <w:rPr>
            <w:rStyle w:val="Hyperlink"/>
          </w:rPr>
          <w:t xml:space="preserve">https://doi.org/10.3897/rio.6.e56508</w:t>
        </w:r>
      </w:hyperlink>
      <w:r>
        <w:t xml:space="preserve">.</w:t>
      </w:r>
    </w:p>
  </w:footnote>
  <w:footnote w:id="29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97">
    <w:p>
      <w:pPr>
        <w:pStyle w:val="FootnoteText"/>
      </w:pPr>
      <w:r>
        <w:rPr>
          <w:rStyle w:val="FootnoteReference"/>
        </w:rPr>
        <w:footnoteRef/>
      </w:r>
      <w:r>
        <w:t xml:space="preserve"> </w:t>
      </w:r>
      <w:r>
        <w:t xml:space="preserve">Karsten Kryger Hansen,</w:t>
      </w:r>
      <w:r>
        <w:t xml:space="preserve"> </w:t>
      </w:r>
      <w:r>
        <w:rPr>
          <w:iCs/>
          <w:i/>
        </w:rPr>
        <w:t xml:space="preserve">DataFlowToolkit</w:t>
      </w:r>
      <w:r>
        <w:rPr>
          <w:iCs/>
          <w:i/>
        </w:rPr>
        <w:t xml:space="preserve">.dk</w:t>
      </w:r>
      <w:r>
        <w:t xml:space="preserve">, 2017,</w:t>
      </w:r>
      <w:r>
        <w:t xml:space="preserve"> </w:t>
      </w:r>
      <w:hyperlink r:id="rId298">
        <w:r>
          <w:rPr>
            <w:rStyle w:val="Hyperlink"/>
          </w:rPr>
          <w:t xml:space="preserve">https://doi.org/10.5278/16k4-4n24</w:t>
        </w:r>
      </w:hyperlink>
      <w:r>
        <w:t xml:space="preserve">.</w:t>
      </w:r>
    </w:p>
  </w:footnote>
  <w:footnote w:id="301">
    <w:p>
      <w:pPr>
        <w:pStyle w:val="FootnoteText"/>
      </w:pPr>
      <w:r>
        <w:rPr>
          <w:rStyle w:val="FootnoteReference"/>
        </w:rPr>
        <w:footnoteRef/>
      </w:r>
      <w:r>
        <w:t xml:space="preserve"> </w:t>
      </w:r>
      <w:r>
        <w:t xml:space="preserve">Matthew Gentzkow and Jesse Shapiro,</w:t>
      </w:r>
      <w:r>
        <w:t xml:space="preserve"> </w:t>
      </w:r>
      <w:r>
        <w:t xml:space="preserve">“Code and Data for the Social Sciences: A Practitioner’s Guide,”</w:t>
      </w:r>
      <w:r>
        <w:t xml:space="preserve"> </w:t>
      </w:r>
      <w:r>
        <w:t xml:space="preserve">2014,</w:t>
      </w:r>
      <w:r>
        <w:t xml:space="preserve"> </w:t>
      </w:r>
      <w:hyperlink r:id="rId302">
        <w:r>
          <w:rPr>
            <w:rStyle w:val="Hyperlink"/>
          </w:rPr>
          <w:t xml:space="preserve">https://web.stanford.edu/~gentzkow/research/CodeAndData.pdf</w:t>
        </w:r>
      </w:hyperlink>
      <w:r>
        <w:t xml:space="preserve">.</w:t>
      </w:r>
    </w:p>
  </w:footnote>
  <w:footnote w:id="308">
    <w:p>
      <w:pPr>
        <w:pStyle w:val="FootnoteText"/>
      </w:pPr>
      <w:r>
        <w:rPr>
          <w:rStyle w:val="FootnoteReference"/>
        </w:rPr>
        <w:footnoteRef/>
      </w:r>
      <w:r>
        <w:t xml:space="preserve"> </w:t>
      </w:r>
      <w:r>
        <w:t xml:space="preserve">UK Data Service,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9">
        <w:r>
          <w:rPr>
            <w:rStyle w:val="Hyperlink"/>
          </w:rPr>
          <w:t xml:space="preserve">https://ukdataservice.ac.uk/learning-hub/research-data-management/plan-to-share/roles-and-responsibilities/</w:t>
        </w:r>
      </w:hyperlink>
      <w:r>
        <w:t xml:space="preserve">.</w:t>
      </w:r>
    </w:p>
  </w:footnote>
  <w:footnote w:id="319">
    <w:p>
      <w:pPr>
        <w:pStyle w:val="FootnoteText"/>
      </w:pPr>
      <w:r>
        <w:rPr>
          <w:rStyle w:val="FootnoteReference"/>
        </w:rPr>
        <w:footnoteRef/>
      </w:r>
      <w:r>
        <w:t xml:space="preserve"> </w:t>
      </w:r>
      <w:r>
        <w:t xml:space="preserve">Theresa Valentine,</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20">
        <w:r>
          <w:rPr>
            <w:rStyle w:val="Hyperlink"/>
          </w:rPr>
          <w:t xml:space="preserve">https://dataoneorg.github.io/Education/bestpractices/define-roles-and</w:t>
        </w:r>
      </w:hyperlink>
      <w:r>
        <w:t xml:space="preserve">.</w:t>
      </w:r>
    </w:p>
  </w:footnote>
  <w:footnote w:id="323">
    <w:p>
      <w:pPr>
        <w:pStyle w:val="FootnoteText"/>
      </w:pPr>
      <w:r>
        <w:rPr>
          <w:rStyle w:val="FootnoteReference"/>
        </w:rPr>
        <w:footnoteRef/>
      </w:r>
      <w:r>
        <w:t xml:space="preserve"> </w:t>
      </w: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4">
        <w:r>
          <w:rPr>
            <w:rStyle w:val="Hyperlink"/>
          </w:rPr>
          <w:t xml:space="preserve">https://tinyurl.com/nhba9mhc</w:t>
        </w:r>
      </w:hyperlink>
      <w:r>
        <w:t xml:space="preserve">; Colorado School of Mines,</w:t>
      </w:r>
      <w:r>
        <w:t xml:space="preserve"> </w:t>
      </w:r>
      <w:r>
        <w:t xml:space="preserve">“Table of Responsibilities Timeline,”</w:t>
      </w:r>
      <w:r>
        <w:t xml:space="preserve"> </w:t>
      </w:r>
      <w:r>
        <w:t xml:space="preserve">n.d.,</w:t>
      </w:r>
      <w:r>
        <w:t xml:space="preserve"> </w:t>
      </w:r>
      <w:hyperlink r:id="rId325">
        <w:r>
          <w:rPr>
            <w:rStyle w:val="Hyperlink"/>
          </w:rPr>
          <w:t xml:space="preserve">https://libguides.mines.edu/ld.php?content_id=49061255</w:t>
        </w:r>
      </w:hyperlink>
      <w:r>
        <w:t xml:space="preserve">.</w:t>
      </w:r>
    </w:p>
  </w:footnote>
  <w:footnote w:id="341">
    <w:p>
      <w:pPr>
        <w:pStyle w:val="FootnoteText"/>
      </w:pPr>
      <w:r>
        <w:rPr>
          <w:rStyle w:val="FootnoteReference"/>
        </w:rPr>
        <w:footnoteRef/>
      </w:r>
      <w:r>
        <w:t xml:space="preserve"> </w:t>
      </w:r>
      <w:r>
        <w:t xml:space="preserve">Samuel Mehr,</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42">
        <w:r>
          <w:rPr>
            <w:rStyle w:val="Hyperlink"/>
          </w:rPr>
          <w:t xml:space="preserve">https://www.rsb.org.uk//biologist-features/how-to-write-a-lab-handbook</w:t>
        </w:r>
      </w:hyperlink>
      <w:r>
        <w:t xml:space="preserve">.</w:t>
      </w:r>
    </w:p>
  </w:footnote>
  <w:footnote w:id="343">
    <w:p>
      <w:pPr>
        <w:pStyle w:val="FootnoteText"/>
      </w:pPr>
      <w:r>
        <w:rPr>
          <w:rStyle w:val="FootnoteReference"/>
        </w:rPr>
        <w:footnoteRef/>
      </w:r>
      <w:r>
        <w:t xml:space="preserve"> </w:t>
      </w:r>
      <w:r>
        <w:t xml:space="preserve">Aczel Balazs,</w:t>
      </w:r>
      <w:r>
        <w:t xml:space="preserve"> </w:t>
      </w:r>
      <w:r>
        <w:t xml:space="preserve">“A Crowdsourced Effort to Develop a Lab Manual Template. Google Docs,”</w:t>
      </w:r>
      <w:r>
        <w:t xml:space="preserve"> </w:t>
      </w:r>
      <w:r>
        <w:t xml:space="preserve">accessed January 12, 2023,</w:t>
      </w:r>
      <w:r>
        <w:t xml:space="preserve"> </w:t>
      </w:r>
      <w:hyperlink r:id="rId344">
        <w:r>
          <w:rPr>
            <w:rStyle w:val="Hyperlink"/>
          </w:rPr>
          <w:t xml:space="preserve">https://docs.google.com/document/d/1LqGdtHg0dMbj9lsCnC1QOoWzIsnSNRTSek6i3Kls2Ik/edit?usp=embed_facebook</w:t>
        </w:r>
      </w:hyperlink>
      <w:r>
        <w:t xml:space="preserve">.</w:t>
      </w:r>
    </w:p>
  </w:footnote>
  <w:footnote w:id="345">
    <w:p>
      <w:pPr>
        <w:pStyle w:val="FootnoteText"/>
      </w:pPr>
      <w:r>
        <w:rPr>
          <w:rStyle w:val="FootnoteReference"/>
        </w:rPr>
        <w:footnoteRef/>
      </w:r>
      <w:r>
        <w:t xml:space="preserve"> </w:t>
      </w:r>
      <w:r>
        <w:t xml:space="preserve">Balazs.</w:t>
      </w:r>
    </w:p>
  </w:footnote>
  <w:footnote w:id="346">
    <w:p>
      <w:pPr>
        <w:pStyle w:val="FootnoteText"/>
      </w:pPr>
      <w:r>
        <w:rPr>
          <w:rStyle w:val="FootnoteReference"/>
        </w:rPr>
        <w:footnoteRef/>
      </w:r>
      <w:r>
        <w:t xml:space="preserve"> </w:t>
      </w:r>
      <w:r>
        <w:t xml:space="preserve">Gavin Fay and Ashley Novak,</w:t>
      </w:r>
      <w:r>
        <w:t xml:space="preserve"> </w:t>
      </w:r>
      <w:r>
        <w:t xml:space="preserve">“Faylab Lab Manual,”</w:t>
      </w:r>
      <w:r>
        <w:t xml:space="preserve"> </w:t>
      </w:r>
      <w:r>
        <w:t xml:space="preserve">December 7, 2022,</w:t>
      </w:r>
      <w:r>
        <w:t xml:space="preserve"> </w:t>
      </w:r>
      <w:hyperlink r:id="rId347">
        <w:r>
          <w:rPr>
            <w:rStyle w:val="Hyperlink"/>
          </w:rPr>
          <w:t xml:space="preserve">https://thefaylab.github.io/lab-manual/</w:t>
        </w:r>
      </w:hyperlink>
      <w:r>
        <w:t xml:space="preserve">.</w:t>
      </w:r>
    </w:p>
  </w:footnote>
  <w:footnote w:id="348">
    <w:p>
      <w:pPr>
        <w:pStyle w:val="FootnoteText"/>
      </w:pPr>
      <w:r>
        <w:rPr>
          <w:rStyle w:val="FootnoteReference"/>
        </w:rPr>
        <w:footnoteRef/>
      </w:r>
      <w:r>
        <w:t xml:space="preserve"> </w:t>
      </w:r>
      <w:r>
        <w:t xml:space="preserve">Nathaniel von der Embse,</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9">
        <w:r>
          <w:rPr>
            <w:rStyle w:val="Hyperlink"/>
          </w:rPr>
          <w:t xml:space="preserve">https://uploads.strikinglycdn.com/files/f3dfcf89-32f2-48cb-94cd-3070f733c53d/RAISE%20Lab%20Guidelines_Final.pdf</w:t>
        </w:r>
      </w:hyperlink>
      <w:r>
        <w:t xml:space="preserve">.</w:t>
      </w:r>
    </w:p>
  </w:footnote>
  <w:footnote w:id="350">
    <w:p>
      <w:pPr>
        <w:pStyle w:val="FootnoteText"/>
      </w:pPr>
      <w:r>
        <w:rPr>
          <w:rStyle w:val="FootnoteReference"/>
        </w:rPr>
        <w:footnoteRef/>
      </w:r>
      <w:r>
        <w:t xml:space="preserve"> </w:t>
      </w:r>
      <w:r>
        <w:t xml:space="preserve">Samuel Mehr,</w:t>
      </w:r>
      <w:r>
        <w:t xml:space="preserve"> </w:t>
      </w:r>
      <w:r>
        <w:t xml:space="preserve">“Common Topics in Lab Handbooks,”</w:t>
      </w:r>
      <w:r>
        <w:t xml:space="preserve"> </w:t>
      </w:r>
      <w:r>
        <w:t xml:space="preserve">April 2, 2020,</w:t>
      </w:r>
      <w:r>
        <w:t xml:space="preserve"> </w:t>
      </w:r>
      <w:hyperlink r:id="rId351">
        <w:r>
          <w:rPr>
            <w:rStyle w:val="Hyperlink"/>
          </w:rPr>
          <w:t xml:space="preserve">https://www.rsb.org.uk/images/biologist/2020/Apr_May_2020_67-2/67.2_Handbook.pdf</w:t>
        </w:r>
      </w:hyperlink>
      <w:r>
        <w:t xml:space="preserve">.</w:t>
      </w:r>
    </w:p>
  </w:footnote>
  <w:footnote w:id="356">
    <w:p>
      <w:pPr>
        <w:pStyle w:val="FootnoteText"/>
      </w:pPr>
      <w:r>
        <w:rPr>
          <w:rStyle w:val="FootnoteReference"/>
        </w:rPr>
        <w:footnoteRef/>
      </w:r>
      <w:r>
        <w:t xml:space="preserve"> </w:t>
      </w:r>
      <w:r>
        <w:t xml:space="preserve">Mariam Aly,</w:t>
      </w:r>
      <w:r>
        <w:t xml:space="preserve"> </w:t>
      </w:r>
      <w:r>
        <w:t xml:space="preserve">“Aly Lab Wiki,”</w:t>
      </w:r>
      <w:r>
        <w:t xml:space="preserve"> </w:t>
      </w:r>
      <w:r>
        <w:t xml:space="preserve">August 28, 2018,</w:t>
      </w:r>
      <w:r>
        <w:t xml:space="preserve"> </w:t>
      </w:r>
      <w:hyperlink r:id="rId357">
        <w:r>
          <w:rPr>
            <w:rStyle w:val="Hyperlink"/>
          </w:rPr>
          <w:t xml:space="preserve">https://osf.io/mdh87/</w:t>
        </w:r>
      </w:hyperlink>
      <w:r>
        <w:t xml:space="preserve">.</w:t>
      </w:r>
    </w:p>
  </w:footnote>
  <w:footnote w:id="358">
    <w:p>
      <w:pPr>
        <w:pStyle w:val="FootnoteText"/>
      </w:pPr>
      <w:r>
        <w:rPr>
          <w:rStyle w:val="FootnoteReference"/>
        </w:rPr>
        <w:footnoteRef/>
      </w:r>
      <w:r>
        <w:t xml:space="preserve"> </w:t>
      </w:r>
      <w:r>
        <w:t xml:space="preserve">“</w:t>
      </w:r>
      <w:r>
        <w:t xml:space="preserve">SYNC</w:t>
      </w:r>
      <w:r>
        <w:t xml:space="preserve"> </w:t>
      </w:r>
      <w:r>
        <w:t xml:space="preserve">Lab Wiki,”</w:t>
      </w:r>
      <w:r>
        <w:t xml:space="preserve"> </w:t>
      </w:r>
      <w:r>
        <w:t xml:space="preserve">accessed January 12, 2023,</w:t>
      </w:r>
      <w:r>
        <w:t xml:space="preserve"> </w:t>
      </w:r>
      <w:hyperlink r:id="rId359">
        <w:r>
          <w:rPr>
            <w:rStyle w:val="Hyperlink"/>
          </w:rPr>
          <w:t xml:space="preserve">https://eur-synclab.github.io/</w:t>
        </w:r>
      </w:hyperlink>
      <w:r>
        <w:t xml:space="preserve">.</w:t>
      </w:r>
    </w:p>
  </w:footnote>
  <w:footnote w:id="365">
    <w:p>
      <w:pPr>
        <w:pStyle w:val="FootnoteText"/>
      </w:pPr>
      <w:r>
        <w:rPr>
          <w:rStyle w:val="FootnoteReference"/>
        </w:rPr>
        <w:footnoteRef/>
      </w:r>
      <w:r>
        <w:t xml:space="preserve"> </w:t>
      </w:r>
      <w:r>
        <w:t xml:space="preserve">Louise Geraghty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6">
        <w:r>
          <w:rPr>
            <w:rStyle w:val="Hyperlink"/>
          </w:rPr>
          <w:t xml:space="preserve">https://www.povertyactionlab.org/resource/formalize-research-partnership-and-establish-roles-and-expectations</w:t>
        </w:r>
      </w:hyperlink>
      <w:r>
        <w:t xml:space="preserve">.</w:t>
      </w:r>
    </w:p>
  </w:footnote>
  <w:footnote w:id="367">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w:t>
      </w:r>
      <w:r>
        <w:t xml:space="preserve">accessed January 13, 2023,</w:t>
      </w:r>
      <w:r>
        <w:t xml:space="preserve"> </w:t>
      </w:r>
      <w:hyperlink r:id="rId368">
        <w:r>
          <w:rPr>
            <w:rStyle w:val="Hyperlink"/>
          </w:rPr>
          <w:t xml:space="preserve">https://dmeg.cessda.eu/Data-Management-Expert-Guide/3.-Process/Data-authenticity</w:t>
        </w:r>
      </w:hyperlink>
      <w:r>
        <w:t xml:space="preserve">.</w:t>
      </w:r>
    </w:p>
  </w:footnote>
  <w:footnote w:id="373">
    <w:p>
      <w:pPr>
        <w:pStyle w:val="FootnoteText"/>
      </w:pPr>
      <w:r>
        <w:rPr>
          <w:rStyle w:val="FootnoteReference"/>
        </w:rPr>
        <w:footnoteRef/>
      </w:r>
      <w:r>
        <w:t xml:space="preserve"> </w:t>
      </w:r>
      <w:r>
        <w:t xml:space="preserve">“Style Guide,”</w:t>
      </w:r>
      <w:r>
        <w:t xml:space="preserve"> </w:t>
      </w:r>
      <w:r>
        <w:t xml:space="preserve">in</w:t>
      </w:r>
      <w:r>
        <w:t xml:space="preserve"> </w:t>
      </w:r>
      <w:r>
        <w:rPr>
          <w:iCs/>
          <w:i/>
        </w:rPr>
        <w:t xml:space="preserve">Wikipedia</w:t>
      </w:r>
      <w:r>
        <w:t xml:space="preserve">, January 4, 2023,</w:t>
      </w:r>
      <w:r>
        <w:t xml:space="preserve"> </w:t>
      </w:r>
      <w:hyperlink r:id="rId374">
        <w:r>
          <w:rPr>
            <w:rStyle w:val="Hyperlink"/>
          </w:rPr>
          <w:t xml:space="preserve">https://en.wikipedia.org/w/index.php?title=Style_guide&amp;oldid=1131556370</w:t>
        </w:r>
      </w:hyperlink>
      <w:r>
        <w:t xml:space="preserve">.</w:t>
      </w:r>
    </w:p>
  </w:footnote>
  <w:footnote w:id="375">
    <w:p>
      <w:pPr>
        <w:pStyle w:val="FootnoteText"/>
      </w:pPr>
      <w:r>
        <w:rPr>
          <w:rStyle w:val="FootnoteReference"/>
        </w:rPr>
        <w:footnoteRef/>
      </w:r>
      <w:r>
        <w:t xml:space="preserve"> </w:t>
      </w:r>
      <w:r>
        <w:t xml:space="preserve">Todd Kawakita and Jared Silver,</w:t>
      </w:r>
      <w:r>
        <w:t xml:space="preserve"> </w:t>
      </w:r>
      <w:r>
        <w:t xml:space="preserve">“Strategic Data Project Adopt: Coding Style Guide,”</w:t>
      </w:r>
      <w:r>
        <w:t xml:space="preserve"> </w:t>
      </w:r>
      <w:r>
        <w:t xml:space="preserve">2013,</w:t>
      </w:r>
      <w:r>
        <w:t xml:space="preserve"> </w:t>
      </w:r>
      <w:hyperlink r:id="rId376">
        <w:r>
          <w:rPr>
            <w:rStyle w:val="Hyperlink"/>
          </w:rPr>
          <w:t xml:space="preserve">https://hwpi.harvard.edu/files/sdp/files/sdp-toolkit-coding-style-guide.pdf</w:t>
        </w:r>
      </w:hyperlink>
      <w:r>
        <w:t xml:space="preserve">.</w:t>
      </w:r>
    </w:p>
  </w:footnote>
  <w:footnote w:id="377">
    <w:p>
      <w:pPr>
        <w:pStyle w:val="FootnoteText"/>
      </w:pPr>
      <w:r>
        <w:rPr>
          <w:rStyle w:val="FootnoteReference"/>
        </w:rPr>
        <w:footnoteRef/>
      </w:r>
      <w:r>
        <w:t xml:space="preserve"> </w:t>
      </w:r>
      <w:r>
        <w:t xml:space="preserve">Hadley Wickham,</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8">
        <w:r>
          <w:rPr>
            <w:rStyle w:val="Hyperlink"/>
          </w:rPr>
          <w:t xml:space="preserve">https://style.tidyverse.org/index.html</w:t>
        </w:r>
      </w:hyperlink>
      <w:r>
        <w:t xml:space="preserve">.</w:t>
      </w:r>
    </w:p>
  </w:footnote>
  <w:footnote w:id="383">
    <w:p>
      <w:pPr>
        <w:pStyle w:val="FootnoteText"/>
      </w:pPr>
      <w:r>
        <w:rPr>
          <w:rStyle w:val="FootnoteReference"/>
        </w:rPr>
        <w:footnoteRef/>
      </w:r>
      <w:r>
        <w:t xml:space="preserve"> </w:t>
      </w:r>
      <w:r>
        <w:t xml:space="preserve">Johns Hopkins Institute for Clinical {and} Translational Research,</w:t>
      </w:r>
      <w:r>
        <w:t xml:space="preserve"> </w:t>
      </w:r>
      <w:r>
        <w:t xml:space="preserve">“Best Practices for Research Data Management,”</w:t>
      </w:r>
      <w:r>
        <w:t xml:space="preserve"> </w:t>
      </w:r>
      <w:r>
        <w:t xml:space="preserve">accessed February 10, 2023,</w:t>
      </w:r>
      <w:r>
        <w:t xml:space="preserve"> </w:t>
      </w:r>
      <w:hyperlink r:id="rId384">
        <w:r>
          <w:rPr>
            <w:rStyle w:val="Hyperlink"/>
          </w:rPr>
          <w:t xml:space="preserve">https://ictrweb.johnshopkins.edu/ictr/dmig/Best_Practice/a8376318-ebd6-421f-be63-acf8c88376a1_e0996b36-932a-44d5-94b0-61ad04f5774d.html?v=65849&amp;ip=qam562joeegjlraagoltna</w:t>
        </w:r>
      </w:hyperlink>
      <w:r>
        <w:t xml:space="preserve">.</w:t>
      </w:r>
    </w:p>
  </w:footnote>
  <w:footnote w:id="389">
    <w:p>
      <w:pPr>
        <w:pStyle w:val="FootnoteText"/>
      </w:pPr>
      <w:r>
        <w:rPr>
          <w:rStyle w:val="FootnoteReference"/>
        </w:rPr>
        <w:footnoteRef/>
      </w:r>
      <w:r>
        <w:t xml:space="preserve"> </w:t>
      </w:r>
      <w:r>
        <w:t xml:space="preserve">University of Washington,</w:t>
      </w:r>
      <w:r>
        <w:t xml:space="preserve"> </w:t>
      </w:r>
      <w:r>
        <w:t xml:space="preserve">“Developing a Protocol,”</w:t>
      </w:r>
      <w:r>
        <w:t xml:space="preserve"> </w:t>
      </w:r>
      <w:r>
        <w:t xml:space="preserve">n.d.,</w:t>
      </w:r>
      <w:r>
        <w:t xml:space="preserve"> </w:t>
      </w:r>
      <w:hyperlink r:id="rId390">
        <w:r>
          <w:rPr>
            <w:rStyle w:val="Hyperlink"/>
          </w:rPr>
          <w:t xml:space="preserve">https://depts.washington.edu/wildfire/resources/protckl.pdf</w:t>
        </w:r>
      </w:hyperlink>
      <w:r>
        <w:t xml:space="preserve">.</w:t>
      </w:r>
    </w:p>
  </w:footnote>
  <w:footnote w:id="391">
    <w:p>
      <w:pPr>
        <w:pStyle w:val="FootnoteText"/>
      </w:pPr>
      <w:r>
        <w:rPr>
          <w:rStyle w:val="FootnoteReference"/>
        </w:rPr>
        <w:footnoteRef/>
      </w:r>
      <w:r>
        <w:t xml:space="preserve"> </w:t>
      </w:r>
      <w:r>
        <w:t xml:space="preserve">The Ohio State University Institutional Review Board,</w:t>
      </w:r>
      <w:r>
        <w:t xml:space="preserve"> </w:t>
      </w:r>
      <w:r>
        <w:t xml:space="preserve">“Guidelines for Writing a Research Protocol,”</w:t>
      </w:r>
      <w:r>
        <w:t xml:space="preserve"> </w:t>
      </w:r>
      <w:r>
        <w:t xml:space="preserve">March 6, 2014,</w:t>
      </w:r>
      <w:r>
        <w:t xml:space="preserve"> </w:t>
      </w:r>
      <w:hyperlink r:id="rId392">
        <w:r>
          <w:rPr>
            <w:rStyle w:val="Hyperlink"/>
          </w:rPr>
          <w:t xml:space="preserve">http://orrp.osu.edu/files/2011/10/GuidelinesforWritingaResearchProtocol.pdf</w:t>
        </w:r>
      </w:hyperlink>
      <w:r>
        <w:t xml:space="preserve">.</w:t>
      </w:r>
    </w:p>
  </w:footnote>
  <w:footnote w:id="393">
    <w:p>
      <w:pPr>
        <w:pStyle w:val="FootnoteText"/>
      </w:pPr>
      <w:r>
        <w:rPr>
          <w:rStyle w:val="FootnoteReference"/>
        </w:rPr>
        <w:footnoteRef/>
      </w:r>
      <w:r>
        <w:t xml:space="preserve"> </w:t>
      </w:r>
      <w:r>
        <w:t xml:space="preserve">University of Missouri,</w:t>
      </w:r>
      <w:r>
        <w:t xml:space="preserve"> </w:t>
      </w:r>
      <w:r>
        <w:t xml:space="preserve">“Social/Behavioral/Educational Research Protocol,”</w:t>
      </w:r>
      <w:r>
        <w:t xml:space="preserve"> </w:t>
      </w:r>
      <w:r>
        <w:t xml:space="preserve">accessed January 12, 2023,</w:t>
      </w:r>
      <w:r>
        <w:t xml:space="preserve"> </w:t>
      </w:r>
      <w:hyperlink r:id="rId394">
        <w:r>
          <w:rPr>
            <w:rStyle w:val="Hyperlink"/>
          </w:rPr>
          <w:t xml:space="preserve">https://docs.research.missouri.edu/human_subjects/templates/Social_Behavioral_Educational_Protocol_Template.docx</w:t>
        </w:r>
      </w:hyperlink>
      <w:r>
        <w:t xml:space="preserve">.</w:t>
      </w:r>
    </w:p>
  </w:footnote>
  <w:footnote w:id="395">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w:t>
      </w:r>
      <w:r>
        <w:t xml:space="preserve">ICPSR</w:t>
      </w:r>
      <w:r>
        <w:t xml:space="preserve"> </w:t>
      </w:r>
      <w:r>
        <w:t xml:space="preserve">- Interuniversity Consortium for Political; Social Research, 2022),</w:t>
      </w:r>
      <w:r>
        <w:t xml:space="preserve"> </w:t>
      </w:r>
      <w:hyperlink r:id="rId396">
        <w:r>
          <w:rPr>
            <w:rStyle w:val="Hyperlink"/>
          </w:rPr>
          <w:t xml:space="preserve">https://doi.org/10.3886/ICPSR38290.V1</w:t>
        </w:r>
      </w:hyperlink>
      <w:r>
        <w:t xml:space="preserve">.</w:t>
      </w:r>
    </w:p>
  </w:footnote>
  <w:footnote w:id="401">
    <w:p>
      <w:pPr>
        <w:pStyle w:val="FootnoteText"/>
      </w:pPr>
      <w:r>
        <w:rPr>
          <w:rStyle w:val="FootnoteReference"/>
        </w:rPr>
        <w:footnoteRef/>
      </w:r>
      <w:r>
        <w:t xml:space="preserve"> </w:t>
      </w: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402">
        <w:r>
          <w:rPr>
            <w:rStyle w:val="Hyperlink"/>
          </w:rPr>
          <w:t xml:space="preserve">https://www.consort-statement.org/consort-statement/flow-diagram</w:t>
        </w:r>
      </w:hyperlink>
      <w:r>
        <w:t xml:space="preserve">.</w:t>
      </w:r>
    </w:p>
  </w:footnote>
  <w:footnote w:id="406">
    <w:p>
      <w:pPr>
        <w:pStyle w:val="FootnoteText"/>
      </w:pPr>
      <w:r>
        <w:rPr>
          <w:rStyle w:val="FootnoteReference"/>
        </w:rPr>
        <w:footnoteRef/>
      </w:r>
      <w:r>
        <w:t xml:space="preserve"> </w:t>
      </w:r>
      <w:r>
        <w:t xml:space="preserve">Karen Tourangeau,</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07">
        <w:r>
          <w:rPr>
            <w:rStyle w:val="Hyperlink"/>
          </w:rPr>
          <w:t xml:space="preserve">https://nces.ed.gov/pubs2015/2015074.pdf</w:t>
        </w:r>
      </w:hyperlink>
      <w:r>
        <w:t xml:space="preserve">.</w:t>
      </w:r>
    </w:p>
  </w:footnote>
  <w:footnote w:id="412">
    <w:p>
      <w:pPr>
        <w:pStyle w:val="FootnoteText"/>
      </w:pPr>
      <w:r>
        <w:rPr>
          <w:rStyle w:val="FootnoteReference"/>
        </w:rPr>
        <w:footnoteRef/>
      </w:r>
      <w:r>
        <w:t xml:space="preserve"> </w:t>
      </w: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3">
        <w:r>
          <w:rPr>
            <w:rStyle w:val="Hyperlink"/>
          </w:rPr>
          <w:t xml:space="preserve">https://www.nucats.northwestern.edu/docs/cecd/overview-of-sops.pdf</w:t>
        </w:r>
      </w:hyperlink>
      <w:r>
        <w:t xml:space="preserve">.</w:t>
      </w:r>
    </w:p>
  </w:footnote>
  <w:footnote w:id="420">
    <w:p>
      <w:pPr>
        <w:pStyle w:val="FootnoteText"/>
      </w:pPr>
      <w:r>
        <w:rPr>
          <w:rStyle w:val="FootnoteReference"/>
        </w:rPr>
        <w:footnoteRef/>
      </w:r>
      <w:r>
        <w:t xml:space="preserve"> </w:t>
      </w:r>
      <w:r>
        <w:t xml:space="preserve">NUCATS,</w:t>
      </w:r>
      <w:r>
        <w:t xml:space="preserve"> </w:t>
      </w:r>
      <w:r>
        <w:t xml:space="preserve">“Writing Standard Operating Procedures,”</w:t>
      </w:r>
      <w:r>
        <w:t xml:space="preserve"> </w:t>
      </w:r>
      <w:r>
        <w:t xml:space="preserve">accessed January 13, 2023,</w:t>
      </w:r>
      <w:r>
        <w:t xml:space="preserve"> </w:t>
      </w:r>
      <w:hyperlink r:id="rId421">
        <w:r>
          <w:rPr>
            <w:rStyle w:val="Hyperlink"/>
          </w:rPr>
          <w:t xml:space="preserve">https://www.nucats.northwestern.edu/docs/cecd/writing-sops-and-templates.pdf</w:t>
        </w:r>
      </w:hyperlink>
      <w:r>
        <w:t xml:space="preserve">.</w:t>
      </w:r>
    </w:p>
  </w:footnote>
  <w:footnote w:id="422">
    <w:p>
      <w:pPr>
        <w:pStyle w:val="FootnoteText"/>
      </w:pPr>
      <w:r>
        <w:rPr>
          <w:rStyle w:val="FootnoteReference"/>
        </w:rPr>
        <w:footnoteRef/>
      </w:r>
      <w:r>
        <w:t xml:space="preserve"> </w:t>
      </w:r>
      <w:r>
        <w:t xml:space="preserve">IMPACCT Trials Coordination Centre (ITCC),</w:t>
      </w:r>
      <w:r>
        <w:t xml:space="preserve"> </w:t>
      </w:r>
      <w:r>
        <w:t xml:space="preserve">“Standard Operating Procedure,”</w:t>
      </w:r>
      <w:r>
        <w:t xml:space="preserve"> </w:t>
      </w:r>
      <w:r>
        <w:t xml:space="preserve">n.d.,</w:t>
      </w:r>
      <w:r>
        <w:t xml:space="preserve"> </w:t>
      </w:r>
      <w:hyperlink r:id="rId423">
        <w:r>
          <w:rPr>
            <w:rStyle w:val="Hyperlink"/>
          </w:rPr>
          <w:t xml:space="preserve">https://www.uts.edu.au/sites/default/files/2020-07/5.5.5%20Allocation%20of%20Participant%20ID%20Numbers%20V2.5_20200520.pdf</w:t>
        </w:r>
      </w:hyperlink>
      <w:r>
        <w:t xml:space="preserve">.</w:t>
      </w:r>
    </w:p>
  </w:footnote>
  <w:footnote w:id="424">
    <w:p>
      <w:pPr>
        <w:pStyle w:val="FootnoteText"/>
      </w:pPr>
      <w:r>
        <w:rPr>
          <w:rStyle w:val="FootnoteReference"/>
        </w:rPr>
        <w:footnoteRef/>
      </w:r>
      <w:r>
        <w:t xml:space="preserve"> </w:t>
      </w:r>
      <w:r>
        <w:t xml:space="preserve">CITI Program,</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5">
        <w:r>
          <w:rPr>
            <w:rStyle w:val="Hyperlink"/>
          </w:rPr>
          <w:t xml:space="preserve">https://drive.google.com/file/d/1kP8CNyJREs7ssGo-R2_mi6wURUQcdhfA/view?usp=share_link</w:t>
        </w:r>
      </w:hyperlink>
      <w:r>
        <w:t xml:space="preserve">.</w:t>
      </w:r>
    </w:p>
  </w:footnote>
  <w:footnote w:id="428">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UK Data Service,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29">
        <w:r>
          <w:rPr>
            <w:rStyle w:val="Hyperlink"/>
          </w:rPr>
          <w:t xml:space="preserve">https://ukdataservice.ac.uk/learning-hub/research-data-management/format-your-data/quality/</w:t>
        </w:r>
      </w:hyperlink>
      <w:r>
        <w:t xml:space="preserve">.</w:t>
      </w:r>
    </w:p>
  </w:footnote>
  <w:footnote w:id="430">
    <w:p>
      <w:pPr>
        <w:pStyle w:val="FootnoteText"/>
      </w:pPr>
      <w:r>
        <w:rPr>
          <w:rStyle w:val="FootnoteReference"/>
        </w:rPr>
        <w:footnoteRef/>
      </w:r>
      <w:r>
        <w:t xml:space="preserve"> </w:t>
      </w:r>
      <w:r>
        <w:t xml:space="preserve">Neild, Robinson, and Agufa,</w:t>
      </w:r>
      <w:r>
        <w:t xml:space="preserve"> </w:t>
      </w:r>
      <w:r>
        <w:t xml:space="preserve">“Sharing Study Data.”</w:t>
      </w:r>
    </w:p>
  </w:footnote>
  <w:footnote w:id="435">
    <w:p>
      <w:pPr>
        <w:pStyle w:val="FootnoteText"/>
      </w:pPr>
      <w:r>
        <w:rPr>
          <w:rStyle w:val="FootnoteReference"/>
        </w:rPr>
        <w:footnoteRef/>
      </w:r>
      <w:r>
        <w:t xml:space="preserve"> </w:t>
      </w:r>
      <w:r>
        <w:t xml:space="preserve">UK Data Service,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36">
        <w:r>
          <w:rPr>
            <w:rStyle w:val="Hyperlink"/>
          </w:rPr>
          <w:t xml:space="preserve">https://ukdataservice.ac.uk/learning-hub/research-data-management/format-your-data/versioning/</w:t>
        </w:r>
      </w:hyperlink>
      <w:r>
        <w:t xml:space="preserve">.</w:t>
      </w:r>
    </w:p>
  </w:footnote>
  <w:footnote w:id="446">
    <w:p>
      <w:pPr>
        <w:pStyle w:val="FootnoteText"/>
      </w:pPr>
      <w:r>
        <w:rPr>
          <w:rStyle w:val="FootnoteReference"/>
        </w:rPr>
        <w:footnoteRef/>
      </w:r>
      <w:r>
        <w:t xml:space="preserve"> </w:t>
      </w:r>
      <w:r>
        <w:t xml:space="preserve">Crystal Lewis,</w:t>
      </w:r>
      <w:r>
        <w:t xml:space="preserve"> </w:t>
      </w:r>
      <w:r>
        <w:t xml:space="preserve">“Using a Data Dictionary as Your Roadmap to Quality Data. Crystal Lewis,”</w:t>
      </w:r>
      <w:r>
        <w:t xml:space="preserve"> </w:t>
      </w:r>
      <w:r>
        <w:t xml:space="preserve">accessed January 17, 2023,</w:t>
      </w:r>
      <w:r>
        <w:t xml:space="preserve"> </w:t>
      </w:r>
      <w:hyperlink r:id="rId447">
        <w:r>
          <w:rPr>
            <w:rStyle w:val="Hyperlink"/>
          </w:rPr>
          <w:t xml:space="preserve">https://cghlewis.com/blog/data_dictionary/</w:t>
        </w:r>
      </w:hyperlink>
      <w:r>
        <w:t xml:space="preserve">.</w:t>
      </w:r>
    </w:p>
  </w:footnote>
  <w:footnote w:id="448">
    <w:p>
      <w:pPr>
        <w:pStyle w:val="FootnoteText"/>
      </w:pPr>
      <w:r>
        <w:rPr>
          <w:rStyle w:val="FootnoteReference"/>
        </w:rPr>
        <w:footnoteRef/>
      </w:r>
      <w:r>
        <w:t xml:space="preserve"> </w:t>
      </w:r>
      <w:r>
        <w:t xml:space="preserve">UC Merced Library,</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49">
        <w:r>
          <w:rPr>
            <w:rStyle w:val="Hyperlink"/>
          </w:rPr>
          <w:t xml:space="preserve">https://library.ucmerced.edu/data-dictionaries</w:t>
        </w:r>
      </w:hyperlink>
      <w:r>
        <w:t xml:space="preserve">.</w:t>
      </w:r>
    </w:p>
  </w:footnote>
  <w:footnote w:id="450">
    <w:p>
      <w:pPr>
        <w:pStyle w:val="FootnoteText"/>
      </w:pPr>
      <w:r>
        <w:rPr>
          <w:rStyle w:val="FootnoteReference"/>
        </w:rPr>
        <w:footnoteRef/>
      </w:r>
      <w:r>
        <w:t xml:space="preserve"> </w:t>
      </w:r>
      <w:r>
        <w:t xml:space="preserve">Johns Hopkins Institute for Clinical {and} Translational Research,</w:t>
      </w:r>
      <w:r>
        <w:t xml:space="preserve"> </w:t>
      </w:r>
      <w:r>
        <w:t xml:space="preserve">“Data Dictionary/Codebook,”</w:t>
      </w:r>
      <w:r>
        <w:t xml:space="preserve"> </w:t>
      </w:r>
      <w:r>
        <w:t xml:space="preserve">accessed February 10, 2023,</w:t>
      </w:r>
      <w:r>
        <w:t xml:space="preserve"> </w:t>
      </w:r>
      <w:hyperlink r:id="rId451">
        <w:r>
          <w:rPr>
            <w:rStyle w:val="Hyperlink"/>
          </w:rPr>
          <w:t xml:space="preserve">https://ictrweb.johnshopkins.edu/ictr/dmig/Best_Practice/a8376318-ebd6-421f-be63-acf8c88376a1_6342a1c3-1a5d-4287-a46e-374824e3780e.html?v=65849&amp;ip=hpdkvlttuiyioooqhw</w:t>
        </w:r>
      </w:hyperlink>
      <w:r>
        <w:t xml:space="preserve">.</w:t>
      </w:r>
    </w:p>
  </w:footnote>
  <w:footnote w:id="455">
    <w:p>
      <w:pPr>
        <w:pStyle w:val="FootnoteText"/>
      </w:pPr>
      <w:r>
        <w:rPr>
          <w:rStyle w:val="FootnoteReference"/>
        </w:rPr>
        <w:footnoteRef/>
      </w:r>
      <w:r>
        <w:t xml:space="preserve"> </w:t>
      </w:r>
      <w:r>
        <w:t xml:space="preserve">Carol Midgley,</w:t>
      </w:r>
      <w:r>
        <w:t xml:space="preserve"> </w:t>
      </w:r>
      <w:r>
        <w:t xml:space="preserve">“Manual for the Patterns of Adaptive Learning Scales,”</w:t>
      </w:r>
      <w:r>
        <w:t xml:space="preserve"> </w:t>
      </w:r>
      <w:r>
        <w:t xml:space="preserve">2000,</w:t>
      </w:r>
      <w:r>
        <w:t xml:space="preserve"> </w:t>
      </w:r>
      <w:hyperlink r:id="rId456">
        <w:r>
          <w:rPr>
            <w:rStyle w:val="Hyperlink"/>
          </w:rPr>
          <w:t xml:space="preserve">http://websites.umich.edu/~pals/PALS%202000_V13Word97.pdf</w:t>
        </w:r>
      </w:hyperlink>
      <w:r>
        <w:t xml:space="preserve">.</w:t>
      </w:r>
    </w:p>
  </w:footnote>
  <w:footnote w:id="462">
    <w:p>
      <w:pPr>
        <w:pStyle w:val="FootnoteText"/>
      </w:pPr>
      <w:r>
        <w:rPr>
          <w:rStyle w:val="FootnoteReference"/>
        </w:rPr>
        <w:footnoteRef/>
      </w:r>
      <w:r>
        <w:t xml:space="preserve"> </w:t>
      </w: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3">
        <w:r>
          <w:rPr>
            <w:rStyle w:val="Hyperlink"/>
          </w:rPr>
          <w:t xml:space="preserve">https://data.nal.usda.gov/data-dictionary-blank-template</w:t>
        </w:r>
      </w:hyperlink>
      <w:r>
        <w:t xml:space="preserve">.</w:t>
      </w:r>
    </w:p>
  </w:footnote>
  <w:footnote w:id="464">
    <w:p>
      <w:pPr>
        <w:pStyle w:val="FootnoteText"/>
      </w:pPr>
      <w:r>
        <w:rPr>
          <w:rStyle w:val="FootnoteReference"/>
        </w:rPr>
        <w:footnoteRef/>
      </w:r>
      <w:r>
        <w:t xml:space="preserve"> </w:t>
      </w:r>
      <w:r>
        <w:t xml:space="preserve">Center for Open Science,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5">
        <w:r>
          <w:rPr>
            <w:rStyle w:val="Hyperlink"/>
          </w:rPr>
          <w:t xml:space="preserve">https://help.osf.io/article/217-how-to-make-a-data-dictionary</w:t>
        </w:r>
      </w:hyperlink>
      <w:r>
        <w:t xml:space="preserve">.</w:t>
      </w:r>
    </w:p>
  </w:footnote>
  <w:footnote w:id="468">
    <w:p>
      <w:pPr>
        <w:pStyle w:val="FootnoteText"/>
      </w:pPr>
      <w:r>
        <w:rPr>
          <w:rStyle w:val="FootnoteReference"/>
        </w:rPr>
        <w:footnoteRef/>
      </w:r>
      <w:r>
        <w:t xml:space="preserve"> </w:t>
      </w:r>
      <w:r>
        <w:t xml:space="preserve">@ 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69">
        <w:r>
          <w:rPr>
            <w:rStyle w:val="Hyperlink"/>
          </w:rPr>
          <w:t xml:space="preserve">https://www.icpsr.umich.edu/files/deposit/Guide-to-Codebooks_v1.pdf</w:t>
        </w:r>
      </w:hyperlink>
      <w:r>
        <w:t xml:space="preserve">.</w:t>
      </w:r>
    </w:p>
  </w:footnote>
  <w:footnote w:id="473">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77">
    <w:p>
      <w:pPr>
        <w:pStyle w:val="FootnoteText"/>
      </w:pPr>
      <w:r>
        <w:rPr>
          <w:rStyle w:val="FootnoteReference"/>
        </w:rPr>
        <w:footnoteRef/>
      </w:r>
      <w:r>
        <w:t xml:space="preserve"> </w:t>
      </w:r>
      <w:r>
        <w:t xml:space="preserve">Crystal Lewis,</w:t>
      </w:r>
      <w:r>
        <w:t xml:space="preserve"> </w:t>
      </w:r>
      <w:r>
        <w:t xml:space="preserve">“Codebook Package Comparison,”</w:t>
      </w:r>
      <w:r>
        <w:t xml:space="preserve"> </w:t>
      </w:r>
      <w:r>
        <w:t xml:space="preserve">accessed January 17, 2023,</w:t>
      </w:r>
      <w:r>
        <w:t xml:space="preserve"> </w:t>
      </w:r>
      <w:hyperlink r:id="rId478">
        <w:r>
          <w:rPr>
            <w:rStyle w:val="Hyperlink"/>
          </w:rPr>
          <w:t xml:space="preserve">https://github.com/Cghlewis/codebook-pkg-comparison</w:t>
        </w:r>
      </w:hyperlink>
      <w:r>
        <w:t xml:space="preserve">.</w:t>
      </w:r>
    </w:p>
  </w:footnote>
  <w:footnote w:id="479">
    <w:p>
      <w:pPr>
        <w:pStyle w:val="FootnoteText"/>
      </w:pPr>
      <w:r>
        <w:rPr>
          <w:rStyle w:val="FootnoteReference"/>
        </w:rPr>
        <w:footnoteRef/>
      </w:r>
      <w:r>
        <w:t xml:space="preserve"> </w:t>
      </w:r>
      <w:r>
        <w:t xml:space="preserve">ICPSR,</w:t>
      </w:r>
      <w:r>
        <w:t xml:space="preserve"> </w:t>
      </w:r>
      <w:r>
        <w:t xml:space="preserve">“Guide to Codebooks 1st Edition.”</w:t>
      </w:r>
    </w:p>
  </w:footnote>
  <w:footnote w:id="480">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83">
    <w:p>
      <w:pPr>
        <w:pStyle w:val="FootnoteText"/>
      </w:pPr>
      <w:r>
        <w:rPr>
          <w:rStyle w:val="FootnoteReference"/>
        </w:rPr>
        <w:footnoteRef/>
      </w:r>
      <w:r>
        <w:t xml:space="preserve"> </w:t>
      </w:r>
      <w:r>
        <w:t xml:space="preserve">CESSDA,</w:t>
      </w:r>
      <w:r>
        <w:t xml:space="preserve"> </w:t>
      </w:r>
      <w:r>
        <w:t xml:space="preserve">“Documentation and Metadata,”</w:t>
      </w:r>
      <w:r>
        <w:t xml:space="preserve"> </w:t>
      </w:r>
      <w:r>
        <w:t xml:space="preserve">accessed February 9, 2023,</w:t>
      </w:r>
      <w:r>
        <w:t xml:space="preserve"> </w:t>
      </w:r>
      <w:hyperlink r:id="rId484">
        <w:r>
          <w:rPr>
            <w:rStyle w:val="Hyperlink"/>
          </w:rPr>
          <w:t xml:space="preserve">https://dmeg.cessda.eu/Data-Management-Expert-Guide/2.-Organise-Document/Documentation-and-metadata</w:t>
        </w:r>
      </w:hyperlink>
      <w:r>
        <w:t xml:space="preserve">; Danish National Forum for Research Data Management,</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85">
        <w:r>
          <w:rPr>
            <w:rStyle w:val="Hyperlink"/>
          </w:rPr>
          <w:t xml:space="preserve">https://howtofair.dk/how-to-fair/metadata/</w:t>
        </w:r>
      </w:hyperlink>
      <w:r>
        <w:t xml:space="preserve">.</w:t>
      </w:r>
    </w:p>
  </w:footnote>
  <w:footnote w:id="486">
    <w:p>
      <w:pPr>
        <w:pStyle w:val="FootnoteText"/>
      </w:pPr>
      <w:r>
        <w:rPr>
          <w:rStyle w:val="FootnoteReference"/>
        </w:rPr>
        <w:footnoteRef/>
      </w:r>
      <w:r>
        <w:t xml:space="preserve"> </w:t>
      </w:r>
      <w:r>
        <w:t xml:space="preserve">“</w:t>
      </w:r>
      <w:r>
        <w:t xml:space="preserve">FAIR</w:t>
      </w:r>
      <w:r>
        <w:t xml:space="preserve"> </w:t>
      </w:r>
      <w:r>
        <w:t xml:space="preserve">Principles”</w:t>
      </w:r>
      <w:r>
        <w:t xml:space="preserve">; UK Data Service,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87">
        <w:r>
          <w:rPr>
            <w:rStyle w:val="Hyperlink"/>
          </w:rPr>
          <w:t xml:space="preserve">https://ukdataservice.ac.uk/learning-hub/research-data-management/document-your-data/metadata/</w:t>
        </w:r>
      </w:hyperlink>
      <w:r>
        <w:t xml:space="preserve">; Jessica A. R. Logan,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88">
        <w:r>
          <w:rPr>
            <w:rStyle w:val="Hyperlink"/>
          </w:rPr>
          <w:t xml:space="preserve">https://doi.org/10.1177/23328584211006475</w:t>
        </w:r>
      </w:hyperlink>
      <w:r>
        <w:t xml:space="preserve">.</w:t>
      </w:r>
    </w:p>
  </w:footnote>
  <w:footnote w:id="489">
    <w:p>
      <w:pPr>
        <w:pStyle w:val="FootnoteText"/>
      </w:pPr>
      <w:r>
        <w:rPr>
          <w:rStyle w:val="FootnoteReference"/>
        </w:rPr>
        <w:footnoteRef/>
      </w:r>
      <w:r>
        <w:t xml:space="preserve"> </w:t>
      </w:r>
      <w:r>
        <w:t xml:space="preserve">CESSDA,</w:t>
      </w:r>
      <w:r>
        <w:t xml:space="preserve"> </w:t>
      </w:r>
      <w:r>
        <w:t xml:space="preserve">“Documentation and Metadata”</w:t>
      </w:r>
      <w:r>
        <w:t xml:space="preserve">; University of Iowa Libraries,</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90">
        <w:r>
          <w:rPr>
            <w:rStyle w:val="Hyperlink"/>
          </w:rPr>
          <w:t xml:space="preserve">https://www.lib.uiowa.edu/</w:t>
        </w:r>
      </w:hyperlink>
      <w:r>
        <w:t xml:space="preserve">.</w:t>
      </w:r>
    </w:p>
  </w:footnote>
  <w:footnote w:id="491">
    <w:p>
      <w:pPr>
        <w:pStyle w:val="FootnoteText"/>
      </w:pPr>
      <w:r>
        <w:rPr>
          <w:rStyle w:val="FootnoteReference"/>
        </w:rPr>
        <w:footnoteRef/>
      </w:r>
      <w:r>
        <w:t xml:space="preserve"> </w:t>
      </w:r>
      <w:r>
        <w:t xml:space="preserve">Research Data Management,</w:t>
      </w:r>
      <w:r>
        <w:t xml:space="preserve"> </w:t>
      </w:r>
      <w:r>
        <w:t xml:space="preserve">“Metadata - How to</w:t>
      </w:r>
      <w:r>
        <w:t xml:space="preserve"> </w:t>
      </w:r>
      <w:r>
        <w:t xml:space="preserve">FAIR</w:t>
      </w:r>
      <w:r>
        <w:t xml:space="preserve">”</w:t>
      </w:r>
      <w:r>
        <w:t xml:space="preserve">; Melanie Cofield,</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92">
        <w:r>
          <w:rPr>
            <w:rStyle w:val="Hyperlink"/>
          </w:rPr>
          <w:t xml:space="preserve">https://guides.lib.utexas.edu/metadata-basics/key-concepts</w:t>
        </w:r>
      </w:hyperlink>
      <w:r>
        <w:t xml:space="preserve">.</w:t>
      </w:r>
    </w:p>
  </w:footnote>
  <w:footnote w:id="493">
    <w:p>
      <w:pPr>
        <w:pStyle w:val="FootnoteText"/>
      </w:pPr>
      <w:r>
        <w:rPr>
          <w:rStyle w:val="FootnoteReference"/>
        </w:rPr>
        <w:footnoteRef/>
      </w:r>
      <w:r>
        <w:t xml:space="preserve"> </w:t>
      </w:r>
      <w:r>
        <w:t xml:space="preserve">“Figshare - Credit for All Your Research. Figshare,”</w:t>
      </w:r>
      <w:r>
        <w:t xml:space="preserve"> </w:t>
      </w:r>
      <w:r>
        <w:t xml:space="preserve">accessed January 18, 2023,</w:t>
      </w:r>
      <w:r>
        <w:t xml:space="preserve"> </w:t>
      </w:r>
      <w:hyperlink r:id="rId494">
        <w:r>
          <w:rPr>
            <w:rStyle w:val="Hyperlink"/>
          </w:rPr>
          <w:t xml:space="preserve">https://figshare.com/</w:t>
        </w:r>
      </w:hyperlink>
      <w:r>
        <w:t xml:space="preserve">.</w:t>
      </w:r>
    </w:p>
  </w:footnote>
  <w:footnote w:id="498">
    <w:p>
      <w:pPr>
        <w:pStyle w:val="FootnoteText"/>
      </w:pPr>
      <w:r>
        <w:rPr>
          <w:rStyle w:val="FootnoteReference"/>
        </w:rPr>
        <w:footnoteRef/>
      </w:r>
      <w:r>
        <w:t xml:space="preserve"> </w:t>
      </w:r>
      <w:r>
        <w:t xml:space="preserve">Wasila Dahdul,</w:t>
      </w:r>
      <w:r>
        <w:t xml:space="preserve"> </w:t>
      </w:r>
      <w:r>
        <w:t xml:space="preserve">“Research Guides: Research Data Management: Describing Data,”</w:t>
      </w:r>
      <w:r>
        <w:t xml:space="preserve"> </w:t>
      </w:r>
      <w:r>
        <w:t xml:space="preserve">accessed January 18, 2023,</w:t>
      </w:r>
      <w:r>
        <w:t xml:space="preserve"> </w:t>
      </w:r>
      <w:hyperlink r:id="rId499">
        <w:r>
          <w:rPr>
            <w:rStyle w:val="Hyperlink"/>
          </w:rPr>
          <w:t xml:space="preserve">https://guides.lib.uci.edu/datamanagement/describe</w:t>
        </w:r>
      </w:hyperlink>
      <w:r>
        <w:t xml:space="preserve">.</w:t>
      </w:r>
    </w:p>
  </w:footnote>
  <w:footnote w:id="503">
    <w:p>
      <w:pPr>
        <w:pStyle w:val="FootnoteText"/>
      </w:pPr>
      <w:r>
        <w:rPr>
          <w:rStyle w:val="FootnoteReference"/>
        </w:rPr>
        <w:footnoteRef/>
      </w:r>
      <w:r>
        <w:t xml:space="preserve"> </w:t>
      </w: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04">
        <w:r>
          <w:rPr>
            <w:rStyle w:val="Hyperlink"/>
          </w:rPr>
          <w:t xml:space="preserve">https://www.ldbase.org/resources/user-guide/information-to-gather</w:t>
        </w:r>
      </w:hyperlink>
      <w:r>
        <w:t xml:space="preserve">; ICPSR,</w:t>
      </w:r>
      <w:r>
        <w:t xml:space="preserve"> </w:t>
      </w:r>
      <w:r>
        <w:t xml:space="preserve">“</w:t>
      </w:r>
      <w:r>
        <w:t xml:space="preserve">ICPSR</w:t>
      </w:r>
      <w:r>
        <w:t xml:space="preserve">, Data Management, Metadata,”</w:t>
      </w:r>
      <w:r>
        <w:t xml:space="preserve"> </w:t>
      </w:r>
      <w:r>
        <w:t xml:space="preserve">accessed January 18, 2023,</w:t>
      </w:r>
      <w:r>
        <w:t xml:space="preserve"> </w:t>
      </w:r>
      <w:hyperlink r:id="rId505">
        <w:r>
          <w:rPr>
            <w:rStyle w:val="Hyperlink"/>
          </w:rPr>
          <w:t xml:space="preserve">https://www.icpsr.umich.edu/web/pages/datamanagement/lifecycle/metadata.html</w:t>
        </w:r>
      </w:hyperlink>
      <w:r>
        <w:t xml:space="preserve">; Rick O. Gilmore,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06">
        <w:r>
          <w:rPr>
            <w:rStyle w:val="Hyperlink"/>
          </w:rPr>
          <w:t xml:space="preserve">https://doi.org/10.1177/2515245917746500</w:t>
        </w:r>
      </w:hyperlink>
      <w:r>
        <w:t xml:space="preserve">.</w:t>
      </w:r>
    </w:p>
  </w:footnote>
  <w:footnote w:id="507">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08">
    <w:p>
      <w:pPr>
        <w:pStyle w:val="FootnoteText"/>
      </w:pPr>
      <w:r>
        <w:rPr>
          <w:rStyle w:val="FootnoteReference"/>
        </w:rPr>
        <w:footnoteRef/>
      </w:r>
      <w:r>
        <w:t xml:space="preserve"> </w:t>
      </w:r>
      <w:r>
        <w:t xml:space="preserve">University of Pittsburgh Lindsay C. Page,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09">
        <w:r>
          <w:rPr>
            <w:rStyle w:val="Hyperlink"/>
          </w:rPr>
          <w:t xml:space="preserve">https://doi.org/10.3886/E121381V1</w:t>
        </w:r>
      </w:hyperlink>
      <w:r>
        <w:t xml:space="preserve">.</w:t>
      </w:r>
    </w:p>
  </w:footnote>
  <w:footnote w:id="513">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14">
    <w:p>
      <w:pPr>
        <w:pStyle w:val="FootnoteText"/>
      </w:pPr>
      <w:r>
        <w:rPr>
          <w:rStyle w:val="FootnoteReference"/>
        </w:rPr>
        <w:footnoteRef/>
      </w:r>
      <w:r>
        <w:t xml:space="preserve"> </w:t>
      </w:r>
      <w:r>
        <w:t xml:space="preserve">Erin M. Buchanan et al.,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15">
        <w:r>
          <w:rPr>
            <w:rStyle w:val="Hyperlink"/>
          </w:rPr>
          <w:t xml:space="preserve">https://doi.org/10.1177/2515245920928007</w:t>
        </w:r>
      </w:hyperlink>
      <w:r>
        <w:t xml:space="preserve">; Ruben C. Arslan,</w:t>
      </w:r>
      <w:r>
        <w:t xml:space="preserve"> </w:t>
      </w:r>
      <w:r>
        <w:t xml:space="preserve">“How to Automatically Document Data with the Codebook Package to Facilitate Data Re-Use,”</w:t>
      </w:r>
      <w:r>
        <w:t xml:space="preserve"> </w:t>
      </w:r>
      <w:r>
        <w:t xml:space="preserve">preprint (</w:t>
      </w:r>
      <w:r>
        <w:t xml:space="preserve">PsyArXiv</w:t>
      </w:r>
      <w:r>
        <w:t xml:space="preserve">, September 5, 2018),</w:t>
      </w:r>
      <w:r>
        <w:t xml:space="preserve"> </w:t>
      </w:r>
      <w:hyperlink r:id="rId516">
        <w:r>
          <w:rPr>
            <w:rStyle w:val="Hyperlink"/>
          </w:rPr>
          <w:t xml:space="preserve">https://doi.org/10.31234/osf.io/5qc6h</w:t>
        </w:r>
      </w:hyperlink>
      <w:r>
        <w:t xml:space="preserve">; 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17">
        <w:r>
          <w:rPr>
            <w:rStyle w:val="Hyperlink"/>
          </w:rPr>
          <w:t xml:space="preserve">https://www.usgs.gov/data-management/metadata-creation#tools</w:t>
        </w:r>
      </w:hyperlink>
      <w:r>
        <w:t xml:space="preserve">.</w:t>
      </w:r>
    </w:p>
  </w:footnote>
  <w:footnote w:id="518">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19">
    <w:p>
      <w:pPr>
        <w:pStyle w:val="FootnoteText"/>
      </w:pPr>
      <w:r>
        <w:rPr>
          <w:rStyle w:val="FootnoteReference"/>
        </w:rPr>
        <w:footnoteRef/>
      </w:r>
      <w:r>
        <w:t xml:space="preserve"> </w:t>
      </w:r>
      <w:r>
        <w:t xml:space="preserve">Mike Bolam,</w:t>
      </w:r>
      <w:r>
        <w:t xml:space="preserve"> </w:t>
      </w:r>
      <w:r>
        <w:t xml:space="preserve">“Guides: Metadata &amp; Discovery @ Pitt: Metadata Standards,”</w:t>
      </w:r>
      <w:r>
        <w:t xml:space="preserve"> </w:t>
      </w:r>
      <w:r>
        <w:t xml:space="preserve">accessed January 18, 2023,</w:t>
      </w:r>
      <w:r>
        <w:t xml:space="preserve"> </w:t>
      </w:r>
      <w:hyperlink r:id="rId520">
        <w:r>
          <w:rPr>
            <w:rStyle w:val="Hyperlink"/>
          </w:rPr>
          <w:t xml:space="preserve">https://pitt.libguides.com/metadatadiscovery/metadata-standards</w:t>
        </w:r>
      </w:hyperlink>
      <w:r>
        <w:t xml:space="preserve">; DDI Alliance,</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21">
        <w:r>
          <w:rPr>
            <w:rStyle w:val="Hyperlink"/>
          </w:rPr>
          <w:t xml:space="preserve">https://ddialliance.org/controlled-vocabularies</w:t>
        </w:r>
      </w:hyperlink>
      <w:r>
        <w:t xml:space="preserve">.</w:t>
      </w:r>
    </w:p>
  </w:footnote>
  <w:footnote w:id="522">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523">
    <w:p>
      <w:pPr>
        <w:pStyle w:val="FootnoteText"/>
      </w:pPr>
      <w:r>
        <w:rPr>
          <w:rStyle w:val="FootnoteReference"/>
        </w:rPr>
        <w:footnoteRef/>
      </w:r>
      <w:r>
        <w:t xml:space="preserve"> </w:t>
      </w:r>
      <w:r>
        <w:t xml:space="preserve">“Schema.org - Schema.org,”</w:t>
      </w:r>
      <w:r>
        <w:t xml:space="preserve"> </w:t>
      </w:r>
      <w:r>
        <w:t xml:space="preserve">accessed January 19, 2023,</w:t>
      </w:r>
      <w:r>
        <w:t xml:space="preserve"> </w:t>
      </w:r>
      <w:hyperlink r:id="rId524">
        <w:r>
          <w:rPr>
            <w:rStyle w:val="Hyperlink"/>
          </w:rPr>
          <w:t xml:space="preserve">https://www.schema.org/</w:t>
        </w:r>
      </w:hyperlink>
      <w:r>
        <w:t xml:space="preserve">.</w:t>
      </w:r>
    </w:p>
  </w:footnote>
  <w:footnote w:id="525">
    <w:p>
      <w:pPr>
        <w:pStyle w:val="FootnoteText"/>
      </w:pPr>
      <w:r>
        <w:rPr>
          <w:rStyle w:val="FootnoteReference"/>
        </w:rPr>
        <w:footnoteRef/>
      </w:r>
      <w:r>
        <w:t xml:space="preserve"> </w:t>
      </w:r>
      <w:r>
        <w:t xml:space="preserve">Education Sciences,</w:t>
      </w:r>
      <w:r>
        <w:t xml:space="preserve"> </w:t>
      </w:r>
      <w:r>
        <w:t xml:space="preserve">“Frequently Asked Questions about Providing Public Access to Data.”</w:t>
      </w:r>
    </w:p>
  </w:footnote>
  <w:footnote w:id="529">
    <w:p>
      <w:pPr>
        <w:pStyle w:val="FootnoteText"/>
      </w:pPr>
      <w:r>
        <w:rPr>
          <w:rStyle w:val="FootnoteReference"/>
        </w:rPr>
        <w:footnoteRef/>
      </w:r>
      <w:r>
        <w:t xml:space="preserve"> </w:t>
      </w:r>
      <w:r>
        <w:t xml:space="preserve">DDI Alliance,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30">
        <w:r>
          <w:rPr>
            <w:rStyle w:val="Hyperlink"/>
          </w:rPr>
          <w:t xml:space="preserve">https://ddialliance.org/resources/ddi-profiles/dc</w:t>
        </w:r>
      </w:hyperlink>
      <w:r>
        <w:t xml:space="preserve">.</w:t>
      </w:r>
    </w:p>
  </w:footnote>
  <w:footnote w:id="534">
    <w:p>
      <w:pPr>
        <w:pStyle w:val="FootnoteText"/>
      </w:pPr>
      <w:r>
        <w:rPr>
          <w:rStyle w:val="FootnoteReference"/>
        </w:rPr>
        <w:footnoteRef/>
      </w:r>
      <w:r>
        <w:t xml:space="preserve"> </w:t>
      </w:r>
      <w:r>
        <w:t xml:space="preserve">Lindsay C. Page, Matthew A. Lenard, and Luke Keele,</w:t>
      </w:r>
      <w:r>
        <w:t xml:space="preserve"> </w:t>
      </w:r>
      <w:r>
        <w:t xml:space="preserve">“The Design of Clustered Observational Studies in Education.”</w:t>
      </w:r>
    </w:p>
  </w:footnote>
  <w:footnote w:id="538">
    <w:p>
      <w:pPr>
        <w:pStyle w:val="FootnoteText"/>
      </w:pPr>
      <w:r>
        <w:rPr>
          <w:rStyle w:val="FootnoteReference"/>
        </w:rPr>
        <w:footnoteRef/>
      </w:r>
      <w:r>
        <w:t xml:space="preserve"> </w:t>
      </w:r>
      <w:r>
        <w:t xml:space="preserve">Lamar Soutter Library,</w:t>
      </w:r>
      <w:r>
        <w:t xml:space="preserve"> </w:t>
      </w:r>
      <w:r>
        <w:t xml:space="preserve">“</w:t>
      </w:r>
      <w:r>
        <w:t xml:space="preserve">NECDMC</w:t>
      </w:r>
      <w:r>
        <w:t xml:space="preserve"> </w:t>
      </w:r>
      <w:r>
        <w:t xml:space="preserve">- Modules for Managing Research Data</w:t>
      </w:r>
      <w:r>
        <w:t xml:space="preserve"> </w:t>
      </w:r>
      <w:r>
        <w:t xml:space="preserve"> </w:t>
      </w:r>
      <w:r>
        <w:t xml:space="preserve">Lamar Soutter Library - University of Massachusetts Medical School - Module 3,”</w:t>
      </w:r>
      <w:r>
        <w:t xml:space="preserve"> </w:t>
      </w:r>
      <w:r>
        <w:t xml:space="preserve">accessed February 10, 2023,</w:t>
      </w:r>
      <w:r>
        <w:t xml:space="preserve"> </w:t>
      </w:r>
      <w:hyperlink r:id="rId539">
        <w:r>
          <w:rPr>
            <w:rStyle w:val="Hyperlink"/>
          </w:rPr>
          <w:t xml:space="preserve">https://library.umassmed.edu/resources/necdmc/modules</w:t>
        </w:r>
      </w:hyperlink>
      <w:r>
        <w:t xml:space="preserve">.</w:t>
      </w:r>
    </w:p>
  </w:footnote>
  <w:footnote w:id="540">
    <w:p>
      <w:pPr>
        <w:pStyle w:val="FootnoteText"/>
      </w:pPr>
      <w:r>
        <w:rPr>
          <w:rStyle w:val="FootnoteReference"/>
        </w:rPr>
        <w:footnoteRef/>
      </w:r>
      <w:r>
        <w:t xml:space="preserve"> </w:t>
      </w:r>
      <w:r>
        <w:t xml:space="preserve">Figshare,</w:t>
      </w:r>
      <w:r>
        <w:t xml:space="preserve"> </w:t>
      </w:r>
      <w:r>
        <w:t xml:space="preserve">“Fair-Figshare,”</w:t>
      </w:r>
      <w:r>
        <w:t xml:space="preserve"> </w:t>
      </w:r>
      <w:r>
        <w:t xml:space="preserve">accessed February 21, 2023,</w:t>
      </w:r>
      <w:r>
        <w:t xml:space="preserve"> </w:t>
      </w:r>
      <w:hyperlink r:id="rId541">
        <w:r>
          <w:rPr>
            <w:rStyle w:val="Hyperlink"/>
          </w:rPr>
          <w:t xml:space="preserve">https://knowledge.figshare.com/publisher/fair-figshare</w:t>
        </w:r>
      </w:hyperlink>
      <w:r>
        <w:t xml:space="preserve">.</w:t>
      </w:r>
    </w:p>
  </w:footnote>
  <w:footnote w:id="542">
    <w:p>
      <w:pPr>
        <w:pStyle w:val="FootnoteText"/>
      </w:pPr>
      <w:r>
        <w:rPr>
          <w:rStyle w:val="FootnoteReference"/>
        </w:rPr>
        <w:footnoteRef/>
      </w:r>
      <w:r>
        <w:t xml:space="preserve"> </w:t>
      </w:r>
      <w:r>
        <w:t xml:space="preserve">Gretchen Gueguen,</w:t>
      </w:r>
      <w:r>
        <w:t xml:space="preserve"> </w:t>
      </w:r>
      <w:r>
        <w:t xml:space="preserve">“New</w:t>
      </w:r>
      <w:r>
        <w:t xml:space="preserve"> </w:t>
      </w:r>
      <w:r>
        <w:t xml:space="preserve">OSF</w:t>
      </w:r>
      <w:r>
        <w:t xml:space="preserve"> </w:t>
      </w:r>
      <w:r>
        <w:t xml:space="preserve">Metadata to Support Data Sharing Policy Compliance,”</w:t>
      </w:r>
      <w:r>
        <w:t xml:space="preserve"> </w:t>
      </w:r>
      <w:r>
        <w:t xml:space="preserve">accessed March 1, 2023,</w:t>
      </w:r>
      <w:r>
        <w:t xml:space="preserve"> </w:t>
      </w:r>
      <w:hyperlink r:id="rId543">
        <w:r>
          <w:rPr>
            <w:rStyle w:val="Hyperlink"/>
          </w:rPr>
          <w:t xml:space="preserve">https://www.cos.io/blog/new-osf-metadata-to-support-data-sharing-policy-compliance</w:t>
        </w:r>
      </w:hyperlink>
      <w:r>
        <w:t xml:space="preserve">.</w:t>
      </w:r>
    </w:p>
  </w:footnote>
  <w:footnote w:id="544">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45">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53">
    <w:p>
      <w:pPr>
        <w:pStyle w:val="FootnoteText"/>
      </w:pPr>
      <w:r>
        <w:rPr>
          <w:rStyle w:val="FootnoteReference"/>
        </w:rPr>
        <w:footnoteRef/>
      </w:r>
      <w:r>
        <w:t xml:space="preserve"> </w:t>
      </w:r>
      <w:r>
        <w:t xml:space="preserve">“Style Guide.”</w:t>
      </w:r>
    </w:p>
  </w:footnote>
  <w:footnote w:id="555">
    <w:p>
      <w:pPr>
        <w:pStyle w:val="FootnoteText"/>
      </w:pPr>
      <w:r>
        <w:rPr>
          <w:rStyle w:val="FootnoteReference"/>
        </w:rPr>
        <w:footnoteRef/>
      </w:r>
      <w:r>
        <w:t xml:space="preserve"> </w:t>
      </w:r>
      <w:r>
        <w:t xml:space="preserve">Tatiana Baquero Cakici,</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56">
        <w:r>
          <w:rPr>
            <w:rStyle w:val="Hyperlink"/>
          </w:rPr>
          <w:t xml:space="preserve">https://enterprise-knowledge.com/folders-v-metadata-sharepoint-document-libraries/</w:t>
        </w:r>
      </w:hyperlink>
      <w:r>
        <w:t xml:space="preserve">; Editorial Staff,</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57">
        <w:r>
          <w:rPr>
            <w:rStyle w:val="Hyperlink"/>
          </w:rPr>
          <w:t xml:space="preserve">https://www.webnots.com/how-to-add-and-use-tags-in-windows-10/</w:t>
        </w:r>
      </w:hyperlink>
      <w:r>
        <w:t xml:space="preserve">.</w:t>
      </w:r>
    </w:p>
  </w:footnote>
  <w:footnote w:id="558">
    <w:p>
      <w:pPr>
        <w:pStyle w:val="FootnoteText"/>
      </w:pPr>
      <w:r>
        <w:rPr>
          <w:rStyle w:val="FootnoteReference"/>
        </w:rPr>
        <w:footnoteRef/>
      </w:r>
      <w:r>
        <w:t xml:space="preserve"> </w:t>
      </w: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59">
        <w:r>
          <w:rPr>
            <w:rStyle w:val="Hyperlink"/>
          </w:rPr>
          <w:t xml:space="preserve">https://support.microsoft.com/en-us/office/restrictions-and-limitations-in-onedrive-and-sharepoint-64883a5d-228e-48f5-b3d2-eb39e07630fa</w:t>
        </w:r>
      </w:hyperlink>
      <w:r>
        <w:t xml:space="preserve">.</w:t>
      </w:r>
    </w:p>
  </w:footnote>
  <w:footnote w:id="560">
    <w:p>
      <w:pPr>
        <w:pStyle w:val="FootnoteText"/>
      </w:pPr>
      <w:r>
        <w:rPr>
          <w:rStyle w:val="FootnoteReference"/>
        </w:rPr>
        <w:footnoteRef/>
      </w:r>
      <w:r>
        <w:t xml:space="preserve"> </w:t>
      </w:r>
      <w:r>
        <w:t xml:space="preserve">Alvinashcraft,</w:t>
      </w:r>
      <w:r>
        <w:t xml:space="preserve"> </w:t>
      </w:r>
      <w:r>
        <w:t xml:space="preserve">“Naming Files, Paths, and Namespaces - Win32 Apps,”</w:t>
      </w:r>
      <w:r>
        <w:t xml:space="preserve"> </w:t>
      </w:r>
      <w:r>
        <w:t xml:space="preserve">December 15, 2022,</w:t>
      </w:r>
      <w:r>
        <w:t xml:space="preserve"> </w:t>
      </w:r>
      <w:hyperlink r:id="rId561">
        <w:r>
          <w:rPr>
            <w:rStyle w:val="Hyperlink"/>
          </w:rPr>
          <w:t xml:space="preserve">https://learn.microsoft.com/en-us/windows/win32/fileio/naming-a-file</w:t>
        </w:r>
      </w:hyperlink>
      <w:r>
        <w:t xml:space="preserve">.</w:t>
      </w:r>
    </w:p>
  </w:footnote>
  <w:footnote w:id="566">
    <w:p>
      <w:pPr>
        <w:pStyle w:val="FootnoteText"/>
      </w:pPr>
      <w:r>
        <w:rPr>
          <w:rStyle w:val="FootnoteReference"/>
        </w:rPr>
        <w:footnoteRef/>
      </w:r>
      <w:r>
        <w:t xml:space="preserve"> </w:t>
      </w:r>
      <w:r>
        <w:t xml:space="preserve">“Documents. Xkcd,”</w:t>
      </w:r>
      <w:r>
        <w:t xml:space="preserve"> </w:t>
      </w:r>
      <w:r>
        <w:t xml:space="preserve">accessed February 16, 2023,</w:t>
      </w:r>
      <w:r>
        <w:t xml:space="preserve"> </w:t>
      </w:r>
      <w:hyperlink r:id="rId567">
        <w:r>
          <w:rPr>
            <w:rStyle w:val="Hyperlink"/>
          </w:rPr>
          <w:t xml:space="preserve">https://xkcd.com/1459/</w:t>
        </w:r>
      </w:hyperlink>
      <w:r>
        <w:t xml:space="preserve">.</w:t>
      </w:r>
    </w:p>
  </w:footnote>
  <w:footnote w:id="569">
    <w:p>
      <w:pPr>
        <w:pStyle w:val="FootnoteText"/>
      </w:pPr>
      <w:r>
        <w:rPr>
          <w:rStyle w:val="FootnoteReference"/>
        </w:rPr>
        <w:footnoteRef/>
      </w:r>
      <w:r>
        <w:t xml:space="preserve"> </w:t>
      </w:r>
      <w:r>
        <w:t xml:space="preserve">“R: The r Base Package,”</w:t>
      </w:r>
      <w:r>
        <w:t xml:space="preserve"> </w:t>
      </w:r>
      <w:r>
        <w:t xml:space="preserve">accessed February 16, 2023,</w:t>
      </w:r>
      <w:r>
        <w:t xml:space="preserve"> </w:t>
      </w:r>
      <w:hyperlink r:id="rId570">
        <w:r>
          <w:rPr>
            <w:rStyle w:val="Hyperlink"/>
          </w:rPr>
          <w:t xml:space="preserve">https://stat.ethz.ch/R-manual/R-devel/library/base/html/00Index.html</w:t>
        </w:r>
      </w:hyperlink>
      <w:r>
        <w:t xml:space="preserve">; Jeremy Stangroom,</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71">
        <w:r>
          <w:rPr>
            <w:rStyle w:val="Hyperlink"/>
          </w:rPr>
          <w:t xml:space="preserve">https://ezspss.com/rules-for-naming-variables-in-spss/</w:t>
        </w:r>
      </w:hyperlink>
      <w:r>
        <w:t xml:space="preserve">.</w:t>
      </w:r>
    </w:p>
  </w:footnote>
  <w:footnote w:id="572">
    <w:p>
      <w:pPr>
        <w:pStyle w:val="FootnoteText"/>
      </w:pPr>
      <w:r>
        <w:rPr>
          <w:rStyle w:val="FootnoteReference"/>
        </w:rPr>
        <w:footnoteRef/>
      </w:r>
      <w:r>
        <w:t xml:space="preserve"> </w:t>
      </w:r>
      <w:r>
        <w:t xml:space="preserve">Emily Riederer,</w:t>
      </w:r>
      <w:r>
        <w:t xml:space="preserve"> </w:t>
      </w:r>
      <w:r>
        <w:t xml:space="preserve">“Column Names as Contracts. Emily Riederer,”</w:t>
      </w:r>
      <w:r>
        <w:t xml:space="preserve"> </w:t>
      </w:r>
      <w:r>
        <w:t xml:space="preserve">September 6, 2020,</w:t>
      </w:r>
      <w:r>
        <w:t xml:space="preserve"> </w:t>
      </w:r>
      <w:hyperlink r:id="rId573">
        <w:r>
          <w:rPr>
            <w:rStyle w:val="Hyperlink"/>
          </w:rPr>
          <w:t xml:space="preserve">https://emilyriederer.netlify.app/post/column-name-contracts/</w:t>
        </w:r>
      </w:hyperlink>
      <w:r>
        <w:t xml:space="preserve">.</w:t>
      </w:r>
    </w:p>
  </w:footnote>
  <w:footnote w:id="574">
    <w:p>
      <w:pPr>
        <w:pStyle w:val="FootnoteText"/>
      </w:pPr>
      <w:r>
        <w:rPr>
          <w:rStyle w:val="FootnoteReference"/>
        </w:rPr>
        <w:footnoteRef/>
      </w:r>
      <w:r>
        <w:t xml:space="preserve"> </w:t>
      </w:r>
      <w:r>
        <w:t xml:space="preserve">Reynolds, Schatschneider, and Logan,</w:t>
      </w:r>
      <w:r>
        <w:t xml:space="preserve"> </w:t>
      </w:r>
      <w:r>
        <w:t xml:space="preserve">“The Basics of Data Management.”</w:t>
      </w:r>
    </w:p>
  </w:footnote>
  <w:footnote w:id="578">
    <w:p>
      <w:pPr>
        <w:pStyle w:val="FootnoteText"/>
      </w:pPr>
      <w:r>
        <w:rPr>
          <w:rStyle w:val="FootnoteReference"/>
        </w:rPr>
        <w:footnoteRef/>
      </w:r>
      <w:r>
        <w:t xml:space="preserve"> </w:t>
      </w:r>
      <w:r>
        <w:t xml:space="preserve">Tourangeau,</w:t>
      </w:r>
      <w:r>
        <w:t xml:space="preserve"> </w:t>
      </w:r>
      <w:r>
        <w:t xml:space="preserve">“Early Childhood Longitudinal Study, Kindergarten Class of 2010–11 (</w:t>
      </w:r>
      <w:r>
        <w:t xml:space="preserve">ECLS</w:t>
      </w:r>
      <w:r>
        <w:t xml:space="preserve">-k.”</w:t>
      </w:r>
    </w:p>
  </w:footnote>
  <w:footnote w:id="583">
    <w:p>
      <w:pPr>
        <w:pStyle w:val="FootnoteText"/>
      </w:pPr>
      <w:r>
        <w:rPr>
          <w:rStyle w:val="FootnoteReference"/>
        </w:rPr>
        <w:footnoteRef/>
      </w:r>
      <w:r>
        <w:t xml:space="preserve"> </w:t>
      </w:r>
      <w:r>
        <w:t xml:space="preserve">Dr Timothy S. Farewell,</w:t>
      </w:r>
      <w:r>
        <w:t xml:space="preserve"> </w:t>
      </w:r>
      <w:r>
        <w:t xml:space="preserve">“My Easy r Script Header Template – Tim Farewell,”</w:t>
      </w:r>
      <w:r>
        <w:t xml:space="preserve"> </w:t>
      </w:r>
      <w:r>
        <w:t xml:space="preserve">April 10, 2018,</w:t>
      </w:r>
      <w:r>
        <w:t xml:space="preserve"> </w:t>
      </w:r>
      <w:hyperlink r:id="rId584">
        <w:r>
          <w:rPr>
            <w:rStyle w:val="Hyperlink"/>
          </w:rPr>
          <w:t xml:space="preserve">https://timfarewell.co.uk/my-r-script-header-template/</w:t>
        </w:r>
      </w:hyperlink>
      <w:r>
        <w:t xml:space="preserve">; Gergana Daskalova,</w:t>
      </w:r>
      <w:r>
        <w:t xml:space="preserve"> </w:t>
      </w:r>
      <w:r>
        <w:t xml:space="preserve">“Coding Etiquette. Coding Club,”</w:t>
      </w:r>
      <w:r>
        <w:t xml:space="preserve"> </w:t>
      </w:r>
      <w:r>
        <w:t xml:space="preserve">accessed February 17, 2023,</w:t>
      </w:r>
      <w:r>
        <w:t xml:space="preserve"> </w:t>
      </w:r>
      <w:hyperlink r:id="rId585">
        <w:r>
          <w:rPr>
            <w:rStyle w:val="Hyperlink"/>
          </w:rPr>
          <w:t xml:space="preserve">https://ourcodingclub.github.io/tutorials/etiquette/</w:t>
        </w:r>
      </w:hyperlink>
      <w:r>
        <w:t xml:space="preserve">.</w:t>
      </w:r>
    </w:p>
  </w:footnote>
  <w:footnote w:id="586">
    <w:p>
      <w:pPr>
        <w:pStyle w:val="FootnoteText"/>
      </w:pPr>
      <w:r>
        <w:rPr>
          <w:rStyle w:val="FootnoteReference"/>
        </w:rPr>
        <w:footnoteRef/>
      </w:r>
      <w:r>
        <w:t xml:space="preserve"> </w:t>
      </w:r>
      <w:r>
        <w:t xml:space="preserve">Hadley Wickham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87">
        <w:r>
          <w:rPr>
            <w:rStyle w:val="Hyperlink"/>
          </w:rPr>
          <w:t xml:space="preserve">https://r4ds.had.co.nz/workflow-projects.html</w:t>
        </w:r>
      </w:hyperlink>
      <w:r>
        <w:t xml:space="preserve">.</w:t>
      </w:r>
    </w:p>
  </w:footnote>
  <w:footnote w:id="593">
    <w:p>
      <w:pPr>
        <w:pStyle w:val="FootnoteText"/>
      </w:pPr>
      <w:r>
        <w:rPr>
          <w:rStyle w:val="FootnoteReference"/>
        </w:rPr>
        <w:footnoteRef/>
      </w:r>
      <w:r>
        <w:t xml:space="preserve"> </w:t>
      </w:r>
      <w:r>
        <w:t xml:space="preserve">Pacific University Oregon,</w:t>
      </w:r>
      <w:r>
        <w:t xml:space="preserve"> </w:t>
      </w:r>
      <w:r>
        <w:t xml:space="preserve">“Data Security and Storage. Pacific University,”</w:t>
      </w:r>
      <w:r>
        <w:t xml:space="preserve"> </w:t>
      </w:r>
      <w:r>
        <w:t xml:space="preserve">March 31, 2014,</w:t>
      </w:r>
      <w:r>
        <w:t xml:space="preserve"> </w:t>
      </w:r>
      <w:hyperlink r:id="rId594">
        <w:r>
          <w:rPr>
            <w:rStyle w:val="Hyperlink"/>
          </w:rPr>
          <w:t xml:space="preserve">https://www.pacificu.edu/academics/research/scholarship-and-sponsored-projects/research-compliance-integrity/institutional-review-board/irb-policies-recommended-practices/data-security-storage</w:t>
        </w:r>
      </w:hyperlink>
      <w:r>
        <w:t xml:space="preserve">.</w:t>
      </w:r>
    </w:p>
  </w:footnote>
  <w:footnote w:id="596">
    <w:p>
      <w:pPr>
        <w:pStyle w:val="FootnoteText"/>
      </w:pPr>
      <w:r>
        <w:rPr>
          <w:rStyle w:val="FootnoteReference"/>
        </w:rPr>
        <w:footnoteRef/>
      </w:r>
      <w:r>
        <w:t xml:space="preserve"> </w:t>
      </w:r>
      <w:r>
        <w:t xml:space="preserve">MaryQiu1987,</w:t>
      </w:r>
      <w:r>
        <w:t xml:space="preserve"> </w:t>
      </w:r>
      <w:r>
        <w:t xml:space="preserve">“Database Normalization Description - Office,”</w:t>
      </w:r>
      <w:r>
        <w:t xml:space="preserve"> </w:t>
      </w:r>
      <w:r>
        <w:t xml:space="preserve">May 5, 2022,</w:t>
      </w:r>
      <w:r>
        <w:t xml:space="preserve"> </w:t>
      </w:r>
      <w:hyperlink r:id="rId597">
        <w:r>
          <w:rPr>
            <w:rStyle w:val="Hyperlink"/>
          </w:rPr>
          <w:t xml:space="preserve">https://learn.microsoft.com/en-us/office/troubleshoot/access/database-normalization-description</w:t>
        </w:r>
      </w:hyperlink>
      <w:r>
        <w:t xml:space="preserve">; Ph D. David T. Bourgeois and Bourgeois,</w:t>
      </w:r>
      <w:r>
        <w:t xml:space="preserve"> </w:t>
      </w:r>
      <w:r>
        <w:rPr>
          <w:iCs/>
          <w:i/>
        </w:rPr>
        <w:t xml:space="preserve">Information Systems for Business and Beyond</w:t>
      </w:r>
      <w:r>
        <w:t xml:space="preserve"> </w:t>
      </w:r>
      <w:r>
        <w:t xml:space="preserve">(Published through the Open Textbook Challenge by the Saylor Academy, 2014),</w:t>
      </w:r>
      <w:r>
        <w:t xml:space="preserve"> </w:t>
      </w:r>
      <w:hyperlink r:id="rId598">
        <w:r>
          <w:rPr>
            <w:rStyle w:val="Hyperlink"/>
          </w:rPr>
          <w:t xml:space="preserve">https://pressbooks.pub/bus206/</w:t>
        </w:r>
      </w:hyperlink>
      <w:r>
        <w:t xml:space="preserve">.</w:t>
      </w:r>
    </w:p>
  </w:footnote>
  <w:footnote w:id="599">
    <w:p>
      <w:pPr>
        <w:pStyle w:val="FootnoteText"/>
      </w:pPr>
      <w:r>
        <w:rPr>
          <w:rStyle w:val="FootnoteReference"/>
        </w:rPr>
        <w:footnoteRef/>
      </w:r>
      <w:r>
        <w:t xml:space="preserve"> </w:t>
      </w:r>
      <w:r>
        <w:t xml:space="preserve">Kim Nguyen,</w:t>
      </w:r>
      <w:r>
        <w:t xml:space="preserve"> </w:t>
      </w:r>
      <w:r>
        <w:t xml:space="preserve">“Relational Database Schema Design Overview. Medium,”</w:t>
      </w:r>
      <w:r>
        <w:t xml:space="preserve"> </w:t>
      </w:r>
      <w:r>
        <w:t xml:space="preserve">October 4, 2017,</w:t>
      </w:r>
      <w:r>
        <w:t xml:space="preserve"> </w:t>
      </w:r>
      <w:hyperlink r:id="rId600">
        <w:r>
          <w:rPr>
            <w:rStyle w:val="Hyperlink"/>
          </w:rPr>
          <w:t xml:space="preserve">https://medium.com/@kimtnguyen/relational-database-schema-design-overview-70e447ff66f9</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9">
    <w:abstractNumId w:val="991"/>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1"/>
  </w:num>
  <w:num w:numId="1145">
    <w:abstractNumId w:val="991"/>
  </w:num>
  <w:num w:numId="1146">
    <w:abstractNumId w:val="991"/>
  </w:num>
  <w:num w:numId="1147">
    <w:abstractNumId w:val="991"/>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7" Target="media/rId157.png" /><Relationship Type="http://schemas.openxmlformats.org/officeDocument/2006/relationships/image" Id="rId137" Target="media/rId137.png" /><Relationship Type="http://schemas.openxmlformats.org/officeDocument/2006/relationships/image" Id="rId437" Target="media/rId437.png" /><Relationship Type="http://schemas.openxmlformats.org/officeDocument/2006/relationships/image" Id="rId125" Target="media/rId125.png" /><Relationship Type="http://schemas.openxmlformats.org/officeDocument/2006/relationships/image" Id="rId470" Target="media/rId470.png" /><Relationship Type="http://schemas.openxmlformats.org/officeDocument/2006/relationships/image" Id="rId474" Target="media/rId474.png" /><Relationship Type="http://schemas.openxmlformats.org/officeDocument/2006/relationships/image" Id="rId403" Target="media/rId403.png" /><Relationship Type="http://schemas.openxmlformats.org/officeDocument/2006/relationships/image" Id="rId441" Target="media/rId441.png" /><Relationship Type="http://schemas.openxmlformats.org/officeDocument/2006/relationships/image" Id="rId618" Target="media/rId618.png" /><Relationship Type="http://schemas.openxmlformats.org/officeDocument/2006/relationships/image" Id="rId270" Target="media/rId270.png" /><Relationship Type="http://schemas.openxmlformats.org/officeDocument/2006/relationships/image" Id="rId452" Target="media/rId452.png" /><Relationship Type="http://schemas.openxmlformats.org/officeDocument/2006/relationships/image" Id="rId457" Target="media/rId457.png" /><Relationship Type="http://schemas.openxmlformats.org/officeDocument/2006/relationships/image" Id="rId369" Target="media/rId369.png" /><Relationship Type="http://schemas.openxmlformats.org/officeDocument/2006/relationships/image" Id="rId629" Target="media/rId629.png" /><Relationship Type="http://schemas.openxmlformats.org/officeDocument/2006/relationships/image" Id="rId160" Target="media/rId160.png" /><Relationship Type="http://schemas.openxmlformats.org/officeDocument/2006/relationships/image" Id="rId154" Target="media/rId154.png" /><Relationship Type="http://schemas.openxmlformats.org/officeDocument/2006/relationships/image" Id="rId408" Target="media/rId408.png" /><Relationship Type="http://schemas.openxmlformats.org/officeDocument/2006/relationships/image" Id="rId622" Target="media/rId622.png" /><Relationship Type="http://schemas.openxmlformats.org/officeDocument/2006/relationships/image" Id="rId290" Target="media/rId290.png" /><Relationship Type="http://schemas.openxmlformats.org/officeDocument/2006/relationships/image" Id="rId187" Target="media/rId187.png" /><Relationship Type="http://schemas.openxmlformats.org/officeDocument/2006/relationships/image" Id="rId335" Target="media/rId335.png" /><Relationship Type="http://schemas.openxmlformats.org/officeDocument/2006/relationships/image" Id="rId314" Target="media/rId314.png" /><Relationship Type="http://schemas.openxmlformats.org/officeDocument/2006/relationships/image" Id="rId240" Target="media/rId240.png" /><Relationship Type="http://schemas.openxmlformats.org/officeDocument/2006/relationships/image" Id="rId305" Target="media/rId305.png" /><Relationship Type="http://schemas.openxmlformats.org/officeDocument/2006/relationships/image" Id="rId550" Target="media/rId550.png" /><Relationship Type="http://schemas.openxmlformats.org/officeDocument/2006/relationships/image" Id="rId338" Target="media/rId338.png" /><Relationship Type="http://schemas.openxmlformats.org/officeDocument/2006/relationships/image" Id="rId590" Target="media/rId590.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8" Target="media/rId178.png" /><Relationship Type="http://schemas.openxmlformats.org/officeDocument/2006/relationships/image" Id="rId500" Target="media/rId500.png" /><Relationship Type="http://schemas.openxmlformats.org/officeDocument/2006/relationships/image" Id="rId495" Target="media/rId495.png" /><Relationship Type="http://schemas.openxmlformats.org/officeDocument/2006/relationships/image" Id="rId531" Target="media/rId531.png" /><Relationship Type="http://schemas.openxmlformats.org/officeDocument/2006/relationships/image" Id="rId510" Target="media/rId510.png" /><Relationship Type="http://schemas.openxmlformats.org/officeDocument/2006/relationships/image" Id="rId526" Target="media/rId526.png" /><Relationship Type="http://schemas.openxmlformats.org/officeDocument/2006/relationships/image" Id="rId579" Target="media/rId579.png" /><Relationship Type="http://schemas.openxmlformats.org/officeDocument/2006/relationships/image" Id="rId361" Target="media/rId361.png" /><Relationship Type="http://schemas.openxmlformats.org/officeDocument/2006/relationships/image" Id="rId601" Target="media/rId601.png" /><Relationship Type="http://schemas.openxmlformats.org/officeDocument/2006/relationships/image" Id="rId605" Target="media/rId605.png" /><Relationship Type="http://schemas.openxmlformats.org/officeDocument/2006/relationships/image" Id="rId611" Target="media/rId611.png" /><Relationship Type="http://schemas.openxmlformats.org/officeDocument/2006/relationships/image" Id="rId386" Target="media/rId386.png" /><Relationship Type="http://schemas.openxmlformats.org/officeDocument/2006/relationships/image" Id="rId431" Target="media/rId431.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417" Target="media/rId417.png" /><Relationship Type="http://schemas.openxmlformats.org/officeDocument/2006/relationships/image" Id="rId414" Target="media/rId414.png" /><Relationship Type="http://schemas.openxmlformats.org/officeDocument/2006/relationships/image" Id="rId535" Target="media/rId535.png" /><Relationship Type="http://schemas.openxmlformats.org/officeDocument/2006/relationships/image" Id="rId285" Target="media/rId285.png" /><Relationship Type="http://schemas.openxmlformats.org/officeDocument/2006/relationships/image" Id="rId398" Target="media/rId398.png" /><Relationship Type="http://schemas.openxmlformats.org/officeDocument/2006/relationships/image" Id="rId151" Target="media/rId151.png" /><Relationship Type="http://schemas.openxmlformats.org/officeDocument/2006/relationships/image" Id="rId148" Target="media/rId148.png" /><Relationship Type="http://schemas.openxmlformats.org/officeDocument/2006/relationships/image" Id="rId175" Target="media/rId175.png" /><Relationship Type="http://schemas.openxmlformats.org/officeDocument/2006/relationships/image" Id="rId353" Target="media/rId353.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563" Target="media/rId563.png" /><Relationship Type="http://schemas.openxmlformats.org/officeDocument/2006/relationships/hyperlink" Id="rId392" Target="http://orrp.osu.edu/files/2011/10/GuidelinesforWritingaResearchProtocol.pdf" TargetMode="External" /><Relationship Type="http://schemas.openxmlformats.org/officeDocument/2006/relationships/hyperlink" Id="rId456" Target="http://websites.umich.edu/~pals/PALS%202000_V13Word97.pdf" TargetMode="External" /><Relationship Type="http://schemas.openxmlformats.org/officeDocument/2006/relationships/hyperlink" Id="rId447"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463" Target="https://data.nal.usda.gov/data-dictionary-blank-template" TargetMode="External" /><Relationship Type="http://schemas.openxmlformats.org/officeDocument/2006/relationships/hyperlink" Id="rId320" Target="https://dataoneorg.github.io/Education/bestpractices/define-roles-and" TargetMode="External" /><Relationship Type="http://schemas.openxmlformats.org/officeDocument/2006/relationships/hyperlink" Id="rId237" Target="https://dataoneorg.github.io/Education/bestpractices/provide-budget-information" TargetMode="External" /><Relationship Type="http://schemas.openxmlformats.org/officeDocument/2006/relationships/hyperlink" Id="rId521" Target="https://ddialliance.org/controlled-vocabularies" TargetMode="External" /><Relationship Type="http://schemas.openxmlformats.org/officeDocument/2006/relationships/hyperlink" Id="rId530" Target="https://ddialliance.org/resources/ddi-profiles/dc" TargetMode="External" /><Relationship Type="http://schemas.openxmlformats.org/officeDocument/2006/relationships/hyperlink" Id="rId390" Target="https://depts.washington.edu/wildfire/resources/protckl.pdf" TargetMode="External" /><Relationship Type="http://schemas.openxmlformats.org/officeDocument/2006/relationships/hyperlink" Id="rId484" Target="https://dmeg.cessda.eu/Data-Management-Expert-Guide/2.-Organise-Document/Documentation-and-metadata" TargetMode="External" /><Relationship Type="http://schemas.openxmlformats.org/officeDocument/2006/relationships/hyperlink" Id="rId368" Target="https://dmeg.cessda.eu/Data-Management-Expert-Guide/3.-Process/Data-authenticity" TargetMode="External" /><Relationship Type="http://schemas.openxmlformats.org/officeDocument/2006/relationships/hyperlink" Id="rId212"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4"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394" Target="https://docs.research.missouri.edu/human_subjects/templates/Social_Behavioral_Educational_Protocol_Template.docx" TargetMode="External" /><Relationship Type="http://schemas.openxmlformats.org/officeDocument/2006/relationships/hyperlink" Id="rId88"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9" Target="https://doi.org/10.1038/sdata.2016.18" TargetMode="External" /><Relationship Type="http://schemas.openxmlformats.org/officeDocument/2006/relationships/hyperlink" Id="rId143"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5" Target="https://doi.org/10.1177/0022219420945267" TargetMode="External" /><Relationship Type="http://schemas.openxmlformats.org/officeDocument/2006/relationships/hyperlink" Id="rId488" Target="https://doi.org/10.1177/23328584211006475" TargetMode="External" /><Relationship Type="http://schemas.openxmlformats.org/officeDocument/2006/relationships/hyperlink" Id="rId506" Target="https://doi.org/10.1177/2515245917746500" TargetMode="External" /><Relationship Type="http://schemas.openxmlformats.org/officeDocument/2006/relationships/hyperlink" Id="rId515"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7" Target="https://doi.org/10.1186/s13059-015-0850-7" TargetMode="External" /><Relationship Type="http://schemas.openxmlformats.org/officeDocument/2006/relationships/hyperlink" Id="rId68" Target="https://doi.org/10.1371/journal.pcbi.1004525" TargetMode="External" /><Relationship Type="http://schemas.openxmlformats.org/officeDocument/2006/relationships/hyperlink" Id="rId200"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4" Target="https://doi.org/10.18637/jss.v059.i10" TargetMode="External" /><Relationship Type="http://schemas.openxmlformats.org/officeDocument/2006/relationships/hyperlink" Id="rId73" Target="https://doi.org/10.2218/ijdc.v11i1.389" TargetMode="External" /><Relationship Type="http://schemas.openxmlformats.org/officeDocument/2006/relationships/hyperlink" Id="rId516" Target="https://doi.org/10.31234/osf.io/5qc6h" TargetMode="External" /><Relationship Type="http://schemas.openxmlformats.org/officeDocument/2006/relationships/hyperlink" Id="rId86" Target="https://doi.org/10.35542/osf.io/xqfwb" TargetMode="External" /><Relationship Type="http://schemas.openxmlformats.org/officeDocument/2006/relationships/hyperlink" Id="rId509" Target="https://doi.org/10.3886/E121381V1" TargetMode="External" /><Relationship Type="http://schemas.openxmlformats.org/officeDocument/2006/relationships/hyperlink" Id="rId396" Target="https://doi.org/10.3886/ICPSR38290.V1" TargetMode="External" /><Relationship Type="http://schemas.openxmlformats.org/officeDocument/2006/relationships/hyperlink" Id="rId294"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119" Target="https://doi.org/10.5195/jmla.2017.88" TargetMode="External" /><Relationship Type="http://schemas.openxmlformats.org/officeDocument/2006/relationships/hyperlink" Id="rId298" Target="https://doi.org/10.5278/16k4-4n24" TargetMode="External" /><Relationship Type="http://schemas.openxmlformats.org/officeDocument/2006/relationships/hyperlink" Id="rId244"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4"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263" Target="https://drive.google.com/file/d/14yHDsvV7V3EOASGUNVann2a-p2_zeSJg/view?usp=share_link" TargetMode="External" /><Relationship Type="http://schemas.openxmlformats.org/officeDocument/2006/relationships/hyperlink" Id="rId267" Target="https://drive.google.com/file/d/1Cb8pc03ciI0iwDoZ6R25z_kWsWHpFNfU/view?usp=share_link" TargetMode="External" /><Relationship Type="http://schemas.openxmlformats.org/officeDocument/2006/relationships/hyperlink" Id="rId255" Target="https://drive.google.com/file/d/1Es4LEW_FeYVPOXYs5zrYMyFVuqBUtDv-/view?usp=share_link" TargetMode="External" /><Relationship Type="http://schemas.openxmlformats.org/officeDocument/2006/relationships/hyperlink" Id="rId265" Target="https://drive.google.com/file/d/1MqX4C5xaEar0JTim37tsS4dqU1QVj2vC/view?usp=share_link" TargetMode="External" /><Relationship Type="http://schemas.openxmlformats.org/officeDocument/2006/relationships/hyperlink" Id="rId257" Target="https://drive.google.com/file/d/1Y58XnnJabykuCTMlUQqkfuU7Kz9mRS2f/view?usp=share_link" TargetMode="External" /><Relationship Type="http://schemas.openxmlformats.org/officeDocument/2006/relationships/hyperlink" Id="rId251" Target="https://drive.google.com/file/d/1cx8pc0ATJ7_dycvprEqqwDQkyvaNPl86/view?usp=share_link" TargetMode="External" /><Relationship Type="http://schemas.openxmlformats.org/officeDocument/2006/relationships/hyperlink" Id="rId425" Target="https://drive.google.com/file/d/1kP8CNyJREs7ssGo-R2_mi6wURUQcdhfA/view?usp=share_link" TargetMode="External" /><Relationship Type="http://schemas.openxmlformats.org/officeDocument/2006/relationships/hyperlink" Id="rId253" Target="https://drive.google.com/file/d/1ps9n6igmiwB9F-Q9zaQJlJF0NZyWDBzV/view?usp=share_link" TargetMode="External" /><Relationship Type="http://schemas.openxmlformats.org/officeDocument/2006/relationships/hyperlink" Id="rId259" Target="https://drive.google.com/file/d/1uB026LDCjw7-7pju-bzKuqg1PpCifehf/view?usp=share_link" TargetMode="External" /><Relationship Type="http://schemas.openxmlformats.org/officeDocument/2006/relationships/hyperlink" Id="rId261" Target="https://drive.google.com/file/d/1y5r54NHs7v3VXcWzJDAg4QAqSDlW33d7/view?usp=share_link" TargetMode="External" /><Relationship Type="http://schemas.openxmlformats.org/officeDocument/2006/relationships/hyperlink" Id="rId573" Target="https://emilyriederer.netlify.app/post/column-name-contracts/" TargetMode="External" /><Relationship Type="http://schemas.openxmlformats.org/officeDocument/2006/relationships/hyperlink" Id="rId374" Target="https://en.wikipedia.org/w/index.php?title=Style_guide&amp;oldid=1131556370" TargetMode="External" /><Relationship Type="http://schemas.openxmlformats.org/officeDocument/2006/relationships/hyperlink" Id="rId556"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9" Target="https://eur-synclab.github.io/" TargetMode="External" /><Relationship Type="http://schemas.openxmlformats.org/officeDocument/2006/relationships/hyperlink" Id="rId571" Target="https://ezspss.com/rules-for-naming-variables-in-spss/" TargetMode="External" /><Relationship Type="http://schemas.openxmlformats.org/officeDocument/2006/relationships/hyperlink" Id="rId494" Target="https://figshare.com/" TargetMode="External" /><Relationship Type="http://schemas.openxmlformats.org/officeDocument/2006/relationships/hyperlink" Id="rId478" Target="https://github.com/Cghlewis/codebook-pkg-comparison" TargetMode="External" /><Relationship Type="http://schemas.openxmlformats.org/officeDocument/2006/relationships/hyperlink" Id="rId499" Target="https://guides.lib.uci.edu/datamanagement/describe" TargetMode="External" /><Relationship Type="http://schemas.openxmlformats.org/officeDocument/2006/relationships/hyperlink" Id="rId492" Target="https://guides.lib.utexas.edu/metadata-basics/key-concepts" TargetMode="External" /><Relationship Type="http://schemas.openxmlformats.org/officeDocument/2006/relationships/hyperlink" Id="rId222" Target="https://help.figshare.com/article/how-to-write-a-data-management-plan-dmp-and-include-figshare-in-your-data-sharing-plans" TargetMode="External" /><Relationship Type="http://schemas.openxmlformats.org/officeDocument/2006/relationships/hyperlink" Id="rId196" Target="https://help.osf.io/article/144-creating-a-data-management-plan-dmp-document" TargetMode="External" /><Relationship Type="http://schemas.openxmlformats.org/officeDocument/2006/relationships/hyperlink" Id="rId465" Target="https://help.osf.io/article/217-how-to-make-a-data-dictionary" TargetMode="External" /><Relationship Type="http://schemas.openxmlformats.org/officeDocument/2006/relationships/hyperlink" Id="rId485" Target="https://howtofair.dk/how-to-fair/metadata/" TargetMode="External" /><Relationship Type="http://schemas.openxmlformats.org/officeDocument/2006/relationships/hyperlink" Id="rId376" Target="https://hwpi.harvard.edu/files/sdp/files/sdp-toolkit-coding-style-guide.pdf" TargetMode="External" /><Relationship Type="http://schemas.openxmlformats.org/officeDocument/2006/relationships/hyperlink" Id="rId451" Target="https://ictrweb.johnshopkins.edu/ictr/dmig/Best_Practice/a8376318-ebd6-421f-be63-acf8c88376a1_6342a1c3-1a5d-4287-a46e-374824e3780e.html?v=65849&amp;ip=hpdkvlttuiyioooqhw" TargetMode="External" /><Relationship Type="http://schemas.openxmlformats.org/officeDocument/2006/relationships/hyperlink" Id="rId384" Target="https://ictrweb.johnshopkins.edu/ictr/dmig/Best_Practice/a8376318-ebd6-421f-be63-acf8c88376a1_e0996b36-932a-44d5-94b0-61ad04f5774d.html?v=65849&amp;ip=qam562joeegjlraagoltna" TargetMode="External" /><Relationship Type="http://schemas.openxmlformats.org/officeDocument/2006/relationships/hyperlink" Id="rId121" Target="https://ies.ed.gov/funding/23rfas.asp" TargetMode="External" /><Relationship Type="http://schemas.openxmlformats.org/officeDocument/2006/relationships/hyperlink" Id="rId71" Target="https://ies.ed.gov/funding/datasharing_faq.asp" TargetMode="External" /><Relationship Type="http://schemas.openxmlformats.org/officeDocument/2006/relationships/hyperlink" Id="rId203"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2"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541" Target="https://knowledge.figshare.com/publisher/fair-figshare" TargetMode="External" /><Relationship Type="http://schemas.openxmlformats.org/officeDocument/2006/relationships/hyperlink" Id="rId597" Target="https://learn.microsoft.com/en-us/office/troubleshoot/access/database-normalization-description" TargetMode="External" /><Relationship Type="http://schemas.openxmlformats.org/officeDocument/2006/relationships/hyperlink" Id="rId561" Target="https://learn.microsoft.com/en-us/windows/win32/fileio/naming-a-file" TargetMode="External" /><Relationship Type="http://schemas.openxmlformats.org/officeDocument/2006/relationships/hyperlink" Id="rId325" Target="https://libguides.mines.edu/ld.php?content_id=49061255" TargetMode="External" /><Relationship Type="http://schemas.openxmlformats.org/officeDocument/2006/relationships/hyperlink" Id="rId91" Target="https://libguides.princeton.edu/c.php?g=102546&amp;p=665862" TargetMode="External" /><Relationship Type="http://schemas.openxmlformats.org/officeDocument/2006/relationships/hyperlink" Id="rId277" Target="https://library.csp.edu/Zotero/workflow" TargetMode="External" /><Relationship Type="http://schemas.openxmlformats.org/officeDocument/2006/relationships/hyperlink" Id="rId449" Target="https://library.ucmerced.edu/data-dictionaries" TargetMode="External" /><Relationship Type="http://schemas.openxmlformats.org/officeDocument/2006/relationships/hyperlink" Id="rId539" Target="https://library.umassmed.edu/resources/necdmc/modules" TargetMode="External" /><Relationship Type="http://schemas.openxmlformats.org/officeDocument/2006/relationships/hyperlink" Id="rId227" Target="https://library.weill.cornell.edu/research-support/research-data-management-retention-and-sharing" TargetMode="External" /><Relationship Type="http://schemas.openxmlformats.org/officeDocument/2006/relationships/hyperlink" Id="rId600" Target="https://medium.com/@kimtnguyen/relational-database-schema-design-overview-70e447ff66f9" TargetMode="External" /><Relationship Type="http://schemas.openxmlformats.org/officeDocument/2006/relationships/hyperlink" Id="rId407" Target="https://nces.ed.gov/pubs2015/2015074.pdf" TargetMode="External" /><Relationship Type="http://schemas.openxmlformats.org/officeDocument/2006/relationships/hyperlink" Id="rId206" Target="https://nij.ojp.gov/funding/data-archiving" TargetMode="External" /><Relationship Type="http://schemas.openxmlformats.org/officeDocument/2006/relationships/hyperlink" Id="rId191" Target="https://obamawhitehouse.archives.gov/the-press-office/2013/05/09/executive-order-making-open-and-machine-readable-new-default-government-" TargetMode="External" /><Relationship Type="http://schemas.openxmlformats.org/officeDocument/2006/relationships/hyperlink" Id="rId357" Target="https://osf.io/mdh87/" TargetMode="External" /><Relationship Type="http://schemas.openxmlformats.org/officeDocument/2006/relationships/hyperlink" Id="rId585"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20" Target="https://pitt.libguides.com/metadatadiscovery/metadata-standards" TargetMode="External" /><Relationship Type="http://schemas.openxmlformats.org/officeDocument/2006/relationships/hyperlink" Id="rId598" Target="https://pressbooks.pub/bus206/" TargetMode="External" /><Relationship Type="http://schemas.openxmlformats.org/officeDocument/2006/relationships/hyperlink" Id="rId101" Target="https://psyarxiv.com/rsn5y/" TargetMode="External" /><Relationship Type="http://schemas.openxmlformats.org/officeDocument/2006/relationships/hyperlink" Id="rId587" Target="https://r4ds.had.co.nz/workflow-projects.html" TargetMode="External" /><Relationship Type="http://schemas.openxmlformats.org/officeDocument/2006/relationships/hyperlink" Id="rId103" Target="https://retractionwatch.com/" TargetMode="External" /><Relationship Type="http://schemas.openxmlformats.org/officeDocument/2006/relationships/hyperlink" Id="rId194" Target="https://sharing.nih.gov/data-management-and-sharing-policy/planning-and-budgeting-DMS/writing-a-data-management-and-sharing-plan" TargetMode="External" /><Relationship Type="http://schemas.openxmlformats.org/officeDocument/2006/relationships/hyperlink" Id="rId229" Target="https://sharing.nih.gov/data-management-and-sharing-policy/planning-and-budgeting-for-data-management-and-sharing/budgeting-for-data-management-sharing#after" TargetMode="External" /><Relationship Type="http://schemas.openxmlformats.org/officeDocument/2006/relationships/hyperlink" Id="rId570" Target="https://stat.ethz.ch/R-manual/R-devel/library/base/html/00Index.html" TargetMode="External" /><Relationship Type="http://schemas.openxmlformats.org/officeDocument/2006/relationships/hyperlink" Id="rId378" Target="https://style.tidyverse.org/index.html" TargetMode="External" /><Relationship Type="http://schemas.openxmlformats.org/officeDocument/2006/relationships/hyperlink" Id="rId559" Target="https://support.microsoft.com/en-us/office/restrictions-and-limitations-in-onedrive-and-sharepoint-64883a5d-228e-48f5-b3d2-eb39e07630fa" TargetMode="External" /><Relationship Type="http://schemas.openxmlformats.org/officeDocument/2006/relationships/hyperlink" Id="rId347" Target="https://thefaylab.github.io/lab-manual/" TargetMode="External" /><Relationship Type="http://schemas.openxmlformats.org/officeDocument/2006/relationships/hyperlink" Id="rId584" Target="https://timfarewell.co.uk/my-r-script-header-template/" TargetMode="External" /><Relationship Type="http://schemas.openxmlformats.org/officeDocument/2006/relationships/hyperlink" Id="rId324" Target="https://tinyurl.com/nhba9mhc" TargetMode="External" /><Relationship Type="http://schemas.openxmlformats.org/officeDocument/2006/relationships/hyperlink" Id="rId92" Target="https://trace.tennessee.edu/cgi/viewcontent.cgi?article=1023&amp;context=utk_libpub" TargetMode="External" /><Relationship Type="http://schemas.openxmlformats.org/officeDocument/2006/relationships/hyperlink" Id="rId231" Target="https://ukdataservice.ac.uk//app/uploads/costingtool.pdf" TargetMode="External" /><Relationship Type="http://schemas.openxmlformats.org/officeDocument/2006/relationships/hyperlink" Id="rId487" Target="https://ukdataservice.ac.uk/learning-hub/research-data-management/document-your-data/metadata/" TargetMode="External" /><Relationship Type="http://schemas.openxmlformats.org/officeDocument/2006/relationships/hyperlink" Id="rId429" Target="https://ukdataservice.ac.uk/learning-hub/research-data-management/format-your-data/quality/" TargetMode="External" /><Relationship Type="http://schemas.openxmlformats.org/officeDocument/2006/relationships/hyperlink" Id="rId436" Target="https://ukdataservice.ac.uk/learning-hub/research-data-management/format-your-data/versioning/" TargetMode="External" /><Relationship Type="http://schemas.openxmlformats.org/officeDocument/2006/relationships/hyperlink" Id="rId225" Target="https://ukdataservice.ac.uk/learning-hub/research-data-management/plan-to-share/costing/" TargetMode="External" /><Relationship Type="http://schemas.openxmlformats.org/officeDocument/2006/relationships/hyperlink" Id="rId309" Target="https://ukdataservice.ac.uk/learning-hub/research-data-management/plan-to-share/roles-and-responsibilities/" TargetMode="External" /><Relationship Type="http://schemas.openxmlformats.org/officeDocument/2006/relationships/hyperlink" Id="rId349" Target="https://uploads.strikinglycdn.com/files/f3dfcf89-32f2-48cb-94cd-3070f733c53d/RAISE%20Lab%20Guidelines_Final.pdf" TargetMode="External" /><Relationship Type="http://schemas.openxmlformats.org/officeDocument/2006/relationships/hyperlink" Id="rId302" Target="https://web.stanford.edu/~gentzkow/research/CodeAndData.pdf" TargetMode="External" /><Relationship Type="http://schemas.openxmlformats.org/officeDocument/2006/relationships/hyperlink" Id="rId84"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402" Target="https://www.consort-statement.org/consort-statement/flow-diagram" TargetMode="External" /><Relationship Type="http://schemas.openxmlformats.org/officeDocument/2006/relationships/hyperlink" Id="rId117" Target="https://www.cos.io" TargetMode="External" /><Relationship Type="http://schemas.openxmlformats.org/officeDocument/2006/relationships/hyperlink" Id="rId543" Target="https://www.cos.io/blog/new-osf-metadata-to-support-data-sharing-policy-compliance" TargetMode="External" /><Relationship Type="http://schemas.openxmlformats.org/officeDocument/2006/relationships/hyperlink" Id="rId107" Target="https://www.go-fair.org/fair-principles/" TargetMode="External" /><Relationship Type="http://schemas.openxmlformats.org/officeDocument/2006/relationships/hyperlink" Id="rId220" Target="https://www.icpsr.umich.edu/files/ICPSR/nih/FINAL_ICPSR-NIH-DMS-Plan-Template_2023.docx" TargetMode="External" /><Relationship Type="http://schemas.openxmlformats.org/officeDocument/2006/relationships/hyperlink" Id="rId469" Target="https://www.icpsr.umich.edu/files/deposit/Guide-to-Codebooks_v1.pdf" TargetMode="External" /><Relationship Type="http://schemas.openxmlformats.org/officeDocument/2006/relationships/hyperlink" Id="rId505" Target="https://www.icpsr.umich.edu/web/pages/datamanagement/lifecycle/metadata.html" TargetMode="External" /><Relationship Type="http://schemas.openxmlformats.org/officeDocument/2006/relationships/hyperlink" Id="rId201" Target="https://www.icpsr.umich.edu/web/pages/deposit/guide/" TargetMode="External" /><Relationship Type="http://schemas.openxmlformats.org/officeDocument/2006/relationships/hyperlink" Id="rId504" Target="https://www.ldbase.org/resources/user-guide/information-to-gather" TargetMode="External" /><Relationship Type="http://schemas.openxmlformats.org/officeDocument/2006/relationships/hyperlink" Id="rId490" Target="https://www.lib.uiowa.edu/" TargetMode="External" /><Relationship Type="http://schemas.openxmlformats.org/officeDocument/2006/relationships/hyperlink" Id="rId216"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18" Target="https://www.nichd.nih.gov/sites/default/files/inline-files/Example_DMS_Plan-Human-Survey-NIH_Format_Page_V2.pdf" TargetMode="External" /><Relationship Type="http://schemas.openxmlformats.org/officeDocument/2006/relationships/hyperlink" Id="rId208" Target="https://www.nsf.gov/bfa/dias/policy/dmpdocs/ehr.pdf" TargetMode="External" /><Relationship Type="http://schemas.openxmlformats.org/officeDocument/2006/relationships/hyperlink" Id="rId413" Target="https://www.nucats.northwestern.edu/docs/cecd/overview-of-sops.pdf" TargetMode="External" /><Relationship Type="http://schemas.openxmlformats.org/officeDocument/2006/relationships/hyperlink" Id="rId421" Target="https://www.nucats.northwestern.edu/docs/cecd/writing-sops-and-templates.pdf" TargetMode="External" /><Relationship Type="http://schemas.openxmlformats.org/officeDocument/2006/relationships/hyperlink" Id="rId594"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6" Target="https://www.povertyactionlab.org/resource/formalize-research-partnership-and-establish-roles-and-expectations" TargetMode="External" /><Relationship Type="http://schemas.openxmlformats.org/officeDocument/2006/relationships/hyperlink" Id="rId289" Target="https://www.povertyactionlab.org/sites/default/files/research-resources/rr_grantprop_Template_Gantt_Chart.pdf" TargetMode="External" /><Relationship Type="http://schemas.openxmlformats.org/officeDocument/2006/relationships/hyperlink" Id="rId82" Target="https://www.psychologicalscience.org/publications/ampps" TargetMode="External" /><Relationship Type="http://schemas.openxmlformats.org/officeDocument/2006/relationships/hyperlink" Id="rId342" Target="https://www.rsb.org.uk//biologist-features/how-to-write-a-lab-handbook" TargetMode="External" /><Relationship Type="http://schemas.openxmlformats.org/officeDocument/2006/relationships/hyperlink" Id="rId351" Target="https://www.rsb.org.uk/images/biologist/2020/Apr_May_2020_67-2/67.2_Handbook.pdf" TargetMode="External" /><Relationship Type="http://schemas.openxmlformats.org/officeDocument/2006/relationships/hyperlink" Id="rId524" Target="https://www.schema.org/" TargetMode="External" /><Relationship Type="http://schemas.openxmlformats.org/officeDocument/2006/relationships/hyperlink" Id="rId182" Target="https://www.theanalysisfactor.com/wide-and-long-data/" TargetMode="External" /><Relationship Type="http://schemas.openxmlformats.org/officeDocument/2006/relationships/hyperlink" Id="rId517" Target="https://www.usgs.gov/data-management/metadata-creation#tools" TargetMode="External" /><Relationship Type="http://schemas.openxmlformats.org/officeDocument/2006/relationships/hyperlink" Id="rId131" Target="https://www.usgs.gov/faqs/what-are-differences-between-data-dataset-and-database" TargetMode="External" /><Relationship Type="http://schemas.openxmlformats.org/officeDocument/2006/relationships/hyperlink" Id="rId423" Target="https://www.uts.edu.au/sites/default/files/2020-07/5.5.5%20Allocation%20of%20Participant%20ID%20Numbers%20V2.5_20200520.pdf" TargetMode="External" /><Relationship Type="http://schemas.openxmlformats.org/officeDocument/2006/relationships/hyperlink" Id="rId233" Target="https://www.utwente.nl/en/service-portal/services/lisa/resources/files/library-public/dcc-rdm-costs-estimation.pdf" TargetMode="External" /><Relationship Type="http://schemas.openxmlformats.org/officeDocument/2006/relationships/hyperlink" Id="rId235" Target="https://www.uu.nl/en/research/research-data-management/guides/costs-of-data-management" TargetMode="External" /><Relationship Type="http://schemas.openxmlformats.org/officeDocument/2006/relationships/hyperlink" Id="rId557"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67"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392" Target="http://orrp.osu.edu/files/2011/10/GuidelinesforWritingaResearchProtocol.pdf" TargetMode="External" /><Relationship Type="http://schemas.openxmlformats.org/officeDocument/2006/relationships/hyperlink" Id="rId456" Target="http://websites.umich.edu/~pals/PALS%202000_V13Word97.pdf" TargetMode="External" /><Relationship Type="http://schemas.openxmlformats.org/officeDocument/2006/relationships/hyperlink" Id="rId447"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463" Target="https://data.nal.usda.gov/data-dictionary-blank-template" TargetMode="External" /><Relationship Type="http://schemas.openxmlformats.org/officeDocument/2006/relationships/hyperlink" Id="rId320" Target="https://dataoneorg.github.io/Education/bestpractices/define-roles-and" TargetMode="External" /><Relationship Type="http://schemas.openxmlformats.org/officeDocument/2006/relationships/hyperlink" Id="rId237" Target="https://dataoneorg.github.io/Education/bestpractices/provide-budget-information" TargetMode="External" /><Relationship Type="http://schemas.openxmlformats.org/officeDocument/2006/relationships/hyperlink" Id="rId521" Target="https://ddialliance.org/controlled-vocabularies" TargetMode="External" /><Relationship Type="http://schemas.openxmlformats.org/officeDocument/2006/relationships/hyperlink" Id="rId530" Target="https://ddialliance.org/resources/ddi-profiles/dc" TargetMode="External" /><Relationship Type="http://schemas.openxmlformats.org/officeDocument/2006/relationships/hyperlink" Id="rId390" Target="https://depts.washington.edu/wildfire/resources/protckl.pdf" TargetMode="External" /><Relationship Type="http://schemas.openxmlformats.org/officeDocument/2006/relationships/hyperlink" Id="rId484" Target="https://dmeg.cessda.eu/Data-Management-Expert-Guide/2.-Organise-Document/Documentation-and-metadata" TargetMode="External" /><Relationship Type="http://schemas.openxmlformats.org/officeDocument/2006/relationships/hyperlink" Id="rId368" Target="https://dmeg.cessda.eu/Data-Management-Expert-Guide/3.-Process/Data-authenticity" TargetMode="External" /><Relationship Type="http://schemas.openxmlformats.org/officeDocument/2006/relationships/hyperlink" Id="rId212"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4"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394" Target="https://docs.research.missouri.edu/human_subjects/templates/Social_Behavioral_Educational_Protocol_Template.docx" TargetMode="External" /><Relationship Type="http://schemas.openxmlformats.org/officeDocument/2006/relationships/hyperlink" Id="rId88"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9" Target="https://doi.org/10.1038/sdata.2016.18" TargetMode="External" /><Relationship Type="http://schemas.openxmlformats.org/officeDocument/2006/relationships/hyperlink" Id="rId143"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5" Target="https://doi.org/10.1177/0022219420945267" TargetMode="External" /><Relationship Type="http://schemas.openxmlformats.org/officeDocument/2006/relationships/hyperlink" Id="rId488" Target="https://doi.org/10.1177/23328584211006475" TargetMode="External" /><Relationship Type="http://schemas.openxmlformats.org/officeDocument/2006/relationships/hyperlink" Id="rId506" Target="https://doi.org/10.1177/2515245917746500" TargetMode="External" /><Relationship Type="http://schemas.openxmlformats.org/officeDocument/2006/relationships/hyperlink" Id="rId515"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7" Target="https://doi.org/10.1186/s13059-015-0850-7" TargetMode="External" /><Relationship Type="http://schemas.openxmlformats.org/officeDocument/2006/relationships/hyperlink" Id="rId68" Target="https://doi.org/10.1371/journal.pcbi.1004525" TargetMode="External" /><Relationship Type="http://schemas.openxmlformats.org/officeDocument/2006/relationships/hyperlink" Id="rId200"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4" Target="https://doi.org/10.18637/jss.v059.i10" TargetMode="External" /><Relationship Type="http://schemas.openxmlformats.org/officeDocument/2006/relationships/hyperlink" Id="rId73" Target="https://doi.org/10.2218/ijdc.v11i1.389" TargetMode="External" /><Relationship Type="http://schemas.openxmlformats.org/officeDocument/2006/relationships/hyperlink" Id="rId516" Target="https://doi.org/10.31234/osf.io/5qc6h" TargetMode="External" /><Relationship Type="http://schemas.openxmlformats.org/officeDocument/2006/relationships/hyperlink" Id="rId86" Target="https://doi.org/10.35542/osf.io/xqfwb" TargetMode="External" /><Relationship Type="http://schemas.openxmlformats.org/officeDocument/2006/relationships/hyperlink" Id="rId509" Target="https://doi.org/10.3886/E121381V1" TargetMode="External" /><Relationship Type="http://schemas.openxmlformats.org/officeDocument/2006/relationships/hyperlink" Id="rId396" Target="https://doi.org/10.3886/ICPSR38290.V1" TargetMode="External" /><Relationship Type="http://schemas.openxmlformats.org/officeDocument/2006/relationships/hyperlink" Id="rId294"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119" Target="https://doi.org/10.5195/jmla.2017.88" TargetMode="External" /><Relationship Type="http://schemas.openxmlformats.org/officeDocument/2006/relationships/hyperlink" Id="rId298" Target="https://doi.org/10.5278/16k4-4n24" TargetMode="External" /><Relationship Type="http://schemas.openxmlformats.org/officeDocument/2006/relationships/hyperlink" Id="rId244"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4"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263" Target="https://drive.google.com/file/d/14yHDsvV7V3EOASGUNVann2a-p2_zeSJg/view?usp=share_link" TargetMode="External" /><Relationship Type="http://schemas.openxmlformats.org/officeDocument/2006/relationships/hyperlink" Id="rId267" Target="https://drive.google.com/file/d/1Cb8pc03ciI0iwDoZ6R25z_kWsWHpFNfU/view?usp=share_link" TargetMode="External" /><Relationship Type="http://schemas.openxmlformats.org/officeDocument/2006/relationships/hyperlink" Id="rId255" Target="https://drive.google.com/file/d/1Es4LEW_FeYVPOXYs5zrYMyFVuqBUtDv-/view?usp=share_link" TargetMode="External" /><Relationship Type="http://schemas.openxmlformats.org/officeDocument/2006/relationships/hyperlink" Id="rId265" Target="https://drive.google.com/file/d/1MqX4C5xaEar0JTim37tsS4dqU1QVj2vC/view?usp=share_link" TargetMode="External" /><Relationship Type="http://schemas.openxmlformats.org/officeDocument/2006/relationships/hyperlink" Id="rId257" Target="https://drive.google.com/file/d/1Y58XnnJabykuCTMlUQqkfuU7Kz9mRS2f/view?usp=share_link" TargetMode="External" /><Relationship Type="http://schemas.openxmlformats.org/officeDocument/2006/relationships/hyperlink" Id="rId251" Target="https://drive.google.com/file/d/1cx8pc0ATJ7_dycvprEqqwDQkyvaNPl86/view?usp=share_link" TargetMode="External" /><Relationship Type="http://schemas.openxmlformats.org/officeDocument/2006/relationships/hyperlink" Id="rId425" Target="https://drive.google.com/file/d/1kP8CNyJREs7ssGo-R2_mi6wURUQcdhfA/view?usp=share_link" TargetMode="External" /><Relationship Type="http://schemas.openxmlformats.org/officeDocument/2006/relationships/hyperlink" Id="rId253" Target="https://drive.google.com/file/d/1ps9n6igmiwB9F-Q9zaQJlJF0NZyWDBzV/view?usp=share_link" TargetMode="External" /><Relationship Type="http://schemas.openxmlformats.org/officeDocument/2006/relationships/hyperlink" Id="rId259" Target="https://drive.google.com/file/d/1uB026LDCjw7-7pju-bzKuqg1PpCifehf/view?usp=share_link" TargetMode="External" /><Relationship Type="http://schemas.openxmlformats.org/officeDocument/2006/relationships/hyperlink" Id="rId261" Target="https://drive.google.com/file/d/1y5r54NHs7v3VXcWzJDAg4QAqSDlW33d7/view?usp=share_link" TargetMode="External" /><Relationship Type="http://schemas.openxmlformats.org/officeDocument/2006/relationships/hyperlink" Id="rId573" Target="https://emilyriederer.netlify.app/post/column-name-contracts/" TargetMode="External" /><Relationship Type="http://schemas.openxmlformats.org/officeDocument/2006/relationships/hyperlink" Id="rId374" Target="https://en.wikipedia.org/w/index.php?title=Style_guide&amp;oldid=1131556370" TargetMode="External" /><Relationship Type="http://schemas.openxmlformats.org/officeDocument/2006/relationships/hyperlink" Id="rId556"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9" Target="https://eur-synclab.github.io/" TargetMode="External" /><Relationship Type="http://schemas.openxmlformats.org/officeDocument/2006/relationships/hyperlink" Id="rId571" Target="https://ezspss.com/rules-for-naming-variables-in-spss/" TargetMode="External" /><Relationship Type="http://schemas.openxmlformats.org/officeDocument/2006/relationships/hyperlink" Id="rId494" Target="https://figshare.com/" TargetMode="External" /><Relationship Type="http://schemas.openxmlformats.org/officeDocument/2006/relationships/hyperlink" Id="rId478" Target="https://github.com/Cghlewis/codebook-pkg-comparison" TargetMode="External" /><Relationship Type="http://schemas.openxmlformats.org/officeDocument/2006/relationships/hyperlink" Id="rId499" Target="https://guides.lib.uci.edu/datamanagement/describe" TargetMode="External" /><Relationship Type="http://schemas.openxmlformats.org/officeDocument/2006/relationships/hyperlink" Id="rId492" Target="https://guides.lib.utexas.edu/metadata-basics/key-concepts" TargetMode="External" /><Relationship Type="http://schemas.openxmlformats.org/officeDocument/2006/relationships/hyperlink" Id="rId222" Target="https://help.figshare.com/article/how-to-write-a-data-management-plan-dmp-and-include-figshare-in-your-data-sharing-plans" TargetMode="External" /><Relationship Type="http://schemas.openxmlformats.org/officeDocument/2006/relationships/hyperlink" Id="rId196" Target="https://help.osf.io/article/144-creating-a-data-management-plan-dmp-document" TargetMode="External" /><Relationship Type="http://schemas.openxmlformats.org/officeDocument/2006/relationships/hyperlink" Id="rId465" Target="https://help.osf.io/article/217-how-to-make-a-data-dictionary" TargetMode="External" /><Relationship Type="http://schemas.openxmlformats.org/officeDocument/2006/relationships/hyperlink" Id="rId485" Target="https://howtofair.dk/how-to-fair/metadata/" TargetMode="External" /><Relationship Type="http://schemas.openxmlformats.org/officeDocument/2006/relationships/hyperlink" Id="rId376" Target="https://hwpi.harvard.edu/files/sdp/files/sdp-toolkit-coding-style-guide.pdf" TargetMode="External" /><Relationship Type="http://schemas.openxmlformats.org/officeDocument/2006/relationships/hyperlink" Id="rId451" Target="https://ictrweb.johnshopkins.edu/ictr/dmig/Best_Practice/a8376318-ebd6-421f-be63-acf8c88376a1_6342a1c3-1a5d-4287-a46e-374824e3780e.html?v=65849&amp;ip=hpdkvlttuiyioooqhw" TargetMode="External" /><Relationship Type="http://schemas.openxmlformats.org/officeDocument/2006/relationships/hyperlink" Id="rId384" Target="https://ictrweb.johnshopkins.edu/ictr/dmig/Best_Practice/a8376318-ebd6-421f-be63-acf8c88376a1_e0996b36-932a-44d5-94b0-61ad04f5774d.html?v=65849&amp;ip=qam562joeegjlraagoltna" TargetMode="External" /><Relationship Type="http://schemas.openxmlformats.org/officeDocument/2006/relationships/hyperlink" Id="rId121" Target="https://ies.ed.gov/funding/23rfas.asp" TargetMode="External" /><Relationship Type="http://schemas.openxmlformats.org/officeDocument/2006/relationships/hyperlink" Id="rId71" Target="https://ies.ed.gov/funding/datasharing_faq.asp" TargetMode="External" /><Relationship Type="http://schemas.openxmlformats.org/officeDocument/2006/relationships/hyperlink" Id="rId203"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2"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541" Target="https://knowledge.figshare.com/publisher/fair-figshare" TargetMode="External" /><Relationship Type="http://schemas.openxmlformats.org/officeDocument/2006/relationships/hyperlink" Id="rId597" Target="https://learn.microsoft.com/en-us/office/troubleshoot/access/database-normalization-description" TargetMode="External" /><Relationship Type="http://schemas.openxmlformats.org/officeDocument/2006/relationships/hyperlink" Id="rId561" Target="https://learn.microsoft.com/en-us/windows/win32/fileio/naming-a-file" TargetMode="External" /><Relationship Type="http://schemas.openxmlformats.org/officeDocument/2006/relationships/hyperlink" Id="rId325" Target="https://libguides.mines.edu/ld.php?content_id=49061255" TargetMode="External" /><Relationship Type="http://schemas.openxmlformats.org/officeDocument/2006/relationships/hyperlink" Id="rId91" Target="https://libguides.princeton.edu/c.php?g=102546&amp;p=665862" TargetMode="External" /><Relationship Type="http://schemas.openxmlformats.org/officeDocument/2006/relationships/hyperlink" Id="rId277" Target="https://library.csp.edu/Zotero/workflow" TargetMode="External" /><Relationship Type="http://schemas.openxmlformats.org/officeDocument/2006/relationships/hyperlink" Id="rId449" Target="https://library.ucmerced.edu/data-dictionaries" TargetMode="External" /><Relationship Type="http://schemas.openxmlformats.org/officeDocument/2006/relationships/hyperlink" Id="rId539" Target="https://library.umassmed.edu/resources/necdmc/modules" TargetMode="External" /><Relationship Type="http://schemas.openxmlformats.org/officeDocument/2006/relationships/hyperlink" Id="rId227" Target="https://library.weill.cornell.edu/research-support/research-data-management-retention-and-sharing" TargetMode="External" /><Relationship Type="http://schemas.openxmlformats.org/officeDocument/2006/relationships/hyperlink" Id="rId600" Target="https://medium.com/@kimtnguyen/relational-database-schema-design-overview-70e447ff66f9" TargetMode="External" /><Relationship Type="http://schemas.openxmlformats.org/officeDocument/2006/relationships/hyperlink" Id="rId407" Target="https://nces.ed.gov/pubs2015/2015074.pdf" TargetMode="External" /><Relationship Type="http://schemas.openxmlformats.org/officeDocument/2006/relationships/hyperlink" Id="rId206" Target="https://nij.ojp.gov/funding/data-archiving" TargetMode="External" /><Relationship Type="http://schemas.openxmlformats.org/officeDocument/2006/relationships/hyperlink" Id="rId191" Target="https://obamawhitehouse.archives.gov/the-press-office/2013/05/09/executive-order-making-open-and-machine-readable-new-default-government-" TargetMode="External" /><Relationship Type="http://schemas.openxmlformats.org/officeDocument/2006/relationships/hyperlink" Id="rId357" Target="https://osf.io/mdh87/" TargetMode="External" /><Relationship Type="http://schemas.openxmlformats.org/officeDocument/2006/relationships/hyperlink" Id="rId585"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20" Target="https://pitt.libguides.com/metadatadiscovery/metadata-standards" TargetMode="External" /><Relationship Type="http://schemas.openxmlformats.org/officeDocument/2006/relationships/hyperlink" Id="rId598" Target="https://pressbooks.pub/bus206/" TargetMode="External" /><Relationship Type="http://schemas.openxmlformats.org/officeDocument/2006/relationships/hyperlink" Id="rId101" Target="https://psyarxiv.com/rsn5y/" TargetMode="External" /><Relationship Type="http://schemas.openxmlformats.org/officeDocument/2006/relationships/hyperlink" Id="rId587" Target="https://r4ds.had.co.nz/workflow-projects.html" TargetMode="External" /><Relationship Type="http://schemas.openxmlformats.org/officeDocument/2006/relationships/hyperlink" Id="rId103" Target="https://retractionwatch.com/" TargetMode="External" /><Relationship Type="http://schemas.openxmlformats.org/officeDocument/2006/relationships/hyperlink" Id="rId194" Target="https://sharing.nih.gov/data-management-and-sharing-policy/planning-and-budgeting-DMS/writing-a-data-management-and-sharing-plan" TargetMode="External" /><Relationship Type="http://schemas.openxmlformats.org/officeDocument/2006/relationships/hyperlink" Id="rId229" Target="https://sharing.nih.gov/data-management-and-sharing-policy/planning-and-budgeting-for-data-management-and-sharing/budgeting-for-data-management-sharing#after" TargetMode="External" /><Relationship Type="http://schemas.openxmlformats.org/officeDocument/2006/relationships/hyperlink" Id="rId570" Target="https://stat.ethz.ch/R-manual/R-devel/library/base/html/00Index.html" TargetMode="External" /><Relationship Type="http://schemas.openxmlformats.org/officeDocument/2006/relationships/hyperlink" Id="rId378" Target="https://style.tidyverse.org/index.html" TargetMode="External" /><Relationship Type="http://schemas.openxmlformats.org/officeDocument/2006/relationships/hyperlink" Id="rId559" Target="https://support.microsoft.com/en-us/office/restrictions-and-limitations-in-onedrive-and-sharepoint-64883a5d-228e-48f5-b3d2-eb39e07630fa" TargetMode="External" /><Relationship Type="http://schemas.openxmlformats.org/officeDocument/2006/relationships/hyperlink" Id="rId347" Target="https://thefaylab.github.io/lab-manual/" TargetMode="External" /><Relationship Type="http://schemas.openxmlformats.org/officeDocument/2006/relationships/hyperlink" Id="rId584" Target="https://timfarewell.co.uk/my-r-script-header-template/" TargetMode="External" /><Relationship Type="http://schemas.openxmlformats.org/officeDocument/2006/relationships/hyperlink" Id="rId324" Target="https://tinyurl.com/nhba9mhc" TargetMode="External" /><Relationship Type="http://schemas.openxmlformats.org/officeDocument/2006/relationships/hyperlink" Id="rId92" Target="https://trace.tennessee.edu/cgi/viewcontent.cgi?article=1023&amp;context=utk_libpub" TargetMode="External" /><Relationship Type="http://schemas.openxmlformats.org/officeDocument/2006/relationships/hyperlink" Id="rId231" Target="https://ukdataservice.ac.uk//app/uploads/costingtool.pdf" TargetMode="External" /><Relationship Type="http://schemas.openxmlformats.org/officeDocument/2006/relationships/hyperlink" Id="rId487" Target="https://ukdataservice.ac.uk/learning-hub/research-data-management/document-your-data/metadata/" TargetMode="External" /><Relationship Type="http://schemas.openxmlformats.org/officeDocument/2006/relationships/hyperlink" Id="rId429" Target="https://ukdataservice.ac.uk/learning-hub/research-data-management/format-your-data/quality/" TargetMode="External" /><Relationship Type="http://schemas.openxmlformats.org/officeDocument/2006/relationships/hyperlink" Id="rId436" Target="https://ukdataservice.ac.uk/learning-hub/research-data-management/format-your-data/versioning/" TargetMode="External" /><Relationship Type="http://schemas.openxmlformats.org/officeDocument/2006/relationships/hyperlink" Id="rId225" Target="https://ukdataservice.ac.uk/learning-hub/research-data-management/plan-to-share/costing/" TargetMode="External" /><Relationship Type="http://schemas.openxmlformats.org/officeDocument/2006/relationships/hyperlink" Id="rId309" Target="https://ukdataservice.ac.uk/learning-hub/research-data-management/plan-to-share/roles-and-responsibilities/" TargetMode="External" /><Relationship Type="http://schemas.openxmlformats.org/officeDocument/2006/relationships/hyperlink" Id="rId349" Target="https://uploads.strikinglycdn.com/files/f3dfcf89-32f2-48cb-94cd-3070f733c53d/RAISE%20Lab%20Guidelines_Final.pdf" TargetMode="External" /><Relationship Type="http://schemas.openxmlformats.org/officeDocument/2006/relationships/hyperlink" Id="rId302" Target="https://web.stanford.edu/~gentzkow/research/CodeAndData.pdf" TargetMode="External" /><Relationship Type="http://schemas.openxmlformats.org/officeDocument/2006/relationships/hyperlink" Id="rId84"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402" Target="https://www.consort-statement.org/consort-statement/flow-diagram" TargetMode="External" /><Relationship Type="http://schemas.openxmlformats.org/officeDocument/2006/relationships/hyperlink" Id="rId117" Target="https://www.cos.io" TargetMode="External" /><Relationship Type="http://schemas.openxmlformats.org/officeDocument/2006/relationships/hyperlink" Id="rId543" Target="https://www.cos.io/blog/new-osf-metadata-to-support-data-sharing-policy-compliance" TargetMode="External" /><Relationship Type="http://schemas.openxmlformats.org/officeDocument/2006/relationships/hyperlink" Id="rId107" Target="https://www.go-fair.org/fair-principles/" TargetMode="External" /><Relationship Type="http://schemas.openxmlformats.org/officeDocument/2006/relationships/hyperlink" Id="rId220" Target="https://www.icpsr.umich.edu/files/ICPSR/nih/FINAL_ICPSR-NIH-DMS-Plan-Template_2023.docx" TargetMode="External" /><Relationship Type="http://schemas.openxmlformats.org/officeDocument/2006/relationships/hyperlink" Id="rId469" Target="https://www.icpsr.umich.edu/files/deposit/Guide-to-Codebooks_v1.pdf" TargetMode="External" /><Relationship Type="http://schemas.openxmlformats.org/officeDocument/2006/relationships/hyperlink" Id="rId505" Target="https://www.icpsr.umich.edu/web/pages/datamanagement/lifecycle/metadata.html" TargetMode="External" /><Relationship Type="http://schemas.openxmlformats.org/officeDocument/2006/relationships/hyperlink" Id="rId201" Target="https://www.icpsr.umich.edu/web/pages/deposit/guide/" TargetMode="External" /><Relationship Type="http://schemas.openxmlformats.org/officeDocument/2006/relationships/hyperlink" Id="rId504" Target="https://www.ldbase.org/resources/user-guide/information-to-gather" TargetMode="External" /><Relationship Type="http://schemas.openxmlformats.org/officeDocument/2006/relationships/hyperlink" Id="rId490" Target="https://www.lib.uiowa.edu/" TargetMode="External" /><Relationship Type="http://schemas.openxmlformats.org/officeDocument/2006/relationships/hyperlink" Id="rId216"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18" Target="https://www.nichd.nih.gov/sites/default/files/inline-files/Example_DMS_Plan-Human-Survey-NIH_Format_Page_V2.pdf" TargetMode="External" /><Relationship Type="http://schemas.openxmlformats.org/officeDocument/2006/relationships/hyperlink" Id="rId208" Target="https://www.nsf.gov/bfa/dias/policy/dmpdocs/ehr.pdf" TargetMode="External" /><Relationship Type="http://schemas.openxmlformats.org/officeDocument/2006/relationships/hyperlink" Id="rId413" Target="https://www.nucats.northwestern.edu/docs/cecd/overview-of-sops.pdf" TargetMode="External" /><Relationship Type="http://schemas.openxmlformats.org/officeDocument/2006/relationships/hyperlink" Id="rId421" Target="https://www.nucats.northwestern.edu/docs/cecd/writing-sops-and-templates.pdf" TargetMode="External" /><Relationship Type="http://schemas.openxmlformats.org/officeDocument/2006/relationships/hyperlink" Id="rId594"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6" Target="https://www.povertyactionlab.org/resource/formalize-research-partnership-and-establish-roles-and-expectations" TargetMode="External" /><Relationship Type="http://schemas.openxmlformats.org/officeDocument/2006/relationships/hyperlink" Id="rId289" Target="https://www.povertyactionlab.org/sites/default/files/research-resources/rr_grantprop_Template_Gantt_Chart.pdf" TargetMode="External" /><Relationship Type="http://schemas.openxmlformats.org/officeDocument/2006/relationships/hyperlink" Id="rId82" Target="https://www.psychologicalscience.org/publications/ampps" TargetMode="External" /><Relationship Type="http://schemas.openxmlformats.org/officeDocument/2006/relationships/hyperlink" Id="rId342" Target="https://www.rsb.org.uk//biologist-features/how-to-write-a-lab-handbook" TargetMode="External" /><Relationship Type="http://schemas.openxmlformats.org/officeDocument/2006/relationships/hyperlink" Id="rId351" Target="https://www.rsb.org.uk/images/biologist/2020/Apr_May_2020_67-2/67.2_Handbook.pdf" TargetMode="External" /><Relationship Type="http://schemas.openxmlformats.org/officeDocument/2006/relationships/hyperlink" Id="rId524" Target="https://www.schema.org/" TargetMode="External" /><Relationship Type="http://schemas.openxmlformats.org/officeDocument/2006/relationships/hyperlink" Id="rId182" Target="https://www.theanalysisfactor.com/wide-and-long-data/" TargetMode="External" /><Relationship Type="http://schemas.openxmlformats.org/officeDocument/2006/relationships/hyperlink" Id="rId517" Target="https://www.usgs.gov/data-management/metadata-creation#tools" TargetMode="External" /><Relationship Type="http://schemas.openxmlformats.org/officeDocument/2006/relationships/hyperlink" Id="rId131" Target="https://www.usgs.gov/faqs/what-are-differences-between-data-dataset-and-database" TargetMode="External" /><Relationship Type="http://schemas.openxmlformats.org/officeDocument/2006/relationships/hyperlink" Id="rId423" Target="https://www.uts.edu.au/sites/default/files/2020-07/5.5.5%20Allocation%20of%20Participant%20ID%20Numbers%20V2.5_20200520.pdf" TargetMode="External" /><Relationship Type="http://schemas.openxmlformats.org/officeDocument/2006/relationships/hyperlink" Id="rId233" Target="https://www.utwente.nl/en/service-portal/services/lisa/resources/files/library-public/dcc-rdm-costs-estimation.pdf" TargetMode="External" /><Relationship Type="http://schemas.openxmlformats.org/officeDocument/2006/relationships/hyperlink" Id="rId235" Target="https://www.uu.nl/en/research/research-data-management/guides/costs-of-data-management" TargetMode="External" /><Relationship Type="http://schemas.openxmlformats.org/officeDocument/2006/relationships/hyperlink" Id="rId557"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67"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2023-03-02T14:44:33Z</dcterms:created>
  <dcterms:modified xsi:type="dcterms:W3CDTF">2023-03-02T14:44:33Z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book_featured.PNG</vt:lpwstr>
  </property>
  <property fmtid="{D5CDD505-2E9C-101B-9397-08002B2CF9AE}" pid="6" name="csl">
    <vt:lpwstr>chicago-fullnote-bibliography.csl</vt:lpwstr>
  </property>
  <property fmtid="{D5CDD505-2E9C-101B-9397-08002B2CF9AE}" pid="7" name="date">
    <vt:lpwstr>2023-03-02</vt:lpwstr>
  </property>
  <property fmtid="{D5CDD505-2E9C-101B-9397-08002B2CF9AE}" pid="8" name="documentclass">
    <vt:lpwstr>book</vt:lpwstr>
  </property>
  <property fmtid="{D5CDD505-2E9C-101B-9397-08002B2CF9AE}" pid="9" name="site">
    <vt:lpwstr>bookdown::bookdown_site</vt:lpwstr>
  </property>
</Properties>
</file>