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png" ContentType="image/png"/>
  <Override PartName="/word/media/rId128.png" ContentType="image/png"/>
  <Override PartName="/word/media/rId115.png" ContentType="image/png"/>
  <Override PartName="/word/media/rId151.png" ContentType="image/png"/>
  <Override PartName="/word/media/rId145.png" ContentType="image/png"/>
  <Override PartName="/word/media/rId156.png" ContentType="image/png"/>
  <Override PartName="/word/media/rId159.png" ContentType="image/png"/>
  <Override PartName="/word/media/rId162.png" ContentType="image/png"/>
  <Override PartName="/word/media/rId169.png" ContentType="image/png"/>
  <Override PartName="/word/media/rId122.png" ContentType="image/png"/>
  <Override PartName="/word/media/rId136.png" ContentType="image/png"/>
  <Override PartName="/word/media/rId142.png" ContentType="image/png"/>
  <Override PartName="/word/media/rId139.png" ContentType="image/png"/>
  <Override PartName="/word/media/rId1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2022-10-21</w:t>
      </w:r>
    </w:p>
    <w:bookmarkStart w:id="55"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3"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the ramifications of this unstandardized system are felt by both the project team and future data users.</w:t>
      </w:r>
    </w:p>
    <w:bookmarkEnd w:id="23"/>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4"/>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5"/>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7"/>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planning,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29"/>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how to structure and share data,</w:t>
      </w:r>
      <w:r>
        <w:rPr>
          <w:rStyle w:val="FootnoteReference"/>
        </w:rPr>
        <w:footnoteReference w:id="32"/>
      </w:r>
      <w:r>
        <w:t xml:space="preserve"> the field of education has yet to develop agreed upon rules for things such as data documentation or data formats. This lack of standards leads to inconsistencies in the quality of data products across the field.</w:t>
      </w:r>
      <w:r>
        <w:rPr>
          <w:rStyle w:val="FootnoteReference"/>
        </w:rPr>
        <w:footnoteReference w:id="34"/>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1" w:name="about-this-book"/>
    <w:p>
      <w:pPr>
        <w:pStyle w:val="Heading2"/>
      </w:pPr>
      <w:r>
        <w:rPr>
          <w:rStyle w:val="SectionNumber"/>
        </w:rPr>
        <w:t xml:space="preserve">1.3</w:t>
      </w:r>
      <w:r>
        <w:tab/>
      </w:r>
      <w:r>
        <w:t xml:space="preserve">About this book</w:t>
      </w:r>
    </w:p>
    <w:p>
      <w:pPr>
        <w:pStyle w:val="FirstParagraph"/>
      </w:pPr>
      <w:r>
        <w:t xml:space="preserve">While the field as a whole may not have agreed upon guidelines for data management, there are still best practices that are proven to result in more usable, reproducible, and reliable data. My hope is that this book can be a foundation to help researchers think through how to build a quality, standardized data management workflow that works for their team and their projects. As suggested in the title of this book, this content is designed to specifically help teams navigate the complicated workflows associated with large-scale research studies, such as randomized controlled trial studies, but ultimately these practices are applicable to any research project, no matter the scale.</w:t>
      </w:r>
    </w:p>
    <w:p>
      <w:pPr>
        <w:pStyle w:val="BodyText"/>
      </w:pPr>
      <w:r>
        <w:t xml:space="preserve">This book should be viewed as a handbook to be referenced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49"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49"/>
    <w:bookmarkStart w:id="50"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t xml:space="preserve">“</w:t>
      </w:r>
      <w:r>
        <w:t xml:space="preserve">easiest</w:t>
      </w:r>
      <w:r>
        <w:t xml:space="preserve">”</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0"/>
    <w:bookmarkEnd w:id="51"/>
    <w:bookmarkStart w:id="52"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2"/>
    <w:bookmarkStart w:id="53"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the practices that work for you and your team and implement them consistently. For some teams that may look like implementing just a few of the suggestions mentioned and for others it may involve implementing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3"/>
    <w:bookmarkStart w:id="54"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4"/>
    <w:bookmarkEnd w:id="55"/>
    <w:bookmarkStart w:id="119" w:name="research-data-management"/>
    <w:p>
      <w:pPr>
        <w:pStyle w:val="Heading1"/>
      </w:pPr>
      <w:r>
        <w:rPr>
          <w:rStyle w:val="SectionNumber"/>
        </w:rPr>
        <w:t xml:space="preserve">2</w:t>
      </w:r>
      <w:r>
        <w:tab/>
      </w:r>
      <w:r>
        <w:t xml:space="preserve">Research Data Management</w:t>
      </w:r>
    </w:p>
    <w:bookmarkStart w:id="60"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6"/>
      </w:r>
      <w:r>
        <w:t xml:space="preserve"> Research study data includes materials generated or collected throughout a research process.</w:t>
      </w:r>
      <w:r>
        <w:rPr>
          <w:rStyle w:val="FootnoteReference"/>
        </w:rPr>
        <w:footnoteReference w:id="58"/>
      </w:r>
      <w:r>
        <w:t xml:space="preserve"> As you can imagine, this broad definition includes much more than just the management of digital datasets. It also includes physical files, documentation, artifacts, recordings, and more. RDM is a substantial undertaking that begins long before data is ever collected, during the planning phase, and continues well after a research project ends during the archiving phase.</w:t>
      </w:r>
    </w:p>
    <w:bookmarkEnd w:id="60"/>
    <w:bookmarkStart w:id="75" w:name="standards"/>
    <w:p>
      <w:pPr>
        <w:pStyle w:val="Heading2"/>
      </w:pPr>
      <w:r>
        <w:rPr>
          <w:rStyle w:val="SectionNumber"/>
        </w:rPr>
        <w:t xml:space="preserve">2.2</w:t>
      </w:r>
      <w:r>
        <w:tab/>
      </w:r>
      <w:r>
        <w:t xml:space="preserve">Standards</w:t>
      </w:r>
    </w:p>
    <w:p>
      <w:pPr>
        <w:pStyle w:val="FirstParagraph"/>
      </w:pPr>
      <w:r>
        <w:t xml:space="preserve">Data management standards refer to how data should be stored, organized, and described.</w:t>
      </w:r>
      <w:r>
        <w:rPr>
          <w:rStyle w:val="FootnoteReference"/>
        </w:rPr>
        <w:footnoteReference w:id="61"/>
      </w:r>
      <w:r>
        <w:t xml:space="preserve"> While some fields have generally adopted metadata standards developed by organizations such as the Data Documentation Initiative</w:t>
      </w:r>
      <w:r>
        <w:rPr>
          <w:rStyle w:val="FootnoteReference"/>
        </w:rPr>
        <w:footnoteReference w:id="62"/>
      </w:r>
      <w:r>
        <w:t xml:space="preserve"> </w:t>
      </w:r>
      <w:r>
        <w:t xml:space="preserve">and Dublin Core</w:t>
      </w:r>
      <w:r>
        <w:rPr>
          <w:rStyle w:val="FootnoteReference"/>
        </w:rPr>
        <w:footnoteReference w:id="64"/>
      </w:r>
      <w:r>
        <w:t xml:space="preserve"> </w:t>
      </w:r>
      <w:r>
        <w:t xml:space="preserve">(we’ll talk about this more in documentation [</w:t>
      </w:r>
      <w:r>
        <w:t xml:space="preserve">7</w:t>
      </w:r>
      <w:r>
        <w:t xml:space="preserve">]), and some have adopted data structure standards developed by organizations like the Text Encoding Initiative,</w:t>
      </w:r>
      <w:r>
        <w:rPr>
          <w:rStyle w:val="FootnoteReference"/>
        </w:rPr>
        <w:footnoteReference w:id="66"/>
      </w:r>
      <w:r>
        <w:t xml:space="preserve"> it is common knowledge that there are no agreed-upon norms for how to structure and share data in the field of education.</w:t>
      </w:r>
      <w:r>
        <w:rPr>
          <w:rStyle w:val="FootnoteReference"/>
        </w:rPr>
        <w:footnoteReference w:id="68"/>
      </w:r>
      <w:r>
        <w:t xml:space="preserve"> The rules for what data should be produced and how it should be documented is often left up to each individual team, as long as external requirements of the IRB and funders are met.</w:t>
      </w:r>
      <w:r>
        <w:rPr>
          <w:rStyle w:val="FootnoteReference"/>
        </w:rPr>
        <w:footnoteReference w:id="70"/>
      </w:r>
      <w:r>
        <w:t xml:space="preserve"> However, with a growing interest in open science practices and expanding requirements for federally funded research to make data publicly available,</w:t>
      </w:r>
      <w:r>
        <w:rPr>
          <w:rStyle w:val="FootnoteReference"/>
        </w:rPr>
        <w:footnoteReference w:id="72"/>
      </w:r>
      <w:r>
        <w:t xml:space="preserve"> data repositories will most likely begin to play a stronger role in promoting standards around data formats and documentation.</w:t>
      </w:r>
      <w:r>
        <w:rPr>
          <w:rStyle w:val="FootnoteReference"/>
        </w:rPr>
        <w:footnoteReference w:id="74"/>
      </w:r>
    </w:p>
    <w:p>
      <w:pPr>
        <w:pStyle w:val="BodyText"/>
      </w:pPr>
      <w:r>
        <w:t xml:space="preserve">While field standards for the structure and format of publicly shared products that aid in the preservation and re-use of data are very much needed, there are actually good reasons to not impose standardization on all data management activities across the field. Granting some flexibility in the process of managing data during active data collection allows teams to implement the best practices that work for their projects, as long as those projects implement practices consistently during their project and produce similar quality outputs across the field.</w:t>
      </w:r>
    </w:p>
    <w:bookmarkEnd w:id="75"/>
    <w:bookmarkStart w:id="97" w:name="why-care-about-research-data-management"/>
    <w:p>
      <w:pPr>
        <w:pStyle w:val="Heading2"/>
      </w:pPr>
      <w:r>
        <w:rPr>
          <w:rStyle w:val="SectionNumber"/>
        </w:rPr>
        <w:t xml:space="preserve">2.3</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Developing internal standards, implemented in a reproducible data management workflow</w:t>
      </w:r>
      <w:r>
        <w:t xml:space="preserve"> </w:t>
      </w:r>
      <w:r>
        <w:t xml:space="preserve">??</w:t>
      </w:r>
      <w:r>
        <w:t xml:space="preserve">, allows practices to be implemented consistently and with fidelity. There are both external pressures and personal reasons to care about developing research data management standards for your projects.</w:t>
      </w:r>
    </w:p>
    <w:bookmarkStart w:id="88" w:name="external-reasons"/>
    <w:p>
      <w:pPr>
        <w:pStyle w:val="Heading3"/>
      </w:pPr>
      <w:r>
        <w:rPr>
          <w:rStyle w:val="SectionNumber"/>
        </w:rPr>
        <w:t xml:space="preserve">2.3.1</w:t>
      </w:r>
      <w:r>
        <w:tab/>
      </w:r>
      <w:r>
        <w:t xml:space="preserve">External Reasons</w:t>
      </w:r>
    </w:p>
    <w:p>
      <w:pPr>
        <w:numPr>
          <w:ilvl w:val="0"/>
          <w:numId w:val="1001"/>
        </w:numPr>
      </w:pPr>
      <w:r>
        <w:rPr>
          <w:bCs/>
          <w:b/>
        </w:rPr>
        <w:t xml:space="preserve">Funder compliance</w:t>
      </w:r>
      <w:r>
        <w:t xml:space="preserve">: 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76"/>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78"/>
      </w:r>
      <w:r>
        <w:t xml:space="preserve"> Along with this mandatory data sharing policy, comes the incentive to manage your data for the purposes of data sharing.</w:t>
      </w:r>
      <w:r>
        <w:rPr>
          <w:rStyle w:val="FootnoteReference"/>
        </w:rPr>
        <w:footnoteReference w:id="79"/>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 Additionally your organization may have their own institutional data policies that mandate how data must be cared for and secured.</w:t>
      </w:r>
      <w:r>
        <w:rPr>
          <w:rStyle w:val="FootnoteReference"/>
        </w:rPr>
        <w:footnoteReference w:id="80"/>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82"/>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84"/>
      </w:r>
      <w:r>
        <w:t xml:space="preserve"> Well-managed data with sufficient documentation can also lead to more collaboration and greater impact as collaborators are able to access and understand your data with ease.</w:t>
      </w:r>
      <w:r>
        <w:rPr>
          <w:rStyle w:val="FootnoteReference"/>
        </w:rPr>
        <w:footnoteReference w:id="85"/>
      </w:r>
    </w:p>
    <w:bookmarkEnd w:id="88"/>
    <w:bookmarkStart w:id="96" w:name="personal-reasons"/>
    <w:p>
      <w:pPr>
        <w:pStyle w:val="Heading3"/>
      </w:pPr>
      <w:r>
        <w:rPr>
          <w:rStyle w:val="SectionNumber"/>
        </w:rPr>
        <w:t xml:space="preserve">2.3.2</w:t>
      </w:r>
      <w:r>
        <w:tab/>
      </w:r>
      <w:r>
        <w:t xml:space="preserve">Personal reasons</w:t>
      </w:r>
    </w:p>
    <w:p>
      <w:pPr>
        <w:pStyle w:val="FirstParagraph"/>
      </w:pPr>
      <w:r>
        <w:t xml:space="preserve">Even if you never plan to share your data outside of your research group, there are still many compelling reasons to manage your data in a reproducible and standardized way.</w:t>
      </w:r>
    </w:p>
    <w:p>
      <w:pPr>
        <w:numPr>
          <w:ilvl w:val="0"/>
          <w:numId w:val="1002"/>
        </w:numPr>
      </w:pPr>
      <w:r>
        <w:rPr>
          <w:bCs/>
          <w:b/>
        </w:rPr>
        <w:t xml:space="preserve">Facilitates use of your data</w:t>
      </w:r>
      <w:r>
        <w:t xml:space="preserve">: Every member of your research team being able to able to find and understand the data and documentation that they need is a huge benefit. It allows for the easy use and re-use of your data, and hastens efforts like the publication process.</w:t>
      </w:r>
      <w:r>
        <w:rPr>
          <w:rStyle w:val="FootnoteReference"/>
        </w:rPr>
        <w:footnoteReference w:id="89"/>
      </w:r>
      <w:r>
        <w:t xml:space="preserve"> Not having to search around for numbers of consented participants or asking which version of the data they should use allows your team to spend more time analyzing and writing and less time playing detective.</w:t>
      </w:r>
    </w:p>
    <w:p>
      <w:pPr>
        <w:numPr>
          <w:ilvl w:val="0"/>
          <w:numId w:val="1002"/>
        </w:numPr>
      </w:pPr>
      <w:r>
        <w:rPr>
          <w:bCs/>
          <w:b/>
        </w:rPr>
        <w:t xml:space="preserve">Encourages validation</w:t>
      </w:r>
      <w:r>
        <w:t xml:space="preserve">: Implementing reproducible data management practices encourages and allows your team to internally validate and replicate your processes to ensure your outputs are accurate.</w:t>
      </w:r>
    </w:p>
    <w:p>
      <w:pPr>
        <w:numPr>
          <w:ilvl w:val="0"/>
          <w:numId w:val="1002"/>
        </w:numPr>
      </w:pPr>
      <w:r>
        <w:rPr>
          <w:bCs/>
          <w:b/>
        </w:rPr>
        <w:t xml:space="preserve">Improves continuity</w:t>
      </w:r>
      <w:r>
        <w:t xml:space="preserve">: Data management practices such as documentation ensures project continuity through staff turnover. Having developed thorough protocols allows new staff to pick up right where the former staff member left off and implement the project with fidelity.</w:t>
      </w:r>
      <w:r>
        <w:rPr>
          <w:rStyle w:val="FootnoteReference"/>
        </w:rPr>
        <w:footnoteReference w:id="91"/>
      </w:r>
      <w:r>
        <w:t xml:space="preserve"> Furthermore, good data management enables continuity when handing off projects to collaborators or when picking up your own projects after a long hiatus.</w:t>
      </w:r>
      <w:r>
        <w:rPr>
          <w:rStyle w:val="FootnoteReference"/>
        </w:rPr>
        <w:footnoteReference w:id="92"/>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data curation debt</w:t>
      </w:r>
      <w:r>
        <w:t xml:space="preserve">: Taking the time to implement quality data management through the entire research study reduces data curation debt caused by suboptimal data management practices.</w:t>
      </w:r>
      <w:r>
        <w:rPr>
          <w:rStyle w:val="FootnoteReference"/>
        </w:rPr>
        <w:footnoteReference w:id="93"/>
      </w:r>
      <w:r>
        <w:t xml:space="preserve"> Having poorly managed or documented data may make your data unusable, either permanently or until errors are corrected. Decreasing or removing this debt reduces the time, energy, and resources spent at the end of your study scrambling to get your data up to acceptable standards.</w:t>
      </w:r>
    </w:p>
    <w:p>
      <w:pPr>
        <w:numPr>
          <w:ilvl w:val="0"/>
          <w:numId w:val="1002"/>
        </w:numPr>
      </w:pPr>
      <w:r>
        <w:rPr>
          <w:bCs/>
          <w:b/>
        </w:rPr>
        <w:t xml:space="preserve">Upholds research integrity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95">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96"/>
    <w:bookmarkEnd w:id="97"/>
    <w:bookmarkStart w:id="113" w:name="existing-frameworks"/>
    <w:p>
      <w:pPr>
        <w:pStyle w:val="Heading2"/>
      </w:pPr>
      <w:r>
        <w:rPr>
          <w:rStyle w:val="SectionNumber"/>
        </w:rPr>
        <w:t xml:space="preserve">2.4</w:t>
      </w:r>
      <w:r>
        <w:tab/>
      </w:r>
      <w:r>
        <w:t xml:space="preserve">Existing Frameworks</w:t>
      </w:r>
    </w:p>
    <w:p>
      <w:pPr>
        <w:pStyle w:val="FirstParagraph"/>
      </w:pPr>
      <w:r>
        <w:t xml:space="preserve">Data management does not live in a space all alone. It co-exists with other frameworks that impact how and why data is managed and it is important to be familiar with them as they will provide a foundation for you as you build your data management structures.</w:t>
      </w:r>
    </w:p>
    <w:bookmarkStart w:id="102" w:name="fair"/>
    <w:p>
      <w:pPr>
        <w:pStyle w:val="Heading3"/>
      </w:pPr>
      <w:r>
        <w:rPr>
          <w:rStyle w:val="SectionNumber"/>
        </w:rPr>
        <w:t xml:space="preserve">2.4.1</w:t>
      </w:r>
      <w:r>
        <w:tab/>
      </w:r>
      <w:r>
        <w:t xml:space="preserve">FAIR</w:t>
      </w:r>
    </w:p>
    <w:p>
      <w:pPr>
        <w:pStyle w:val="FirstParagraph"/>
      </w:pPr>
      <w:r>
        <w:t xml:space="preserve">In 2016, the FAIR Principles</w:t>
      </w:r>
      <w:r>
        <w:rPr>
          <w:rStyle w:val="FootnoteReference"/>
        </w:rPr>
        <w:footnoteReference w:id="98"/>
      </w:r>
      <w:r>
        <w:t xml:space="preserve"> </w:t>
      </w:r>
      <w:r>
        <w:t xml:space="preserve">were published in Scientific Data, outlining four guiding principles for scientific data management and stewardship. These principles were created to improve and support the reuse of scholarly data, specifically the ability of machines to access and read data, and are the foundation for how all digital data should be publicly shared.</w:t>
      </w:r>
      <w:r>
        <w:rPr>
          <w:rStyle w:val="FootnoteReference"/>
        </w:rPr>
        <w:footnoteReference w:id="100"/>
      </w:r>
      <w:r>
        <w:t xml:space="preserve"> The principles are:</w:t>
      </w:r>
    </w:p>
    <w:p>
      <w:pPr>
        <w:pStyle w:val="BodyText"/>
      </w:pPr>
      <w:r>
        <w:t xml:space="preserve">F: Findable</w:t>
      </w:r>
    </w:p>
    <w:p>
      <w:pPr>
        <w:pStyle w:val="BodyText"/>
      </w:pPr>
      <w:r>
        <w:t xml:space="preserve">All data should be findable through a persistent identifier and have good data documentation, aka metadata. As we move towards automation in our work and life, the need for machine-readable metadata becomes more prevalent for automatic discovery of data.</w:t>
      </w:r>
    </w:p>
    <w:p>
      <w:pPr>
        <w:pStyle w:val="BodyText"/>
      </w:pPr>
      <w:r>
        <w:t xml:space="preserve">A: Accessible</w:t>
      </w:r>
    </w:p>
    <w:p>
      <w:pPr>
        <w:pStyle w:val="BodyText"/>
      </w:pPr>
      <w:r>
        <w:t xml:space="preserve">You data is accessible if humans can access your data. This can mean your data is available in a repository or through a request system.</w:t>
      </w:r>
    </w:p>
    <w:p>
      <w:pPr>
        <w:pStyle w:val="BodyText"/>
      </w:pPr>
      <w:r>
        <w:t xml:space="preserve">I: Interoperable</w:t>
      </w:r>
    </w:p>
    <w:p>
      <w:pPr>
        <w:pStyle w:val="BodyText"/>
      </w:pPr>
      <w:r>
        <w:t xml:space="preserve">Use standardized vocabularies as well as formats. Both humans and machines should be able to read and interpret your data. Software licenses should not pose a barrier to usage. Data should be available in open formats that can be accessed by any software such as .csv, .txt, .dat, etc. Furthermore, thorough data documentation should accompany data to allow that data to interoperable.</w:t>
      </w:r>
    </w:p>
    <w:p>
      <w:pPr>
        <w:pStyle w:val="BodyText"/>
      </w:pPr>
      <w:r>
        <w:t xml:space="preserve">R: Reusable</w:t>
      </w:r>
    </w:p>
    <w:p>
      <w:pPr>
        <w:pStyle w:val="BodyText"/>
      </w:pPr>
      <w:r>
        <w:t xml:space="preserve">Your metadata should provide information on the broad context of your project as well as your data collection to allow for accurate use of your data. You should also have clear licensing for data use.</w:t>
      </w:r>
    </w:p>
    <w:bookmarkEnd w:id="102"/>
    <w:bookmarkStart w:id="105" w:name="seer"/>
    <w:p>
      <w:pPr>
        <w:pStyle w:val="Heading3"/>
      </w:pPr>
      <w:r>
        <w:rPr>
          <w:rStyle w:val="SectionNumber"/>
        </w:rPr>
        <w:t xml:space="preserve">2.4.2</w:t>
      </w:r>
      <w:r>
        <w:tab/>
      </w:r>
      <w:r>
        <w:t xml:space="preserve">SEER</w:t>
      </w:r>
    </w:p>
    <w:p>
      <w:pPr>
        <w:pStyle w:val="FirstParagraph"/>
      </w:pPr>
      <w:r>
        <w:t xml:space="preserve">In addition to the FAIR principles, the SEER principles, developed in 2018 by Institute of Education Sciences (IES), provide Standards for Excellence in Education Research.</w:t>
      </w:r>
      <w:r>
        <w:rPr>
          <w:rStyle w:val="FootnoteReference"/>
        </w:rPr>
        <w:footnoteReference w:id="103"/>
      </w:r>
      <w:r>
        <w:t xml:space="preserve"> While the principles broadly cover the entire life cycle of a research study, they provide context for good data management within an education research study. The SEER principles include:</w:t>
      </w:r>
    </w:p>
    <w:p>
      <w:pPr>
        <w:numPr>
          <w:ilvl w:val="0"/>
          <w:numId w:val="1003"/>
        </w:numPr>
        <w:pStyle w:val="Compact"/>
      </w:pPr>
      <w:r>
        <w:t xml:space="preserve">Pre-register studies</w:t>
      </w:r>
    </w:p>
    <w:p>
      <w:pPr>
        <w:numPr>
          <w:ilvl w:val="0"/>
          <w:numId w:val="1003"/>
        </w:numPr>
        <w:pStyle w:val="Compact"/>
      </w:pPr>
      <w:r>
        <w:t xml:space="preserve">Make findings, methods, and data open</w:t>
      </w:r>
    </w:p>
    <w:p>
      <w:pPr>
        <w:numPr>
          <w:ilvl w:val="0"/>
          <w:numId w:val="1003"/>
        </w:numPr>
        <w:pStyle w:val="Compact"/>
      </w:pPr>
      <w:r>
        <w:t xml:space="preserve">Identify interventions’ core components</w:t>
      </w:r>
    </w:p>
    <w:p>
      <w:pPr>
        <w:numPr>
          <w:ilvl w:val="0"/>
          <w:numId w:val="1003"/>
        </w:numPr>
        <w:pStyle w:val="Compact"/>
      </w:pPr>
      <w:r>
        <w:t xml:space="preserve">Document treatment implementation and contrast</w:t>
      </w:r>
    </w:p>
    <w:p>
      <w:pPr>
        <w:numPr>
          <w:ilvl w:val="0"/>
          <w:numId w:val="1003"/>
        </w:numPr>
        <w:pStyle w:val="Compact"/>
      </w:pPr>
      <w:r>
        <w:t xml:space="preserve">Analyze interventions’ costs</w:t>
      </w:r>
    </w:p>
    <w:p>
      <w:pPr>
        <w:numPr>
          <w:ilvl w:val="0"/>
          <w:numId w:val="1003"/>
        </w:numPr>
        <w:pStyle w:val="Compact"/>
      </w:pPr>
      <w:r>
        <w:t xml:space="preserve">Focus on meaningful outcomes</w:t>
      </w:r>
    </w:p>
    <w:p>
      <w:pPr>
        <w:numPr>
          <w:ilvl w:val="0"/>
          <w:numId w:val="1003"/>
        </w:numPr>
        <w:pStyle w:val="Compact"/>
      </w:pPr>
      <w:r>
        <w:t xml:space="preserve">Facilitate generalization of study findings</w:t>
      </w:r>
    </w:p>
    <w:p>
      <w:pPr>
        <w:numPr>
          <w:ilvl w:val="0"/>
          <w:numId w:val="1003"/>
        </w:numPr>
        <w:pStyle w:val="Compact"/>
      </w:pPr>
      <w:r>
        <w:t xml:space="preserve">Support scaling of promising results</w:t>
      </w:r>
    </w:p>
    <w:bookmarkEnd w:id="105"/>
    <w:bookmarkStart w:id="112" w:name="open-science"/>
    <w:p>
      <w:pPr>
        <w:pStyle w:val="Heading3"/>
      </w:pPr>
      <w:r>
        <w:rPr>
          <w:rStyle w:val="SectionNumber"/>
        </w:rPr>
        <w:t xml:space="preserve">2.4.3</w:t>
      </w:r>
      <w:r>
        <w:tab/>
      </w:r>
      <w:r>
        <w:t xml:space="preserve">Open Science</w:t>
      </w:r>
    </w:p>
    <w:p>
      <w:pPr>
        <w:pStyle w:val="FirstParagraph"/>
      </w:pPr>
      <w:r>
        <w:t xml:space="preserve">The concept of Open Science has pushed quality data management to the forefront, bringing visibility to its cause, as well as advances in practices and urgency to implement them. Open Science aims to make scientific research and dissemination accessible for all, making the need for good data management practices absolutely necessary. Open science advocates for transparent and reproducible practices through means such as open data, open analysis, open materials, preregistration, and open access.</w:t>
      </w:r>
      <w:r>
        <w:rPr>
          <w:rStyle w:val="FootnoteReference"/>
        </w:rPr>
        <w:footnoteReference w:id="106"/>
      </w:r>
      <w:r>
        <w:t xml:space="preserve"> Organizations such as the Center for Open Science,</w:t>
      </w:r>
      <w:r>
        <w:rPr>
          <w:rStyle w:val="FootnoteReference"/>
        </w:rPr>
        <w:footnoteReference w:id="108"/>
      </w:r>
      <w:r>
        <w:t xml:space="preserve"> have become a well-known proponents of open science, offering the open science framework (OSF)</w:t>
      </w:r>
      <w:r>
        <w:rPr>
          <w:rStyle w:val="FootnoteReference"/>
        </w:rPr>
        <w:footnoteReference w:id="110"/>
      </w:r>
      <w:r>
        <w:t xml:space="preserve"> </w:t>
      </w:r>
      <w:r>
        <w:t xml:space="preserve">as a tool to promote open science through the entire research life cycle. Furthermore, many education funders have aligned their fundee requirements with these open science practices, such as openly sharing study data and pre-registration of study methods.</w:t>
      </w:r>
    </w:p>
    <w:bookmarkEnd w:id="112"/>
    <w:bookmarkEnd w:id="113"/>
    <w:bookmarkStart w:id="114" w:name="terminology"/>
    <w:p>
      <w:pPr>
        <w:pStyle w:val="Heading2"/>
      </w:pPr>
      <w:r>
        <w:rPr>
          <w:rStyle w:val="SectionNumber"/>
        </w:rPr>
        <w:t xml:space="preserve">2.5</w:t>
      </w:r>
      <w:r>
        <w:tab/>
      </w:r>
      <w:r>
        <w:t xml:space="preserve">Terminology</w:t>
      </w:r>
    </w:p>
    <w:p>
      <w:pPr>
        <w:pStyle w:val="FirstParagraph"/>
      </w:pPr>
      <w:r>
        <w:t xml:space="preserve">Before diving into the content of this training, I think it is helpful to cover terminology that will be used in data management. Many concepts in education research have multiple terms and can be used interchangeably. Across different institutions, researchers may use all or some of these terms.</w:t>
      </w:r>
    </w:p>
    <w:bookmarkEnd w:id="114"/>
    <w:bookmarkStart w:id="118" w:name="the-research-life-cycle"/>
    <w:p>
      <w:pPr>
        <w:pStyle w:val="Heading2"/>
      </w:pPr>
      <w:r>
        <w:rPr>
          <w:rStyle w:val="SectionNumber"/>
        </w:rPr>
        <w:t xml:space="preserve">2.6</w:t>
      </w:r>
      <w:r>
        <w:tab/>
      </w:r>
      <w:r>
        <w:t xml:space="preserve">The Research Life Cycle</w:t>
      </w:r>
    </w:p>
    <w:p>
      <w:pPr>
        <w:pStyle w:val="FirstParagraph"/>
      </w:pPr>
      <w:r>
        <w:t xml:space="preserve">The remainder of this book will be organized into chapters that dive into phases of the research data life cycle. It is imperative to understand this research life cycle in order to see the flow of data through a project, as well as to see how everything in a project is connected. If phases are skipped, the whole project will suffer.</w:t>
      </w:r>
    </w:p>
    <w:p>
      <w:pPr>
        <w:pStyle w:val="BodyText"/>
      </w:pPr>
      <w:r>
        <w:t xml:space="preserve">You can see in the image below how throughout the project, data management and project coordination work in parallel and collaboratively. These teams may be made up of the same people or different members, but either way, bost workflows must happen and they must work together.</w:t>
      </w:r>
    </w:p>
    <w:p>
      <w:pPr>
        <w:pStyle w:val="CaptionedFigure"/>
      </w:pPr>
      <w:r>
        <w:drawing>
          <wp:inline>
            <wp:extent cx="5334000" cy="2987873"/>
            <wp:effectExtent b="0" l="0" r="0" t="0"/>
            <wp:docPr descr="Figure 2.1: The research project life cycle" title="" id="116" name="Picture"/>
            <a:graphic>
              <a:graphicData uri="http://schemas.openxmlformats.org/drawingml/2006/picture">
                <pic:pic>
                  <pic:nvPicPr>
                    <pic:cNvPr descr="img/cl_lifecycle.PNG" id="117" name="Picture"/>
                    <pic:cNvPicPr>
                      <a:picLocks noChangeArrowheads="1" noChangeAspect="1"/>
                    </pic:cNvPicPr>
                  </pic:nvPicPr>
                  <pic:blipFill>
                    <a:blip r:embed="rId115"/>
                    <a:stretch>
                      <a:fillRect/>
                    </a:stretch>
                  </pic:blipFill>
                  <pic:spPr bwMode="auto">
                    <a:xfrm>
                      <a:off x="0" y="0"/>
                      <a:ext cx="5334000" cy="2987873"/>
                    </a:xfrm>
                    <a:prstGeom prst="rect">
                      <a:avLst/>
                    </a:prstGeom>
                    <a:noFill/>
                    <a:ln w="9525">
                      <a:noFill/>
                      <a:headEnd/>
                      <a:tailEnd/>
                    </a:ln>
                  </pic:spPr>
                </pic:pic>
              </a:graphicData>
            </a:graphic>
          </wp:inline>
        </w:drawing>
      </w:r>
    </w:p>
    <w:p>
      <w:pPr>
        <w:pStyle w:val="ImageCaption"/>
      </w:pPr>
      <w:r>
        <w:t xml:space="preserve">Figure 2.1: The research project life cycle</w:t>
      </w:r>
    </w:p>
    <w:p>
      <w:pPr>
        <w:pStyle w:val="BodyText"/>
      </w:pPr>
      <w:r>
        <w:t xml:space="preserve">Let’s walk through this chart.</w:t>
      </w:r>
    </w:p>
    <w:p>
      <w:pPr>
        <w:numPr>
          <w:ilvl w:val="0"/>
          <w:numId w:val="1004"/>
        </w:numPr>
        <w:pStyle w:val="Compact"/>
      </w:pPr>
      <w:r>
        <w:t xml:space="preserve">In a typical study we first begin by</w:t>
      </w:r>
      <w:r>
        <w:t xml:space="preserve"> </w:t>
      </w:r>
      <w:r>
        <w:rPr>
          <w:bCs/>
          <w:b/>
        </w:rPr>
        <w:t xml:space="preserve">generating ideas</w:t>
      </w:r>
      <w:r>
        <w:t xml:space="preserve">, deciding what we want to study.</w:t>
      </w:r>
    </w:p>
    <w:p>
      <w:pPr>
        <w:numPr>
          <w:ilvl w:val="0"/>
          <w:numId w:val="1004"/>
        </w:numPr>
        <w:pStyle w:val="Compact"/>
      </w:pPr>
      <w:r>
        <w:t xml:space="preserve">Then, most likely, we will look for funding to implement that study. This is where the two paths begin to diverge. If the team is applying for federal funding, the proposal and budget are created in the project management track, while the 2-5 page required</w:t>
      </w:r>
      <w:r>
        <w:t xml:space="preserve"> </w:t>
      </w:r>
      <w:r>
        <w:rPr>
          <w:bCs/>
          <w:b/>
        </w:rPr>
        <w:t xml:space="preserve">data management plan</w:t>
      </w:r>
      <w:r>
        <w:t xml:space="preserve"> </w:t>
      </w:r>
      <w:r>
        <w:t xml:space="preserve">(DMP) is created in the data track. Again, it may be the same people working on both of these pieces.</w:t>
      </w:r>
    </w:p>
    <w:p>
      <w:pPr>
        <w:numPr>
          <w:ilvl w:val="0"/>
          <w:numId w:val="1004"/>
        </w:numPr>
        <w:pStyle w:val="Compact"/>
      </w:pPr>
      <w:r>
        <w:t xml:space="preserve">Next, if the project is funded, the project team will begin planning things such as hiring, recruitment, data collection, and how to implement the intervention. At the same time, those working on the data team will begin to</w:t>
      </w:r>
      <w:r>
        <w:t xml:space="preserve"> </w:t>
      </w:r>
      <w:r>
        <w:rPr>
          <w:bCs/>
          <w:b/>
        </w:rPr>
        <w:t xml:space="preserve">plan</w:t>
      </w:r>
      <w:r>
        <w:t xml:space="preserve"> </w:t>
      </w:r>
      <w:r>
        <w:t xml:space="preserve">out how to specifically implement the 2-5 page DMP submitted to their funder and start putting any necessary structures into place.</w:t>
      </w:r>
    </w:p>
    <w:p>
      <w:pPr>
        <w:numPr>
          <w:ilvl w:val="0"/>
          <w:numId w:val="1004"/>
        </w:numPr>
        <w:pStyle w:val="Compact"/>
      </w:pPr>
      <w:r>
        <w:t xml:space="preserve">Once planning is complete, the team moves into the cycle of data collection. It is called a cycle because if your study is longitudinal, every step here will occur cyclically. Once one phase of data collection wraps up, the team re-enters the cycle again for the next phase of data collection, until all data collection is complete for the entire project.</w:t>
      </w:r>
    </w:p>
    <w:p>
      <w:pPr>
        <w:numPr>
          <w:ilvl w:val="1"/>
          <w:numId w:val="1005"/>
        </w:numPr>
        <w:pStyle w:val="Compact"/>
      </w:pPr>
      <w:r>
        <w:t xml:space="preserve">The data management and project management team begin the cycle by starting</w:t>
      </w:r>
      <w:r>
        <w:t xml:space="preserve"> </w:t>
      </w:r>
      <w:r>
        <w:rPr>
          <w:bCs/>
          <w:b/>
        </w:rPr>
        <w:t xml:space="preserve">documentation</w:t>
      </w:r>
      <w:r>
        <w:t xml:space="preserve">. You can see that this phase occurs collaboratively because it is denoted with a double outline. Both teams begin developing documentation like data dictionaries, style guides, and protocols.</w:t>
      </w:r>
    </w:p>
    <w:p>
      <w:pPr>
        <w:numPr>
          <w:ilvl w:val="1"/>
          <w:numId w:val="1005"/>
        </w:numPr>
        <w:pStyle w:val="Compact"/>
      </w:pPr>
      <w:r>
        <w:t xml:space="preserve">Once documentation is started, both teams begin to create any necessary</w:t>
      </w:r>
      <w:r>
        <w:t xml:space="preserve"> </w:t>
      </w:r>
      <w:r>
        <w:rPr>
          <w:bCs/>
          <w:b/>
        </w:rPr>
        <w:t xml:space="preserve">data collection instruments</w:t>
      </w:r>
      <w:r>
        <w:t xml:space="preserve">. These instruments will be created with input from the documentation. During this phase the team may also develop their participant tracking database.</w:t>
      </w:r>
    </w:p>
    <w:p>
      <w:pPr>
        <w:numPr>
          <w:ilvl w:val="1"/>
          <w:numId w:val="1005"/>
        </w:numPr>
        <w:pStyle w:val="Compact"/>
      </w:pPr>
      <w:r>
        <w:t xml:space="preserve">Next, the project management team moves into the</w:t>
      </w:r>
      <w:r>
        <w:t xml:space="preserve"> </w:t>
      </w:r>
      <w:r>
        <w:rPr>
          <w:bCs/>
          <w:b/>
        </w:rPr>
        <w:t xml:space="preserve">data collection</w:t>
      </w:r>
      <w:r>
        <w:t xml:space="preserve"> </w:t>
      </w:r>
      <w:r>
        <w:t xml:space="preserve">phase. This may involve recruitment and consenting, as well as data collection. At this point, the data management team just provides support as needed.</w:t>
      </w:r>
    </w:p>
    <w:p>
      <w:pPr>
        <w:numPr>
          <w:ilvl w:val="1"/>
          <w:numId w:val="1005"/>
        </w:numPr>
        <w:pStyle w:val="Compact"/>
      </w:pPr>
      <w:r>
        <w:t xml:space="preserve">As data is collected, the project team will</w:t>
      </w:r>
      <w:r>
        <w:t xml:space="preserve"> </w:t>
      </w:r>
      <w:r>
        <w:rPr>
          <w:bCs/>
          <w:b/>
        </w:rPr>
        <w:t xml:space="preserve">track data</w:t>
      </w:r>
      <w:r>
        <w:t xml:space="preserve"> </w:t>
      </w:r>
      <w:r>
        <w:t xml:space="preserve">as it is collected in the participant tracking database. The data management team will collaborate with the project management team to help troubleshoot anything related to the actual tracking database.</w:t>
      </w:r>
    </w:p>
    <w:p>
      <w:pPr>
        <w:numPr>
          <w:ilvl w:val="1"/>
          <w:numId w:val="1005"/>
        </w:numPr>
        <w:pStyle w:val="Compact"/>
      </w:pPr>
      <w:r>
        <w:t xml:space="preserve">Next, once data is collected, the teams move into the</w:t>
      </w:r>
      <w:r>
        <w:t xml:space="preserve"> </w:t>
      </w:r>
      <w:r>
        <w:rPr>
          <w:bCs/>
          <w:b/>
        </w:rPr>
        <w:t xml:space="preserve">data capture</w:t>
      </w:r>
      <w:r>
        <w:t xml:space="preserve"> </w:t>
      </w:r>
      <w:r>
        <w:t xml:space="preserve">phase. This is where teams are actively retrieving or converting data. For electronic data this may look like downloading data from a platform or having data sent to the team via a secure transfer. For physical data, this may look like teams entering paper data into a database. Oftentimes, this again is a collaborative effort between the project management team and the data team.</w:t>
      </w:r>
    </w:p>
    <w:p>
      <w:pPr>
        <w:numPr>
          <w:ilvl w:val="1"/>
          <w:numId w:val="1005"/>
        </w:numPr>
        <w:pStyle w:val="Compact"/>
      </w:pPr>
      <w:r>
        <w:t xml:space="preserve">Once the data is captured, it needs to be</w:t>
      </w:r>
      <w:r>
        <w:t xml:space="preserve"> </w:t>
      </w:r>
      <w:r>
        <w:rPr>
          <w:bCs/>
          <w:b/>
        </w:rPr>
        <w:t xml:space="preserve">stored</w:t>
      </w:r>
      <w:r>
        <w:t xml:space="preserve">. While the data team may be in charge of setting up and monitoring the storage efforts, the project team may be the ones actively retrieving and storing the data.</w:t>
      </w:r>
    </w:p>
    <w:p>
      <w:pPr>
        <w:numPr>
          <w:ilvl w:val="1"/>
          <w:numId w:val="1005"/>
        </w:numPr>
        <w:pStyle w:val="Compact"/>
      </w:pPr>
      <w:r>
        <w:t xml:space="preserve">Next the teams move into the</w:t>
      </w:r>
      <w:r>
        <w:t xml:space="preserve"> </w:t>
      </w:r>
      <w:r>
        <w:rPr>
          <w:bCs/>
          <w:b/>
        </w:rPr>
        <w:t xml:space="preserve">cleaning and validation</w:t>
      </w:r>
      <w:r>
        <w:t xml:space="preserve"> </w:t>
      </w:r>
      <w:r>
        <w:t xml:space="preserve">phase. At this time the data team is reviewing data cleaning plans, writing data cleaning scripts and actively cleaning data from the most recent data collection round.</w:t>
      </w:r>
    </w:p>
    <w:p>
      <w:pPr>
        <w:numPr>
          <w:ilvl w:val="1"/>
          <w:numId w:val="1005"/>
        </w:numPr>
        <w:pStyle w:val="Compact"/>
      </w:pPr>
      <w:r>
        <w:t xml:space="preserve">And last, the data team will</w:t>
      </w:r>
      <w:r>
        <w:t xml:space="preserve"> </w:t>
      </w:r>
      <w:r>
        <w:rPr>
          <w:bCs/>
          <w:b/>
        </w:rPr>
        <w:t xml:space="preserve">version</w:t>
      </w:r>
      <w:r>
        <w:t xml:space="preserve"> </w:t>
      </w:r>
      <w:r>
        <w:t xml:space="preserve">data as it is updated or errors are found.</w:t>
      </w:r>
    </w:p>
    <w:p>
      <w:pPr>
        <w:numPr>
          <w:ilvl w:val="2"/>
          <w:numId w:val="1006"/>
        </w:numPr>
        <w:pStyle w:val="Compact"/>
      </w:pPr>
      <w:r>
        <w:t xml:space="preserve">The teams then only move out of the active data collection phase when all data collection for the project is complete. At this time the project team begins analyzing study data and working on publications. They are able to do this because of the organized processes implemented during the data collection cycle. Since data was managed and cleaned throughout, data is ready for analysis as soon as data collection is complete. Then, while the project team is analyzing data, the data team is doing any additional</w:t>
      </w:r>
      <w:r>
        <w:t xml:space="preserve"> </w:t>
      </w:r>
      <w:r>
        <w:rPr>
          <w:bCs/>
          <w:b/>
        </w:rPr>
        <w:t xml:space="preserve">preparation to archive</w:t>
      </w:r>
      <w:r>
        <w:t xml:space="preserve"> </w:t>
      </w:r>
      <w:r>
        <w:t xml:space="preserve">data for public sharing.</w:t>
      </w:r>
    </w:p>
    <w:p>
      <w:pPr>
        <w:numPr>
          <w:ilvl w:val="2"/>
          <w:numId w:val="1006"/>
        </w:numPr>
        <w:pStyle w:val="Compact"/>
      </w:pPr>
      <w:r>
        <w:t xml:space="preserve">Last, the team submits data for</w:t>
      </w:r>
      <w:r>
        <w:t xml:space="preserve"> </w:t>
      </w:r>
      <w:r>
        <w:rPr>
          <w:bCs/>
          <w:b/>
        </w:rPr>
        <w:t xml:space="preserve">public sharing</w:t>
      </w:r>
      <w:r>
        <w:t xml:space="preserve">.</w:t>
      </w:r>
    </w:p>
    <w:p>
      <w:pPr>
        <w:pStyle w:val="FirstParagraph"/>
      </w:pPr>
      <w:r>
        <w:t xml:space="preserve">As you work through the remaining chapters of this book, it’s importatnt to return back to this chart frequently to remind yourself where that phase of practices fits into the larger picture.</w:t>
      </w:r>
    </w:p>
    <w:bookmarkEnd w:id="118"/>
    <w:bookmarkEnd w:id="119"/>
    <w:bookmarkStart w:id="177" w:name="data-structure"/>
    <w:p>
      <w:pPr>
        <w:pStyle w:val="Heading1"/>
      </w:pPr>
      <w:r>
        <w:rPr>
          <w:rStyle w:val="SectionNumber"/>
        </w:rPr>
        <w:t xml:space="preserve">3</w:t>
      </w:r>
      <w:r>
        <w:tab/>
      </w:r>
      <w:r>
        <w:t xml:space="preserve">Data Structure</w:t>
      </w:r>
    </w:p>
    <w:p>
      <w:pPr>
        <w:pStyle w:val="FirstParagraph"/>
      </w:pPr>
      <w:r>
        <w:t xml:space="preserve">Because data management is made up of just that, data, we need to have a basic understanding of what data looks like. Understanding the basic structure of data helps us write our Data Management Plan, organize our data management process, create our data dictionaries, build our data collection tools, and clean our data, all in ways that allow us to have analyzable data.</w:t>
      </w:r>
    </w:p>
    <w:bookmarkStart w:id="132" w:name="basics-of-a-dataset"/>
    <w:p>
      <w:pPr>
        <w:pStyle w:val="Heading2"/>
      </w:pPr>
      <w:r>
        <w:rPr>
          <w:rStyle w:val="SectionNumber"/>
        </w:rPr>
        <w:t xml:space="preserve">3.1</w:t>
      </w:r>
      <w:r>
        <w:tab/>
      </w:r>
      <w:r>
        <w:t xml:space="preserve">Basics of a dataset</w:t>
      </w:r>
    </w:p>
    <w:p>
      <w:pPr>
        <w:pStyle w:val="FirstParagraph"/>
      </w:pPr>
      <w:r>
        <w:t xml:space="preserve">In education research, data is often collected internally by your team using an instrument such as a questionnaire, an observation, an interview, or an assessment. However, data may also be collected from external entities, such as districts, states, or other agencies.</w:t>
      </w:r>
    </w:p>
    <w:p>
      <w:pPr>
        <w:pStyle w:val="BodyText"/>
      </w:pPr>
      <w:r>
        <w:t xml:space="preserve">Those data come in many forms (ex: video, transcripts, documents, files), represented as text, numbers, or multimedia.</w:t>
      </w:r>
      <w:r>
        <w:rPr>
          <w:rStyle w:val="FootnoteReference"/>
        </w:rPr>
        <w:footnoteReference w:id="120"/>
      </w:r>
      <w:r>
        <w:t xml:space="preserve"> In the world of quantitative education research, we are often working with digital data in the form of a dataset, a structured collection of data. These datasets are organized in a rectangular format which allow the data to be machine readable. Even in qualitative research, we are often wrangling data to be in a format that is analyzable and allows categorization.</w:t>
      </w:r>
    </w:p>
    <w:p>
      <w:pPr>
        <w:pStyle w:val="BodyText"/>
      </w:pPr>
      <w:r>
        <w:t xml:space="preserve">These rectangular (also called tabular) datasets are made up of columns and rows.</w:t>
      </w:r>
    </w:p>
    <w:p>
      <w:pPr>
        <w:pStyle w:val="CaptionedFigure"/>
      </w:pPr>
      <w:r>
        <w:drawing>
          <wp:inline>
            <wp:extent cx="5334000" cy="1854495"/>
            <wp:effectExtent b="0" l="0" r="0" t="0"/>
            <wp:docPr descr="Figure 3.1: Basic format of a dataset" title="" id="123" name="Picture"/>
            <a:graphic>
              <a:graphicData uri="http://schemas.openxmlformats.org/drawingml/2006/picture">
                <pic:pic>
                  <pic:nvPicPr>
                    <pic:cNvPr descr="img/rectangle.PNG" id="124" name="Picture"/>
                    <pic:cNvPicPr>
                      <a:picLocks noChangeArrowheads="1" noChangeAspect="1"/>
                    </pic:cNvPicPr>
                  </pic:nvPicPr>
                  <pic:blipFill>
                    <a:blip r:embed="rId122"/>
                    <a:stretch>
                      <a:fillRect/>
                    </a:stretch>
                  </pic:blipFill>
                  <pic:spPr bwMode="auto">
                    <a:xfrm>
                      <a:off x="0" y="0"/>
                      <a:ext cx="5334000" cy="1854495"/>
                    </a:xfrm>
                    <a:prstGeom prst="rect">
                      <a:avLst/>
                    </a:prstGeom>
                    <a:noFill/>
                    <a:ln w="9525">
                      <a:noFill/>
                      <a:headEnd/>
                      <a:tailEnd/>
                    </a:ln>
                  </pic:spPr>
                </pic:pic>
              </a:graphicData>
            </a:graphic>
          </wp:inline>
        </w:drawing>
      </w:r>
    </w:p>
    <w:p>
      <w:pPr>
        <w:pStyle w:val="ImageCaption"/>
      </w:pPr>
      <w:r>
        <w:t xml:space="preserve">Figure 3.1: Basic format of a dataset</w:t>
      </w:r>
    </w:p>
    <w:bookmarkStart w:id="126" w:name="columns"/>
    <w:p>
      <w:pPr>
        <w:pStyle w:val="Heading3"/>
      </w:pPr>
      <w:r>
        <w:rPr>
          <w:rStyle w:val="SectionNumber"/>
        </w:rPr>
        <w:t xml:space="preserve">3.1.1</w:t>
      </w:r>
      <w:r>
        <w:tab/>
      </w:r>
      <w:r>
        <w:t xml:space="preserve">Columns</w:t>
      </w:r>
    </w:p>
    <w:p>
      <w:pPr>
        <w:pStyle w:val="FirstParagraph"/>
      </w:pPr>
      <w:r>
        <w:t xml:space="preserve">The columns in your dataset will consist of one or both of the following types of variables:</w:t>
      </w:r>
    </w:p>
    <w:p>
      <w:pPr>
        <w:numPr>
          <w:ilvl w:val="0"/>
          <w:numId w:val="1007"/>
        </w:numPr>
        <w:pStyle w:val="Compact"/>
      </w:pPr>
      <w:r>
        <w:t xml:space="preserve">Variables you collect (from an instrument or from an external source)</w:t>
      </w:r>
    </w:p>
    <w:p>
      <w:pPr>
        <w:numPr>
          <w:ilvl w:val="0"/>
          <w:numId w:val="1007"/>
        </w:numPr>
        <w:pStyle w:val="Compact"/>
      </w:pPr>
      <w:r>
        <w:t xml:space="preserve">Variables you create/add (ex: cohort, intervention, time, derivations)</w:t>
      </w:r>
    </w:p>
    <w:p>
      <w:pPr>
        <w:pStyle w:val="FirstParagraph"/>
      </w:pPr>
      <w:r>
        <w:t xml:space="preserve">Unless your data is collected anonymously, every dataset</w:t>
      </w:r>
      <w:r>
        <w:t xml:space="preserve"> </w:t>
      </w:r>
      <w:r>
        <w:rPr>
          <w:bCs/>
          <w:b/>
        </w:rPr>
        <w:t xml:space="preserve">must</w:t>
      </w:r>
      <w:r>
        <w:t xml:space="preserve"> </w:t>
      </w:r>
      <w:r>
        <w:t xml:space="preserve">also have the following:</w:t>
      </w:r>
    </w:p>
    <w:p>
      <w:pPr>
        <w:numPr>
          <w:ilvl w:val="0"/>
          <w:numId w:val="1008"/>
        </w:numPr>
        <w:pStyle w:val="Compact"/>
      </w:pPr>
      <w:r>
        <w:t xml:space="preserve">One or more variables that are</w:t>
      </w:r>
      <w:r>
        <w:t xml:space="preserve"> </w:t>
      </w:r>
      <w:r>
        <w:rPr>
          <w:bCs/>
          <w:b/>
        </w:rPr>
        <w:t xml:space="preserve">unique identifiers</w:t>
      </w:r>
      <w:r>
        <w:t xml:space="preserve">, sometimes called primary keys. These are variables that uniquely define rows in your dataset (i.e. help you identify duplicate rows).</w:t>
      </w:r>
    </w:p>
    <w:p>
      <w:pPr>
        <w:numPr>
          <w:ilvl w:val="0"/>
          <w:numId w:val="1008"/>
        </w:numPr>
        <w:pStyle w:val="Compact"/>
      </w:pPr>
      <w:r>
        <w:t xml:space="preserve">If you plan to link datasets across entities (ex: link teachers to schools or students to teachers) then you will also need secondary unique identifiers in your dataset (also called foreign keys) that allow you to link across datasets.</w:t>
      </w:r>
    </w:p>
    <w:p>
      <w:pPr>
        <w:pStyle w:val="FirstParagraph"/>
      </w:pPr>
      <w:r>
        <w:t xml:space="preserve">We will talk more about creating these identification variables in our data tracking section</w:t>
      </w:r>
      <w:r>
        <w:t xml:space="preserve"> </w:t>
      </w:r>
      <w:r>
        <w:t xml:space="preserve">8.3</w:t>
      </w:r>
      <w:r>
        <w:t xml:space="preserve">.</w:t>
      </w:r>
    </w:p>
    <w:bookmarkStart w:id="125" w:name="column-attributes"/>
    <w:p>
      <w:pPr>
        <w:pStyle w:val="Heading4"/>
      </w:pPr>
      <w:r>
        <w:rPr>
          <w:rStyle w:val="SectionNumber"/>
        </w:rPr>
        <w:t xml:space="preserve">3.1.1.1</w:t>
      </w:r>
      <w:r>
        <w:tab/>
      </w:r>
      <w:r>
        <w:t xml:space="preserve">Column attributes</w:t>
      </w:r>
    </w:p>
    <w:p>
      <w:pPr>
        <w:pStyle w:val="FirstParagraph"/>
      </w:pPr>
      <w:r>
        <w:t xml:space="preserve">It is important to know that variables have the following attributes:</w:t>
      </w:r>
    </w:p>
    <w:p>
      <w:pPr>
        <w:numPr>
          <w:ilvl w:val="0"/>
          <w:numId w:val="1009"/>
        </w:numPr>
        <w:pStyle w:val="Compact"/>
      </w:pPr>
      <w:r>
        <w:t xml:space="preserve">Unique names (no variable name in a dataset can repeat). We will talk more about variable naming when we discuss Style Guides</w:t>
      </w:r>
      <w:r>
        <w:t xml:space="preserve"> </w:t>
      </w:r>
      <w:r>
        <w:t xml:space="preserve">??</w:t>
      </w:r>
      <w:r>
        <w:t xml:space="preserve">.</w:t>
      </w:r>
    </w:p>
    <w:p>
      <w:pPr>
        <w:numPr>
          <w:ilvl w:val="0"/>
          <w:numId w:val="1009"/>
        </w:numPr>
        <w:pStyle w:val="Compact"/>
      </w:pPr>
      <w:r>
        <w:t xml:space="preserve">A measurement type (ex: numeric, character, date) which can also be more narrowly defined as needed (ex: continuous, categorical)</w:t>
      </w:r>
    </w:p>
    <w:p>
      <w:pPr>
        <w:numPr>
          <w:ilvl w:val="0"/>
          <w:numId w:val="1009"/>
        </w:numPr>
        <w:pStyle w:val="Compact"/>
      </w:pPr>
      <w:r>
        <w:t xml:space="preserve">Acceptable values (ex: yes/no) or expected ranges (ex: 1-25 or 2021-08-01 to 2021-12-15). Anything outside of those acceptable values or ranges is considered an error.</w:t>
      </w:r>
    </w:p>
    <w:p>
      <w:pPr>
        <w:numPr>
          <w:ilvl w:val="0"/>
          <w:numId w:val="1009"/>
        </w:numPr>
        <w:pStyle w:val="Compact"/>
      </w:pPr>
      <w:r>
        <w:t xml:space="preserve">Labels, descriptions of what the variable represents. This may be a label that you as the variable creator assigns (ex:</w:t>
      </w:r>
      <w:r>
        <w:t xml:space="preserve"> </w:t>
      </w:r>
      <w:r>
        <w:t xml:space="preserve">“</w:t>
      </w:r>
      <w:r>
        <w:t xml:space="preserve">Treatment condition</w:t>
      </w:r>
      <w:r>
        <w:t xml:space="preserve">”</w:t>
      </w:r>
      <w:r>
        <w:t xml:space="preserve">) or they may be the actual wording of an item (ex:</w:t>
      </w:r>
      <w:r>
        <w:t xml:space="preserve"> </w:t>
      </w:r>
      <w:r>
        <w:t xml:space="preserve">“</w:t>
      </w:r>
      <w:r>
        <w:t xml:space="preserve">Do you enjoy pizza?</w:t>
      </w:r>
      <w:r>
        <w:t xml:space="preserve">”</w:t>
      </w:r>
      <w:r>
        <w:t xml:space="preserve">).</w:t>
      </w:r>
    </w:p>
    <w:bookmarkEnd w:id="125"/>
    <w:bookmarkEnd w:id="126"/>
    <w:bookmarkStart w:id="127" w:name="rows"/>
    <w:p>
      <w:pPr>
        <w:pStyle w:val="Heading3"/>
      </w:pPr>
      <w:r>
        <w:rPr>
          <w:rStyle w:val="SectionNumber"/>
        </w:rPr>
        <w:t xml:space="preserve">3.1.2</w:t>
      </w:r>
      <w:r>
        <w:tab/>
      </w:r>
      <w:r>
        <w:t xml:space="preserve">Rows</w:t>
      </w:r>
    </w:p>
    <w:p>
      <w:pPr>
        <w:pStyle w:val="FirstParagraph"/>
      </w:pPr>
      <w:r>
        <w:t xml:space="preserve">The rows in your dataset are aligned with participants or cases in your data. Participants in your data may be students, teachers, schools, locations, and so forth. The unique identifier variable mentioned above will denote which row belongs to which participant.</w:t>
      </w:r>
    </w:p>
    <w:bookmarkEnd w:id="127"/>
    <w:bookmarkStart w:id="131" w:name="cells"/>
    <w:p>
      <w:pPr>
        <w:pStyle w:val="Heading3"/>
      </w:pPr>
      <w:r>
        <w:rPr>
          <w:rStyle w:val="SectionNumber"/>
        </w:rPr>
        <w:t xml:space="preserve">3.1.3</w:t>
      </w:r>
      <w:r>
        <w:tab/>
      </w:r>
      <w:r>
        <w:t xml:space="preserve">Cells</w:t>
      </w:r>
    </w:p>
    <w:p>
      <w:pPr>
        <w:pStyle w:val="FirstParagraph"/>
      </w:pPr>
      <w:r>
        <w:t xml:space="preserve">The cells are the observations associated with each participant. Cells are made up of key/value pairs, created at the intersection of a column and a row. Consider an example where we collect a survey from students in the fall of 2022. In this dataset, each row is made up of a unique student in our study, each column is an item from the survey, and each cell contains a value/observation that corresponds to that row/column pair (that participant and that question).</w:t>
      </w:r>
    </w:p>
    <w:p>
      <w:pPr>
        <w:pStyle w:val="CaptionedFigure"/>
      </w:pPr>
      <w:r>
        <w:drawing>
          <wp:inline>
            <wp:extent cx="5334000" cy="2863515"/>
            <wp:effectExtent b="0" l="0" r="0" t="0"/>
            <wp:docPr descr="Figure 2.1: Representation of a cell value" title="" id="129" name="Picture"/>
            <a:graphic>
              <a:graphicData uri="http://schemas.openxmlformats.org/drawingml/2006/picture">
                <pic:pic>
                  <pic:nvPicPr>
                    <pic:cNvPr descr="img/cell_value.PNG" id="130" name="Picture"/>
                    <pic:cNvPicPr>
                      <a:picLocks noChangeArrowheads="1" noChangeAspect="1"/>
                    </pic:cNvPicPr>
                  </pic:nvPicPr>
                  <pic:blipFill>
                    <a:blip r:embed="rId128"/>
                    <a:stretch>
                      <a:fillRect/>
                    </a:stretch>
                  </pic:blipFill>
                  <pic:spPr bwMode="auto">
                    <a:xfrm>
                      <a:off x="0" y="0"/>
                      <a:ext cx="5334000" cy="2863515"/>
                    </a:xfrm>
                    <a:prstGeom prst="rect">
                      <a:avLst/>
                    </a:prstGeom>
                    <a:noFill/>
                    <a:ln w="9525">
                      <a:noFill/>
                      <a:headEnd/>
                      <a:tailEnd/>
                    </a:ln>
                  </pic:spPr>
                </pic:pic>
              </a:graphicData>
            </a:graphic>
          </wp:inline>
        </w:drawing>
      </w:r>
    </w:p>
    <w:p>
      <w:pPr>
        <w:pStyle w:val="ImageCaption"/>
      </w:pPr>
      <w:r>
        <w:t xml:space="preserve">Figure 2.1: Representation of a cell value</w:t>
      </w:r>
    </w:p>
    <w:bookmarkEnd w:id="131"/>
    <w:bookmarkEnd w:id="132"/>
    <w:bookmarkStart w:id="154" w:name="dataset-organization-rules"/>
    <w:p>
      <w:pPr>
        <w:pStyle w:val="Heading2"/>
      </w:pPr>
      <w:r>
        <w:rPr>
          <w:rStyle w:val="SectionNumber"/>
        </w:rPr>
        <w:t xml:space="preserve">3.2</w:t>
      </w:r>
      <w:r>
        <w:tab/>
      </w:r>
      <w:r>
        <w:t xml:space="preserve">Dataset organization rules</w:t>
      </w:r>
    </w:p>
    <w:p>
      <w:pPr>
        <w:pStyle w:val="FirstParagraph"/>
      </w:pPr>
      <w:r>
        <w:t xml:space="preserve">In order for your dataset to be machine-readable and analyzable, it should adhere to a set of structural rules.</w:t>
      </w:r>
      <w:r>
        <w:rPr>
          <w:rStyle w:val="FootnoteReference"/>
        </w:rPr>
        <w:footnoteReference w:id="133"/>
      </w:r>
    </w:p>
    <w:p>
      <w:pPr>
        <w:numPr>
          <w:ilvl w:val="0"/>
          <w:numId w:val="1010"/>
        </w:numPr>
        <w:pStyle w:val="Compact"/>
      </w:pPr>
      <w:r>
        <w:t xml:space="preserve">The first rule is that your data should make a rectangle. The first row of your data should be your variable names (only use one row for this). The remaining data should be made up of values in cells.</w:t>
      </w:r>
    </w:p>
    <w:p>
      <w:pPr>
        <w:pStyle w:val="CaptionedFigure"/>
      </w:pPr>
      <w:r>
        <w:drawing>
          <wp:inline>
            <wp:extent cx="5334000" cy="2504378"/>
            <wp:effectExtent b="0" l="0" r="0" t="0"/>
            <wp:docPr descr="Figure 3.2: A comparison of non-rectangular and rectangular data" title="" id="137" name="Picture"/>
            <a:graphic>
              <a:graphicData uri="http://schemas.openxmlformats.org/drawingml/2006/picture">
                <pic:pic>
                  <pic:nvPicPr>
                    <pic:cNvPr descr="img/rectangle2.PNG" id="138" name="Picture"/>
                    <pic:cNvPicPr>
                      <a:picLocks noChangeArrowheads="1" noChangeAspect="1"/>
                    </pic:cNvPicPr>
                  </pic:nvPicPr>
                  <pic:blipFill>
                    <a:blip r:embed="rId136"/>
                    <a:stretch>
                      <a:fillRect/>
                    </a:stretch>
                  </pic:blipFill>
                  <pic:spPr bwMode="auto">
                    <a:xfrm>
                      <a:off x="0" y="0"/>
                      <a:ext cx="5334000" cy="2504378"/>
                    </a:xfrm>
                    <a:prstGeom prst="rect">
                      <a:avLst/>
                    </a:prstGeom>
                    <a:noFill/>
                    <a:ln w="9525">
                      <a:noFill/>
                      <a:headEnd/>
                      <a:tailEnd/>
                    </a:ln>
                  </pic:spPr>
                </pic:pic>
              </a:graphicData>
            </a:graphic>
          </wp:inline>
        </w:drawing>
      </w:r>
    </w:p>
    <w:p>
      <w:pPr>
        <w:pStyle w:val="ImageCaption"/>
      </w:pPr>
      <w:r>
        <w:t xml:space="preserve">Figure 3.2: A comparison of non-rectangular and rectangular data</w:t>
      </w:r>
    </w:p>
    <w:p>
      <w:pPr>
        <w:numPr>
          <w:ilvl w:val="0"/>
          <w:numId w:val="1011"/>
        </w:numPr>
        <w:pStyle w:val="Compact"/>
      </w:pPr>
      <w:r>
        <w:t xml:space="preserve">Your columns should adhere to your variable type.</w:t>
      </w:r>
    </w:p>
    <w:p>
      <w:pPr>
        <w:numPr>
          <w:ilvl w:val="1"/>
          <w:numId w:val="1012"/>
        </w:numPr>
        <w:pStyle w:val="Compact"/>
      </w:pPr>
      <w:r>
        <w:t xml:space="preserve">For example, if you have a numeric variable, such as age, but you add a cell value that is text, your variable no longer adheres to your variable type. Machines will now read this variable as text.</w:t>
      </w:r>
    </w:p>
    <w:p>
      <w:pPr>
        <w:pStyle w:val="CaptionedFigure"/>
      </w:pPr>
      <w:r>
        <w:drawing>
          <wp:inline>
            <wp:extent cx="5334000" cy="1760636"/>
            <wp:effectExtent b="0" l="0" r="0" t="0"/>
            <wp:docPr descr="Figure 3.3: A comparison of variables adhering and not adhering to a data type" title="" id="140" name="Picture"/>
            <a:graphic>
              <a:graphicData uri="http://schemas.openxmlformats.org/drawingml/2006/picture">
                <pic:pic>
                  <pic:nvPicPr>
                    <pic:cNvPr descr="img/var_type.PNG" id="141" name="Picture"/>
                    <pic:cNvPicPr>
                      <a:picLocks noChangeArrowheads="1" noChangeAspect="1"/>
                    </pic:cNvPicPr>
                  </pic:nvPicPr>
                  <pic:blipFill>
                    <a:blip r:embed="rId139"/>
                    <a:stretch>
                      <a:fillRect/>
                    </a:stretch>
                  </pic:blipFill>
                  <pic:spPr bwMode="auto">
                    <a:xfrm>
                      <a:off x="0" y="0"/>
                      <a:ext cx="5334000" cy="1760636"/>
                    </a:xfrm>
                    <a:prstGeom prst="rect">
                      <a:avLst/>
                    </a:prstGeom>
                    <a:noFill/>
                    <a:ln w="9525">
                      <a:noFill/>
                      <a:headEnd/>
                      <a:tailEnd/>
                    </a:ln>
                  </pic:spPr>
                </pic:pic>
              </a:graphicData>
            </a:graphic>
          </wp:inline>
        </w:drawing>
      </w:r>
    </w:p>
    <w:p>
      <w:pPr>
        <w:pStyle w:val="ImageCaption"/>
      </w:pPr>
      <w:r>
        <w:t xml:space="preserve">Figure 3.3: A comparison of variables adhering and not adhering to a data type</w:t>
      </w:r>
    </w:p>
    <w:p>
      <w:pPr>
        <w:numPr>
          <w:ilvl w:val="0"/>
          <w:numId w:val="1013"/>
        </w:numPr>
        <w:pStyle w:val="Compact"/>
      </w:pPr>
      <w:r>
        <w:t xml:space="preserve">A variable should only collect one piece of information. If a variable contains more than one piece of information you may have the following issues:</w:t>
      </w:r>
    </w:p>
    <w:p>
      <w:pPr>
        <w:numPr>
          <w:ilvl w:val="1"/>
          <w:numId w:val="1014"/>
        </w:numPr>
        <w:pStyle w:val="Compact"/>
      </w:pPr>
      <w:r>
        <w:t xml:space="preserve">You lose the granularity of the information (ex:</w:t>
      </w:r>
      <w:r>
        <w:t xml:space="preserve"> </w:t>
      </w:r>
      <w:r>
        <w:rPr>
          <w:rStyle w:val="VerbatimChar"/>
        </w:rPr>
        <w:t xml:space="preserve">location</w:t>
      </w:r>
      <w:r>
        <w:t xml:space="preserve"> </w:t>
      </w:r>
      <w:r>
        <w:t xml:space="preserve">=</w:t>
      </w:r>
      <w:r>
        <w:t xml:space="preserve"> </w:t>
      </w:r>
      <w:r>
        <w:rPr>
          <w:rStyle w:val="VerbatimChar"/>
        </w:rPr>
        <w:t xml:space="preserve">Los Angeles, CA</w:t>
      </w:r>
      <w:r>
        <w:t xml:space="preserve"> </w:t>
      </w:r>
      <w:r>
        <w:t xml:space="preserve">is less granular than having a</w:t>
      </w:r>
      <w:r>
        <w:t xml:space="preserve"> </w:t>
      </w:r>
      <w:r>
        <w:rPr>
          <w:rStyle w:val="VerbatimChar"/>
        </w:rPr>
        <w:t xml:space="preserve">city</w:t>
      </w:r>
      <w:r>
        <w:t xml:space="preserve"> </w:t>
      </w:r>
      <w:r>
        <w:t xml:space="preserve">variable and a</w:t>
      </w:r>
      <w:r>
        <w:t xml:space="preserve"> </w:t>
      </w:r>
      <w:r>
        <w:rPr>
          <w:rStyle w:val="VerbatimChar"/>
        </w:rPr>
        <w:t xml:space="preserve">state</w:t>
      </w:r>
      <w:r>
        <w:t xml:space="preserve"> </w:t>
      </w:r>
      <w:r>
        <w:t xml:space="preserve">variable separately)</w:t>
      </w:r>
    </w:p>
    <w:p>
      <w:pPr>
        <w:numPr>
          <w:ilvl w:val="1"/>
          <w:numId w:val="1014"/>
        </w:numPr>
        <w:pStyle w:val="Compact"/>
      </w:pPr>
      <w:r>
        <w:t xml:space="preserve">Your variable may become unanalyzable (ex: a variable with a value</w:t>
      </w:r>
      <w:r>
        <w:t xml:space="preserve"> </w:t>
      </w:r>
      <w:r>
        <w:rPr>
          <w:rStyle w:val="VerbatimChar"/>
        </w:rPr>
        <w:t xml:space="preserve">220/335</w:t>
      </w:r>
      <w:r>
        <w:t xml:space="preserve"> </w:t>
      </w:r>
      <w:r>
        <w:t xml:space="preserve">is not analyzable as a numeric variable). If you are interested in a rate, you can calculate a</w:t>
      </w:r>
      <w:r>
        <w:t xml:space="preserve"> </w:t>
      </w:r>
      <w:r>
        <w:rPr>
          <w:rStyle w:val="VerbatimChar"/>
        </w:rPr>
        <w:t xml:space="preserve">rate</w:t>
      </w:r>
      <w:r>
        <w:t xml:space="preserve"> </w:t>
      </w:r>
      <w:r>
        <w:t xml:space="preserve">variable with a value of</w:t>
      </w:r>
      <w:r>
        <w:t xml:space="preserve"> </w:t>
      </w:r>
      <w:r>
        <w:rPr>
          <w:rStyle w:val="VerbatimChar"/>
        </w:rPr>
        <w:t xml:space="preserve">.657</w:t>
      </w:r>
      <w:r>
        <w:t xml:space="preserve">.</w:t>
      </w:r>
    </w:p>
    <w:p>
      <w:pPr>
        <w:numPr>
          <w:ilvl w:val="1"/>
          <w:numId w:val="1014"/>
        </w:numPr>
        <w:pStyle w:val="Compact"/>
      </w:pPr>
      <w:r>
        <w:t xml:space="preserve">You may lose the variable type (ex: if you want an</w:t>
      </w:r>
      <w:r>
        <w:t xml:space="preserve"> </w:t>
      </w:r>
      <w:r>
        <w:rPr>
          <w:rStyle w:val="VerbatimChar"/>
        </w:rPr>
        <w:t xml:space="preserve">incident_rate</w:t>
      </w:r>
      <w:r>
        <w:t xml:space="preserve"> </w:t>
      </w:r>
      <w:r>
        <w:t xml:space="preserve">variable to be numeric, and you assign a value of</w:t>
      </w:r>
      <w:r>
        <w:t xml:space="preserve"> </w:t>
      </w:r>
      <w:r>
        <w:rPr>
          <w:rStyle w:val="VerbatimChar"/>
        </w:rPr>
        <w:t xml:space="preserve">220/335</w:t>
      </w:r>
      <w:r>
        <w:t xml:space="preserve">, that variable is no longer numeric)</w:t>
      </w:r>
    </w:p>
    <w:p>
      <w:pPr>
        <w:pStyle w:val="CaptionedFigure"/>
      </w:pPr>
      <w:r>
        <w:drawing>
          <wp:inline>
            <wp:extent cx="5334000" cy="1860592"/>
            <wp:effectExtent b="0" l="0" r="0" t="0"/>
            <wp:docPr descr="Figure 3.4: A comparison of two things being measured in one variable and two things being measured across two variables" title="" id="143" name="Picture"/>
            <a:graphic>
              <a:graphicData uri="http://schemas.openxmlformats.org/drawingml/2006/picture">
                <pic:pic>
                  <pic:nvPicPr>
                    <pic:cNvPr descr="img/two_things.PNG" id="144" name="Picture"/>
                    <pic:cNvPicPr>
                      <a:picLocks noChangeArrowheads="1" noChangeAspect="1"/>
                    </pic:cNvPicPr>
                  </pic:nvPicPr>
                  <pic:blipFill>
                    <a:blip r:embed="rId142"/>
                    <a:stretch>
                      <a:fillRect/>
                    </a:stretch>
                  </pic:blipFill>
                  <pic:spPr bwMode="auto">
                    <a:xfrm>
                      <a:off x="0" y="0"/>
                      <a:ext cx="5334000" cy="1860592"/>
                    </a:xfrm>
                    <a:prstGeom prst="rect">
                      <a:avLst/>
                    </a:prstGeom>
                    <a:noFill/>
                    <a:ln w="9525">
                      <a:noFill/>
                      <a:headEnd/>
                      <a:tailEnd/>
                    </a:ln>
                  </pic:spPr>
                </pic:pic>
              </a:graphicData>
            </a:graphic>
          </wp:inline>
        </w:drawing>
      </w:r>
    </w:p>
    <w:p>
      <w:pPr>
        <w:pStyle w:val="ImageCaption"/>
      </w:pPr>
      <w:r>
        <w:t xml:space="preserve">Figure 3.4: A comparison of two things being measured in one variable and two things being measured across two variables</w:t>
      </w:r>
    </w:p>
    <w:p>
      <w:pPr>
        <w:numPr>
          <w:ilvl w:val="0"/>
          <w:numId w:val="1015"/>
        </w:numPr>
        <w:pStyle w:val="Compact"/>
      </w:pPr>
      <w:r>
        <w:t xml:space="preserve">All cell values should be explicit. This means all cells should be filled in with a physical value.</w:t>
      </w:r>
    </w:p>
    <w:p>
      <w:pPr>
        <w:numPr>
          <w:ilvl w:val="1"/>
          <w:numId w:val="1016"/>
        </w:numPr>
        <w:pStyle w:val="Compact"/>
      </w:pPr>
      <w:r>
        <w:t xml:space="preserve">No cells should be empty</w:t>
      </w:r>
    </w:p>
    <w:p>
      <w:pPr>
        <w:numPr>
          <w:ilvl w:val="2"/>
          <w:numId w:val="1017"/>
        </w:numPr>
        <w:pStyle w:val="Compact"/>
      </w:pPr>
      <w:r>
        <w:t xml:space="preserve">If a value is actually missing, make sure it contains a value to denote the missing data (ex: NA) to show that the cell was not left blank unintentionally</w:t>
      </w:r>
      <w:r>
        <w:br/>
      </w:r>
    </w:p>
    <w:p>
      <w:pPr>
        <w:numPr>
          <w:ilvl w:val="2"/>
          <w:numId w:val="1017"/>
        </w:numPr>
        <w:pStyle w:val="Compact"/>
      </w:pPr>
      <w:r>
        <w:t xml:space="preserve">If a cell is left empty because it is</w:t>
      </w:r>
      <w:r>
        <w:t xml:space="preserve"> </w:t>
      </w:r>
      <w:r>
        <w:t xml:space="preserve">“</w:t>
      </w:r>
      <w:r>
        <w:t xml:space="preserve">implied</w:t>
      </w:r>
      <w:r>
        <w:t xml:space="preserve">”</w:t>
      </w:r>
      <w:r>
        <w:t xml:space="preserve"> </w:t>
      </w:r>
      <w:r>
        <w:t xml:space="preserve">to be the same value as above, the cells should be filled with the actual data</w:t>
      </w:r>
      <w:r>
        <w:br/>
      </w:r>
    </w:p>
    <w:p>
      <w:pPr>
        <w:numPr>
          <w:ilvl w:val="2"/>
          <w:numId w:val="1017"/>
        </w:numPr>
        <w:pStyle w:val="Compact"/>
      </w:pPr>
      <w:r>
        <w:t xml:space="preserve">If the value for the cell is</w:t>
      </w:r>
      <w:r>
        <w:t xml:space="preserve"> </w:t>
      </w:r>
      <w:r>
        <w:t xml:space="preserve">“</w:t>
      </w:r>
      <w:r>
        <w:t xml:space="preserve">implied</w:t>
      </w:r>
      <w:r>
        <w:t xml:space="preserve">”</w:t>
      </w:r>
      <w:r>
        <w:t xml:space="preserve"> </w:t>
      </w:r>
      <w:r>
        <w:t xml:space="preserve">to be 0, fill the cells with 0</w:t>
      </w:r>
    </w:p>
    <w:p>
      <w:pPr>
        <w:pStyle w:val="CaptionedFigure"/>
      </w:pPr>
      <w:r>
        <w:drawing>
          <wp:inline>
            <wp:extent cx="5334000" cy="2270179"/>
            <wp:effectExtent b="0" l="0" r="0" t="0"/>
            <wp:docPr descr="Figure 3.5: A comparison of of variables with empty cells and variables with not empty cells" title="" id="146" name="Picture"/>
            <a:graphic>
              <a:graphicData uri="http://schemas.openxmlformats.org/drawingml/2006/picture">
                <pic:pic>
                  <pic:nvPicPr>
                    <pic:cNvPr descr="img/explicit.PNG" id="147" name="Picture"/>
                    <pic:cNvPicPr>
                      <a:picLocks noChangeArrowheads="1" noChangeAspect="1"/>
                    </pic:cNvPicPr>
                  </pic:nvPicPr>
                  <pic:blipFill>
                    <a:blip r:embed="rId145"/>
                    <a:stretch>
                      <a:fillRect/>
                    </a:stretch>
                  </pic:blipFill>
                  <pic:spPr bwMode="auto">
                    <a:xfrm>
                      <a:off x="0" y="0"/>
                      <a:ext cx="5334000" cy="2270179"/>
                    </a:xfrm>
                    <a:prstGeom prst="rect">
                      <a:avLst/>
                    </a:prstGeom>
                    <a:noFill/>
                    <a:ln w="9525">
                      <a:noFill/>
                      <a:headEnd/>
                      <a:tailEnd/>
                    </a:ln>
                  </pic:spPr>
                </pic:pic>
              </a:graphicData>
            </a:graphic>
          </wp:inline>
        </w:drawing>
      </w:r>
    </w:p>
    <w:p>
      <w:pPr>
        <w:pStyle w:val="ImageCaption"/>
      </w:pPr>
      <w:r>
        <w:t xml:space="preserve">Figure 3.5: A comparison of of variables with empty cells and variables with not empty cells</w:t>
      </w:r>
    </w:p>
    <w:p>
      <w:pPr>
        <w:numPr>
          <w:ilvl w:val="0"/>
          <w:numId w:val="1018"/>
        </w:numPr>
        <w:pStyle w:val="Compact"/>
      </w:pPr>
      <w:r>
        <w:t xml:space="preserve">No values should be implied using color coding</w:t>
      </w:r>
    </w:p>
    <w:p>
      <w:pPr>
        <w:numPr>
          <w:ilvl w:val="1"/>
          <w:numId w:val="1019"/>
        </w:numPr>
        <w:pStyle w:val="Compact"/>
      </w:pPr>
      <w:r>
        <w:t xml:space="preserve">If you want to indicate information, add an indicator variable to do this rather than cell coloring</w:t>
      </w:r>
    </w:p>
    <w:p>
      <w:pPr>
        <w:pStyle w:val="CaptionedFigure"/>
      </w:pPr>
      <w:r>
        <w:drawing>
          <wp:inline>
            <wp:extent cx="5334000" cy="1972976"/>
            <wp:effectExtent b="0" l="0" r="0" t="0"/>
            <wp:docPr descr="Figure 3.6: A comparison of variables with implicit values and variables with explicit values" title="" id="149" name="Picture"/>
            <a:graphic>
              <a:graphicData uri="http://schemas.openxmlformats.org/drawingml/2006/picture">
                <pic:pic>
                  <pic:nvPicPr>
                    <pic:cNvPr descr="img/cell_color.PNG" id="150" name="Picture"/>
                    <pic:cNvPicPr>
                      <a:picLocks noChangeArrowheads="1" noChangeAspect="1"/>
                    </pic:cNvPicPr>
                  </pic:nvPicPr>
                  <pic:blipFill>
                    <a:blip r:embed="rId148"/>
                    <a:stretch>
                      <a:fillRect/>
                    </a:stretch>
                  </pic:blipFill>
                  <pic:spPr bwMode="auto">
                    <a:xfrm>
                      <a:off x="0" y="0"/>
                      <a:ext cx="5334000" cy="1972976"/>
                    </a:xfrm>
                    <a:prstGeom prst="rect">
                      <a:avLst/>
                    </a:prstGeom>
                    <a:noFill/>
                    <a:ln w="9525">
                      <a:noFill/>
                      <a:headEnd/>
                      <a:tailEnd/>
                    </a:ln>
                  </pic:spPr>
                </pic:pic>
              </a:graphicData>
            </a:graphic>
          </wp:inline>
        </w:drawing>
      </w:r>
    </w:p>
    <w:p>
      <w:pPr>
        <w:pStyle w:val="ImageCaption"/>
      </w:pPr>
      <w:r>
        <w:t xml:space="preserve">Figure 3.6: A comparison of variables with implicit values and variables with explicit values</w:t>
      </w:r>
    </w:p>
    <w:p>
      <w:pPr>
        <w:numPr>
          <w:ilvl w:val="0"/>
          <w:numId w:val="1020"/>
        </w:numPr>
        <w:pStyle w:val="Compact"/>
      </w:pPr>
      <w:r>
        <w:t xml:space="preserve">Your data should not contain duplicate rows. You do not want duplicate rows of a measurement collected</w:t>
      </w:r>
      <w:r>
        <w:t xml:space="preserve"> </w:t>
      </w:r>
      <w:r>
        <w:rPr>
          <w:bCs/>
          <w:b/>
        </w:rPr>
        <w:t xml:space="preserve">on the same participant</w:t>
      </w:r>
      <w:r>
        <w:t xml:space="preserve">,</w:t>
      </w:r>
      <w:r>
        <w:t xml:space="preserve"> </w:t>
      </w:r>
      <w:r>
        <w:rPr>
          <w:bCs/>
          <w:b/>
        </w:rPr>
        <w:t xml:space="preserve">at the same time period</w:t>
      </w:r>
      <w:r>
        <w:t xml:space="preserve">. Different types of duplicate rows can occur:</w:t>
      </w:r>
    </w:p>
    <w:p>
      <w:pPr>
        <w:numPr>
          <w:ilvl w:val="1"/>
          <w:numId w:val="1021"/>
        </w:numPr>
        <w:pStyle w:val="Compact"/>
      </w:pPr>
      <w:r>
        <w:t xml:space="preserve">A true duplicate row where an entire row is duplicated (the row values are the same for every variable). This may happen if someone enters the same form twice.</w:t>
      </w:r>
    </w:p>
    <w:p>
      <w:pPr>
        <w:numPr>
          <w:ilvl w:val="1"/>
          <w:numId w:val="1021"/>
        </w:numPr>
        <w:pStyle w:val="Compact"/>
      </w:pPr>
      <w:r>
        <w:t xml:space="preserve">A unique identifier is duplicated but the row values may or may not be the same across all of the variables. This could happen because one of three reasons:</w:t>
      </w:r>
    </w:p>
    <w:p>
      <w:pPr>
        <w:numPr>
          <w:ilvl w:val="2"/>
          <w:numId w:val="1022"/>
        </w:numPr>
        <w:pStyle w:val="Compact"/>
      </w:pPr>
      <w:r>
        <w:t xml:space="preserve">An instrument is accidentally collected more than once on the same participant in a collection period. This type of duplicate would need to be remedied.</w:t>
      </w:r>
    </w:p>
    <w:p>
      <w:pPr>
        <w:numPr>
          <w:ilvl w:val="2"/>
          <w:numId w:val="1022"/>
        </w:numPr>
        <w:pStyle w:val="Compact"/>
      </w:pPr>
      <w:r>
        <w:t xml:space="preserve">A unique identifier was entered incorrectly. In this case you don’t actually have a duplicate, you just have an incorrect unique identifier. This error would need to be remedied.</w:t>
      </w:r>
    </w:p>
    <w:p>
      <w:pPr>
        <w:numPr>
          <w:ilvl w:val="2"/>
          <w:numId w:val="1022"/>
        </w:numPr>
        <w:pStyle w:val="Compact"/>
      </w:pPr>
      <w:r>
        <w:t xml:space="preserve">More than one variable is used to identify unique participants and the row is not actually a duplicate.</w:t>
      </w:r>
    </w:p>
    <w:p>
      <w:pPr>
        <w:numPr>
          <w:ilvl w:val="3"/>
          <w:numId w:val="1023"/>
        </w:numPr>
        <w:pStyle w:val="Compact"/>
      </w:pPr>
      <w:r>
        <w:t xml:space="preserve">Take for example a student id and a class id. Multiple unique identifiers may be used if data is collected on participants in multiple locations and treated as unique data. In this case, the data is not truly duplicate because the combined identifiers are unique.</w:t>
      </w:r>
    </w:p>
    <w:p>
      <w:pPr>
        <w:numPr>
          <w:ilvl w:val="3"/>
          <w:numId w:val="1023"/>
        </w:numPr>
        <w:pStyle w:val="Compact"/>
      </w:pPr>
      <w:r>
        <w:t xml:space="preserve">Another example of this is if your data is organized in long format (discussed below</w:t>
      </w:r>
      <w:r>
        <w:t xml:space="preserve"> </w:t>
      </w:r>
      <w:r>
        <w:t xml:space="preserve">3.3.2</w:t>
      </w:r>
      <w:r>
        <w:t xml:space="preserve">). In this case unique study identifiers may repeat in the data but they should not repeat for the same form and same time period in your data.</w:t>
      </w:r>
    </w:p>
    <w:p>
      <w:pPr>
        <w:pStyle w:val="CaptionedFigure"/>
      </w:pPr>
      <w:r>
        <w:drawing>
          <wp:inline>
            <wp:extent cx="5334000" cy="1892857"/>
            <wp:effectExtent b="0" l="0" r="0" t="0"/>
            <wp:docPr descr="Figure 3.7: A comparison of data with duplicate cases and data with no duplicate cases" title="" id="152" name="Picture"/>
            <a:graphic>
              <a:graphicData uri="http://schemas.openxmlformats.org/drawingml/2006/picture">
                <pic:pic>
                  <pic:nvPicPr>
                    <pic:cNvPr descr="img/duplicate.PNG" id="153" name="Picture"/>
                    <pic:cNvPicPr>
                      <a:picLocks noChangeArrowheads="1" noChangeAspect="1"/>
                    </pic:cNvPicPr>
                  </pic:nvPicPr>
                  <pic:blipFill>
                    <a:blip r:embed="rId151"/>
                    <a:stretch>
                      <a:fillRect/>
                    </a:stretch>
                  </pic:blipFill>
                  <pic:spPr bwMode="auto">
                    <a:xfrm>
                      <a:off x="0" y="0"/>
                      <a:ext cx="5334000" cy="1892857"/>
                    </a:xfrm>
                    <a:prstGeom prst="rect">
                      <a:avLst/>
                    </a:prstGeom>
                    <a:noFill/>
                    <a:ln w="9525">
                      <a:noFill/>
                      <a:headEnd/>
                      <a:tailEnd/>
                    </a:ln>
                  </pic:spPr>
                </pic:pic>
              </a:graphicData>
            </a:graphic>
          </wp:inline>
        </w:drawing>
      </w:r>
    </w:p>
    <w:p>
      <w:pPr>
        <w:pStyle w:val="ImageCaption"/>
      </w:pPr>
      <w:r>
        <w:t xml:space="preserve">Figure 3.7: A comparison of data with duplicate cases and data with no duplicate cases</w:t>
      </w:r>
    </w:p>
    <w:bookmarkEnd w:id="154"/>
    <w:bookmarkStart w:id="175" w:name="linking-data"/>
    <w:p>
      <w:pPr>
        <w:pStyle w:val="Heading2"/>
      </w:pPr>
      <w:r>
        <w:rPr>
          <w:rStyle w:val="SectionNumber"/>
        </w:rPr>
        <w:t xml:space="preserve">3.3</w:t>
      </w:r>
      <w:r>
        <w:tab/>
      </w:r>
      <w:r>
        <w:t xml:space="preserve">Linking data</w:t>
      </w:r>
    </w:p>
    <w:p>
      <w:pPr>
        <w:pStyle w:val="FirstParagraph"/>
      </w:pPr>
      <w:r>
        <w:t xml:space="preserve">Up until now we have been talking about one, standalone dataset. However, it is more likely that your research project will be made up of multiple datasets, collected from different participants, from a variety of instruments, and possibly across different time points. And at some point you will most likely need to link those datasets together.</w:t>
      </w:r>
    </w:p>
    <w:p>
      <w:pPr>
        <w:pStyle w:val="BodyText"/>
      </w:pPr>
      <w:r>
        <w:t xml:space="preserve">In order to think about how to link data, we need to discuss two things: data structure and database design.</w:t>
      </w:r>
    </w:p>
    <w:bookmarkStart w:id="165" w:name="database-design"/>
    <w:p>
      <w:pPr>
        <w:pStyle w:val="Heading3"/>
      </w:pPr>
      <w:r>
        <w:rPr>
          <w:rStyle w:val="SectionNumber"/>
        </w:rPr>
        <w:t xml:space="preserve">3.3.1</w:t>
      </w:r>
      <w:r>
        <w:tab/>
      </w:r>
      <w:r>
        <w:t xml:space="preserve">Database design</w:t>
      </w:r>
    </w:p>
    <w:p>
      <w:pPr>
        <w:pStyle w:val="FirstParagraph"/>
      </w:pPr>
      <w:r>
        <w:t xml:space="preserve">A database is</w:t>
      </w:r>
      <w:r>
        <w:t xml:space="preserve"> </w:t>
      </w:r>
      <w:r>
        <w:t xml:space="preserve">“</w:t>
      </w:r>
      <w:r>
        <w:t xml:space="preserve">an organized collection of data stored as multiple datasets.</w:t>
      </w:r>
      <w:r>
        <w:t xml:space="preserve">”</w:t>
      </w:r>
      <w:r>
        <w:rPr>
          <w:rStyle w:val="FootnoteReference"/>
        </w:rPr>
        <w:footnoteReference w:id="155"/>
      </w:r>
      <w:r>
        <w:t xml:space="preserve"> Sometimes this database is actually housed in a database software system (such as MySQL or FileMaker), and other times we are loosely using the term database to simply define how we are linking disparate datasets together that are stored individually in some file system. No matter the storage system, the general concepts here will be applicable.</w:t>
      </w:r>
    </w:p>
    <w:p>
      <w:pPr>
        <w:pStyle w:val="BodyText"/>
      </w:pPr>
      <w:r>
        <w:t xml:space="preserve">In database terminology, each dataset we have is considered a</w:t>
      </w:r>
      <w:r>
        <w:t xml:space="preserve"> </w:t>
      </w:r>
      <w:r>
        <w:t xml:space="preserve">“</w:t>
      </w:r>
      <w:r>
        <w:t xml:space="preserve">table</w:t>
      </w:r>
      <w:r>
        <w:t xml:space="preserve">”</w:t>
      </w:r>
      <w:r>
        <w:t xml:space="preserve">. And each table has a primary key that identifies unique entries within a table and each table can be connected through both primary and foreign keys. This linking of tables creates a relational database and we will talk more about this structure when we discuss participant data tracking</w:t>
      </w:r>
      <w:r>
        <w:t xml:space="preserve"> </w:t>
      </w:r>
      <w:r>
        <w:t xml:space="preserve">??</w:t>
      </w:r>
      <w:r>
        <w:t xml:space="preserve">.</w:t>
      </w:r>
    </w:p>
    <w:p>
      <w:pPr>
        <w:pStyle w:val="BodyText"/>
      </w:pPr>
      <w:r>
        <w:t xml:space="preserve">Let’s take the simplest example, where we only have primary keys in our data. Here we collected two pieces of data from students (a survey and an assessment) in one time period. The image below shows what variables were collected from each instrument and how each table can be linked together through a primary key (circled in yellow).</w:t>
      </w:r>
    </w:p>
    <w:p>
      <w:pPr>
        <w:pStyle w:val="CaptionedFigure"/>
      </w:pPr>
      <w:r>
        <w:drawing>
          <wp:inline>
            <wp:extent cx="5334000" cy="1991360"/>
            <wp:effectExtent b="0" l="0" r="0" t="0"/>
            <wp:docPr descr="Figure 3.8: Linking data through primary keys" title="" id="157" name="Picture"/>
            <a:graphic>
              <a:graphicData uri="http://schemas.openxmlformats.org/drawingml/2006/picture">
                <pic:pic>
                  <pic:nvPicPr>
                    <pic:cNvPr descr="img/link0.PNG" id="158" name="Picture"/>
                    <pic:cNvPicPr>
                      <a:picLocks noChangeArrowheads="1" noChangeAspect="1"/>
                    </pic:cNvPicPr>
                  </pic:nvPicPr>
                  <pic:blipFill>
                    <a:blip r:embed="rId156"/>
                    <a:stretch>
                      <a:fillRect/>
                    </a:stretch>
                  </pic:blipFill>
                  <pic:spPr bwMode="auto">
                    <a:xfrm>
                      <a:off x="0" y="0"/>
                      <a:ext cx="5334000" cy="1991360"/>
                    </a:xfrm>
                    <a:prstGeom prst="rect">
                      <a:avLst/>
                    </a:prstGeom>
                    <a:noFill/>
                    <a:ln w="9525">
                      <a:noFill/>
                      <a:headEnd/>
                      <a:tailEnd/>
                    </a:ln>
                  </pic:spPr>
                </pic:pic>
              </a:graphicData>
            </a:graphic>
          </wp:inline>
        </w:drawing>
      </w:r>
    </w:p>
    <w:p>
      <w:pPr>
        <w:pStyle w:val="ImageCaption"/>
      </w:pPr>
      <w:r>
        <w:t xml:space="preserve">Figure 3.8: Linking data through primary keys</w:t>
      </w:r>
    </w:p>
    <w:p>
      <w:pPr>
        <w:pStyle w:val="BodyText"/>
      </w:pPr>
      <w:r>
        <w:t xml:space="preserve">However, we are often not only collecting data across different forms, but we are also collecting nested data across different participants (ex: students, nested in classrooms, nested in schools, and so on). Let’s take another example where we collected data from three instruments, a student assessment, a teacher survey, and a school intake form. The image below shows what variables exist in each dataset (with primary keys still being circled in yellow) and how each table can be linked together through a foreign key (circled in blue).</w:t>
      </w:r>
    </w:p>
    <w:p>
      <w:pPr>
        <w:pStyle w:val="CaptionedFigure"/>
      </w:pPr>
      <w:r>
        <w:drawing>
          <wp:inline>
            <wp:extent cx="5334000" cy="1524000"/>
            <wp:effectExtent b="0" l="0" r="0" t="0"/>
            <wp:docPr descr="Figure 3.9: Linking data through foreign keys" title="" id="160" name="Picture"/>
            <a:graphic>
              <a:graphicData uri="http://schemas.openxmlformats.org/drawingml/2006/picture">
                <pic:pic>
                  <pic:nvPicPr>
                    <pic:cNvPr descr="img/link1.PNG" id="161" name="Picture"/>
                    <pic:cNvPicPr>
                      <a:picLocks noChangeArrowheads="1" noChangeAspect="1"/>
                    </pic:cNvPicPr>
                  </pic:nvPicPr>
                  <pic:blipFill>
                    <a:blip r:embed="rId15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3.9: Linking data through foreign keys</w:t>
      </w:r>
    </w:p>
    <w:p>
      <w:pPr>
        <w:pStyle w:val="BodyText"/>
      </w:pPr>
      <w:r>
        <w:t xml:space="preserve">And as you can imagine, as we add more forms, or begin to collect data across time, the database structure begins to become even more complex. Here is another example where we collected two forms from students (a survey and an assessment), two forms from teachers (a survey and an observation), and one form from schools (an intake form). While the linking structure begins to look more complex, we see that we can still link all of our data through primary and foreign keys. Forms within participants can be linked by primary keys, and forms across participants can be linked by foreign keys.</w:t>
      </w:r>
    </w:p>
    <w:p>
      <w:pPr>
        <w:pStyle w:val="CaptionedFigure"/>
      </w:pPr>
      <w:r>
        <w:drawing>
          <wp:inline>
            <wp:extent cx="5334000" cy="5161935"/>
            <wp:effectExtent b="0" l="0" r="0" t="0"/>
            <wp:docPr descr="Figure 3.10: Linking data through primary and foreign keys" title="" id="163" name="Picture"/>
            <a:graphic>
              <a:graphicData uri="http://schemas.openxmlformats.org/drawingml/2006/picture">
                <pic:pic>
                  <pic:nvPicPr>
                    <pic:cNvPr descr="img/link2.PNG" id="164" name="Picture"/>
                    <pic:cNvPicPr>
                      <a:picLocks noChangeArrowheads="1" noChangeAspect="1"/>
                    </pic:cNvPicPr>
                  </pic:nvPicPr>
                  <pic:blipFill>
                    <a:blip r:embed="rId162"/>
                    <a:stretch>
                      <a:fillRect/>
                    </a:stretch>
                  </pic:blipFill>
                  <pic:spPr bwMode="auto">
                    <a:xfrm>
                      <a:off x="0" y="0"/>
                      <a:ext cx="5334000" cy="5161935"/>
                    </a:xfrm>
                    <a:prstGeom prst="rect">
                      <a:avLst/>
                    </a:prstGeom>
                    <a:noFill/>
                    <a:ln w="9525">
                      <a:noFill/>
                      <a:headEnd/>
                      <a:tailEnd/>
                    </a:ln>
                  </pic:spPr>
                </pic:pic>
              </a:graphicData>
            </a:graphic>
          </wp:inline>
        </w:drawing>
      </w:r>
    </w:p>
    <w:p>
      <w:pPr>
        <w:pStyle w:val="ImageCaption"/>
      </w:pPr>
      <w:r>
        <w:t xml:space="preserve">Figure 3.10: Linking data through primary and foreign keys</w:t>
      </w:r>
    </w:p>
    <w:bookmarkEnd w:id="165"/>
    <w:bookmarkStart w:id="174" w:name="structure"/>
    <w:p>
      <w:pPr>
        <w:pStyle w:val="Heading3"/>
      </w:pPr>
      <w:r>
        <w:rPr>
          <w:rStyle w:val="SectionNumber"/>
        </w:rPr>
        <w:t xml:space="preserve">3.3.2</w:t>
      </w:r>
      <w:r>
        <w:tab/>
      </w:r>
      <w:r>
        <w:t xml:space="preserve">Data structure</w:t>
      </w:r>
    </w:p>
    <w:p>
      <w:pPr>
        <w:pStyle w:val="FirstParagraph"/>
      </w:pPr>
      <w:r>
        <w:t xml:space="preserve">When it comes time to link our data, there are two ways we often think about linking or structuring our data, wide or long.</w:t>
      </w:r>
    </w:p>
    <w:p>
      <w:pPr>
        <w:pStyle w:val="BodyText"/>
      </w:pPr>
      <w:r>
        <w:rPr>
          <w:bCs/>
          <w:b/>
        </w:rPr>
        <w:t xml:space="preserve">Wide format</w:t>
      </w:r>
    </w:p>
    <w:p>
      <w:pPr>
        <w:pStyle w:val="BodyText"/>
      </w:pPr>
      <w:r>
        <w:t xml:space="preserve">When we structure our data in a wide format, all data collected on a unique participant will be in one row. Participants should</w:t>
      </w:r>
      <w:r>
        <w:t xml:space="preserve"> </w:t>
      </w:r>
      <w:r>
        <w:rPr>
          <w:bCs/>
          <w:b/>
        </w:rPr>
        <w:t xml:space="preserve">not</w:t>
      </w:r>
      <w:r>
        <w:t xml:space="preserve"> </w:t>
      </w:r>
      <w:r>
        <w:t xml:space="preserve">be duplicated in your data in this format.</w:t>
      </w:r>
    </w:p>
    <w:p>
      <w:pPr>
        <w:pStyle w:val="BodyText"/>
      </w:pPr>
      <w:r>
        <w:t xml:space="preserve">This type of format can be used for the following situations:</w:t>
      </w:r>
    </w:p>
    <w:p>
      <w:pPr>
        <w:numPr>
          <w:ilvl w:val="0"/>
          <w:numId w:val="1024"/>
        </w:numPr>
        <w:pStyle w:val="Compact"/>
      </w:pPr>
      <w:r>
        <w:t xml:space="preserve">To link forms within time</w:t>
      </w:r>
      <w:r>
        <w:br/>
      </w:r>
    </w:p>
    <w:p>
      <w:pPr>
        <w:numPr>
          <w:ilvl w:val="0"/>
          <w:numId w:val="1024"/>
        </w:numPr>
        <w:pStyle w:val="Compact"/>
      </w:pPr>
      <w:r>
        <w:t xml:space="preserve">To link forms across time</w:t>
      </w:r>
      <w:r>
        <w:br/>
      </w:r>
    </w:p>
    <w:p>
      <w:pPr>
        <w:numPr>
          <w:ilvl w:val="0"/>
          <w:numId w:val="1024"/>
        </w:numPr>
        <w:pStyle w:val="Compact"/>
      </w:pPr>
      <w:r>
        <w:t xml:space="preserve">To link forms across participants</w:t>
      </w:r>
    </w:p>
    <w:p>
      <w:pPr>
        <w:pStyle w:val="FirstParagraph"/>
      </w:pPr>
      <w:r>
        <w:t xml:space="preserve">The easiest scenario to think about this format is with repeated measure data. If we collect a survey on participants in both wave 1 and 2, those waves of data will all be in the same row (joined together on a unique ID) and each wave of data collection will be appended to a variable name to create unique variable names. We will dive deeper into different types of joins in our data cleaning section</w:t>
      </w:r>
      <w:r>
        <w:t xml:space="preserve"> </w:t>
      </w:r>
      <w:r>
        <w:t xml:space="preserve">??</w:t>
      </w:r>
      <w:r>
        <w:t xml:space="preserve">.</w:t>
      </w:r>
    </w:p>
    <w:p>
      <w:pPr>
        <w:pStyle w:val="BodyText"/>
      </w:pPr>
      <w:r>
        <w:t xml:space="preserve">Limitations: It is important to note here, that if your data do not have unique identifiers (primary and/or foreign keys), you will be unable to merge data in a wide format.</w:t>
      </w:r>
    </w:p>
    <w:p>
      <w:pPr>
        <w:pStyle w:val="CaptionedFigure"/>
      </w:pPr>
      <w:r>
        <w:drawing>
          <wp:inline>
            <wp:extent cx="5334000" cy="3643687"/>
            <wp:effectExtent b="0" l="0" r="0" t="0"/>
            <wp:docPr descr="Figure 3.11: Data structured in wide format" title="" id="167" name="Picture"/>
            <a:graphic>
              <a:graphicData uri="http://schemas.openxmlformats.org/drawingml/2006/picture">
                <pic:pic>
                  <pic:nvPicPr>
                    <pic:cNvPr descr="img/wide.PNG" id="168" name="Picture"/>
                    <pic:cNvPicPr>
                      <a:picLocks noChangeArrowheads="1" noChangeAspect="1"/>
                    </pic:cNvPicPr>
                  </pic:nvPicPr>
                  <pic:blipFill>
                    <a:blip r:embed="rId166"/>
                    <a:stretch>
                      <a:fillRect/>
                    </a:stretch>
                  </pic:blipFill>
                  <pic:spPr bwMode="auto">
                    <a:xfrm>
                      <a:off x="0" y="0"/>
                      <a:ext cx="5334000" cy="3643687"/>
                    </a:xfrm>
                    <a:prstGeom prst="rect">
                      <a:avLst/>
                    </a:prstGeom>
                    <a:noFill/>
                    <a:ln w="9525">
                      <a:noFill/>
                      <a:headEnd/>
                      <a:tailEnd/>
                    </a:ln>
                  </pic:spPr>
                </pic:pic>
              </a:graphicData>
            </a:graphic>
          </wp:inline>
        </w:drawing>
      </w:r>
    </w:p>
    <w:p>
      <w:pPr>
        <w:pStyle w:val="ImageCaption"/>
      </w:pPr>
      <w:r>
        <w:t xml:space="preserve">Figure 3.11: Data structured in wide format</w:t>
      </w:r>
    </w:p>
    <w:p>
      <w:pPr>
        <w:pStyle w:val="BodyText"/>
      </w:pPr>
      <w:r>
        <w:rPr>
          <w:bCs/>
          <w:b/>
        </w:rPr>
        <w:t xml:space="preserve">Long format</w:t>
      </w:r>
    </w:p>
    <w:p>
      <w:pPr>
        <w:pStyle w:val="BodyText"/>
      </w:pPr>
      <w:r>
        <w:t xml:space="preserve">In education research, long data is mostly used as a specific way to structure data that is collected over time. In long data a participant can and will repeat in your dataset.</w:t>
      </w:r>
    </w:p>
    <w:p>
      <w:pPr>
        <w:pStyle w:val="BodyText"/>
      </w:pPr>
      <w:r>
        <w:t xml:space="preserve">Again, the most straight forward way to think about this is with repeated measure data, where each row will be a new time point for a participant. Here instead of merging forms on a unique id, we stack forms on top of each other, often called appending data. Rows are stacked on top of one another and variables are aligned by variable name. Now instead of linking data by an id, data is now</w:t>
      </w:r>
      <w:r>
        <w:t xml:space="preserve"> </w:t>
      </w:r>
      <w:r>
        <w:t xml:space="preserve">“</w:t>
      </w:r>
      <w:r>
        <w:t xml:space="preserve">linked</w:t>
      </w:r>
      <w:r>
        <w:t xml:space="preserve">”</w:t>
      </w:r>
      <w:r>
        <w:t xml:space="preserve"> </w:t>
      </w:r>
      <w:r>
        <w:t xml:space="preserve">by variable names. It is important here that variable names and types stay identical over time in order for this structure to work.</w:t>
      </w:r>
    </w:p>
    <w:p>
      <w:pPr>
        <w:pStyle w:val="BodyText"/>
      </w:pPr>
      <w:r>
        <w:t xml:space="preserve">In this scenario, we no longer add the data collection wave to variable names. However, we would need to add a time period variable to denote the wave associated with each row of data.</w:t>
      </w:r>
    </w:p>
    <w:p>
      <w:pPr>
        <w:pStyle w:val="CaptionedFigure"/>
      </w:pPr>
      <w:r>
        <w:drawing>
          <wp:inline>
            <wp:extent cx="5334000" cy="2926453"/>
            <wp:effectExtent b="0" l="0" r="0" t="0"/>
            <wp:docPr descr="Figure 3.12: Data structured in long format" title="" id="170" name="Picture"/>
            <a:graphic>
              <a:graphicData uri="http://schemas.openxmlformats.org/drawingml/2006/picture">
                <pic:pic>
                  <pic:nvPicPr>
                    <pic:cNvPr descr="img/long.PNG" id="171" name="Picture"/>
                    <pic:cNvPicPr>
                      <a:picLocks noChangeArrowheads="1" noChangeAspect="1"/>
                    </pic:cNvPicPr>
                  </pic:nvPicPr>
                  <pic:blipFill>
                    <a:blip r:embed="rId169"/>
                    <a:stretch>
                      <a:fillRect/>
                    </a:stretch>
                  </pic:blipFill>
                  <pic:spPr bwMode="auto">
                    <a:xfrm>
                      <a:off x="0" y="0"/>
                      <a:ext cx="5334000" cy="2926453"/>
                    </a:xfrm>
                    <a:prstGeom prst="rect">
                      <a:avLst/>
                    </a:prstGeom>
                    <a:noFill/>
                    <a:ln w="9525">
                      <a:noFill/>
                      <a:headEnd/>
                      <a:tailEnd/>
                    </a:ln>
                  </pic:spPr>
                </pic:pic>
              </a:graphicData>
            </a:graphic>
          </wp:inline>
        </w:drawing>
      </w:r>
    </w:p>
    <w:p>
      <w:pPr>
        <w:pStyle w:val="ImageCaption"/>
      </w:pPr>
      <w:r>
        <w:t xml:space="preserve">Figure 3.12: Data structured in long format</w:t>
      </w:r>
    </w:p>
    <w:p>
      <w:pPr>
        <w:pStyle w:val="BodyText"/>
      </w:pPr>
      <w:r>
        <w:rPr>
          <w:bCs/>
          <w:b/>
        </w:rPr>
        <w:t xml:space="preserve">Choosing wide vs long</w:t>
      </w:r>
    </w:p>
    <w:p>
      <w:pPr>
        <w:pStyle w:val="BodyText"/>
      </w:pPr>
      <w:r>
        <w:t xml:space="preserve">There are different reasons for constructing your data one way or another. And it may be that you store or share your data in one format, and then restructure data into another format when it comes time for analysis.</w:t>
      </w:r>
    </w:p>
    <w:p>
      <w:pPr>
        <w:pStyle w:val="BodyText"/>
      </w:pPr>
      <w:r>
        <w:t xml:space="preserve">Storing data in long format is usually considered to be more efficient, potentially requiring less memory. However, when it comes time for analysis, specific data structures may be required. For example, repeated measure procedures typically require data to be in wide format, where the unit of analysis is the subject. While mixed model procedures typically required data to be in long format, where the unit of analysis is each measurement for the subject.</w:t>
      </w:r>
      <w:r>
        <w:rPr>
          <w:rStyle w:val="FootnoteReference"/>
        </w:rPr>
        <w:footnoteReference w:id="172"/>
      </w:r>
      <w:r>
        <w:t xml:space="preserve"> We will further review decision making around data structure in our data cleaning chapter</w:t>
      </w:r>
      <w:r>
        <w:t xml:space="preserve"> </w:t>
      </w:r>
      <w:r>
        <w:t xml:space="preserve">??</w:t>
      </w:r>
      <w:r>
        <w:t xml:space="preserve">.</w:t>
      </w:r>
    </w:p>
    <w:bookmarkEnd w:id="174"/>
    <w:bookmarkEnd w:id="175"/>
    <w:bookmarkStart w:id="176" w:name="file-types"/>
    <w:p>
      <w:pPr>
        <w:pStyle w:val="Heading2"/>
      </w:pPr>
      <w:r>
        <w:rPr>
          <w:rStyle w:val="SectionNumber"/>
        </w:rPr>
        <w:t xml:space="preserve">3.4</w:t>
      </w:r>
      <w:r>
        <w:tab/>
      </w:r>
      <w:r>
        <w:t xml:space="preserve">File types</w:t>
      </w:r>
    </w:p>
    <w:p>
      <w:pPr>
        <w:pStyle w:val="FirstParagraph"/>
      </w:pPr>
      <w:r>
        <w:t xml:space="preserve">These rectangular datasets can be saved in a variety of file types. Some common file types in education research include interoperable formats such as .csv, .txt, .dat, or .tsv, or proprietary formats such as .xlsx, .sav, or .dta.</w:t>
      </w:r>
    </w:p>
    <w:p>
      <w:pPr>
        <w:pStyle w:val="BodyText"/>
      </w:pPr>
      <w:r>
        <w:t xml:space="preserve">When you save your files, they will have a file size. Both the number of columns as well as the number of rows in your dataset will contribute to your file size. Just to get a feel for what size your files might be, small datasets (for example 5 columns and &lt;100 rows) may be less than 100 KB. Datasets with several hundred variables and several thousand cases may start to be in the 1,000-5,000 KB range. The type of file you use also changes the size of your data. Saving data in a format that contains embedded metadata (such as variable and value labels), such as a .sav file, will greatly increase your file size. We will talk about the pros and cons to different file formats in the chapter on data sharing</w:t>
      </w:r>
      <w:r>
        <w:t xml:space="preserve"> </w:t>
      </w:r>
      <w:r>
        <w:t xml:space="preserve">??</w:t>
      </w:r>
      <w:r>
        <w:t xml:space="preserve">.</w:t>
      </w:r>
    </w:p>
    <w:bookmarkEnd w:id="176"/>
    <w:bookmarkEnd w:id="177"/>
    <w:bookmarkStart w:id="184" w:name="data-management-plan"/>
    <w:p>
      <w:pPr>
        <w:pStyle w:val="Heading1"/>
      </w:pPr>
      <w:r>
        <w:rPr>
          <w:rStyle w:val="SectionNumber"/>
        </w:rPr>
        <w:t xml:space="preserve">4</w:t>
      </w:r>
      <w:r>
        <w:tab/>
      </w:r>
      <w:r>
        <w:t xml:space="preserve">Data Management Plan</w:t>
      </w:r>
    </w:p>
    <w:bookmarkStart w:id="178" w:name="history-and-purpose"/>
    <w:p>
      <w:pPr>
        <w:pStyle w:val="Heading2"/>
      </w:pPr>
      <w:r>
        <w:rPr>
          <w:rStyle w:val="SectionNumber"/>
        </w:rPr>
        <w:t xml:space="preserve">4.1</w:t>
      </w:r>
      <w:r>
        <w:tab/>
      </w:r>
      <w:r>
        <w:t xml:space="preserve">History and purpose</w:t>
      </w:r>
    </w:p>
    <w:bookmarkEnd w:id="178"/>
    <w:bookmarkStart w:id="179" w:name="what-is-it"/>
    <w:p>
      <w:pPr>
        <w:pStyle w:val="Heading2"/>
      </w:pPr>
      <w:r>
        <w:rPr>
          <w:rStyle w:val="SectionNumber"/>
        </w:rPr>
        <w:t xml:space="preserve">4.2</w:t>
      </w:r>
      <w:r>
        <w:tab/>
      </w:r>
      <w:r>
        <w:t xml:space="preserve">What is it?</w:t>
      </w:r>
    </w:p>
    <w:bookmarkEnd w:id="179"/>
    <w:bookmarkStart w:id="180" w:name="why-are-dmps-important"/>
    <w:p>
      <w:pPr>
        <w:pStyle w:val="Heading2"/>
      </w:pPr>
      <w:r>
        <w:rPr>
          <w:rStyle w:val="SectionNumber"/>
        </w:rPr>
        <w:t xml:space="preserve">4.3</w:t>
      </w:r>
      <w:r>
        <w:tab/>
      </w:r>
      <w:r>
        <w:t xml:space="preserve">Why are DMPs important?</w:t>
      </w:r>
    </w:p>
    <w:bookmarkEnd w:id="180"/>
    <w:bookmarkStart w:id="181" w:name="what-to-include"/>
    <w:p>
      <w:pPr>
        <w:pStyle w:val="Heading2"/>
      </w:pPr>
      <w:r>
        <w:rPr>
          <w:rStyle w:val="SectionNumber"/>
        </w:rPr>
        <w:t xml:space="preserve">4.4</w:t>
      </w:r>
      <w:r>
        <w:tab/>
      </w:r>
      <w:r>
        <w:t xml:space="preserve">What to include?</w:t>
      </w:r>
    </w:p>
    <w:bookmarkEnd w:id="181"/>
    <w:bookmarkStart w:id="182" w:name="getting-help"/>
    <w:p>
      <w:pPr>
        <w:pStyle w:val="Heading2"/>
      </w:pPr>
      <w:r>
        <w:rPr>
          <w:rStyle w:val="SectionNumber"/>
        </w:rPr>
        <w:t xml:space="preserve">4.5</w:t>
      </w:r>
      <w:r>
        <w:tab/>
      </w:r>
      <w:r>
        <w:t xml:space="preserve">Getting help</w:t>
      </w:r>
    </w:p>
    <w:bookmarkEnd w:id="182"/>
    <w:bookmarkStart w:id="183" w:name="budgeting"/>
    <w:p>
      <w:pPr>
        <w:pStyle w:val="Heading2"/>
      </w:pPr>
      <w:r>
        <w:rPr>
          <w:rStyle w:val="SectionNumber"/>
        </w:rPr>
        <w:t xml:space="preserve">4.6</w:t>
      </w:r>
      <w:r>
        <w:tab/>
      </w:r>
      <w:r>
        <w:t xml:space="preserve">Budgeting</w:t>
      </w:r>
    </w:p>
    <w:bookmarkEnd w:id="183"/>
    <w:bookmarkEnd w:id="184"/>
    <w:bookmarkStart w:id="188" w:name="planning-data-management"/>
    <w:p>
      <w:pPr>
        <w:pStyle w:val="Heading1"/>
      </w:pPr>
      <w:r>
        <w:rPr>
          <w:rStyle w:val="SectionNumber"/>
        </w:rPr>
        <w:t xml:space="preserve">5</w:t>
      </w:r>
      <w:r>
        <w:tab/>
      </w:r>
      <w:r>
        <w:t xml:space="preserve">Planning Data Management</w:t>
      </w:r>
    </w:p>
    <w:bookmarkStart w:id="185" w:name="why-spend-time-on-planning"/>
    <w:p>
      <w:pPr>
        <w:pStyle w:val="Heading2"/>
      </w:pPr>
      <w:r>
        <w:rPr>
          <w:rStyle w:val="SectionNumber"/>
        </w:rPr>
        <w:t xml:space="preserve">5.1</w:t>
      </w:r>
      <w:r>
        <w:tab/>
      </w:r>
      <w:r>
        <w:t xml:space="preserve">Why spend time on planning?</w:t>
      </w:r>
    </w:p>
    <w:bookmarkEnd w:id="185"/>
    <w:bookmarkStart w:id="186" w:name="planning-checklists"/>
    <w:p>
      <w:pPr>
        <w:pStyle w:val="Heading2"/>
      </w:pPr>
      <w:r>
        <w:rPr>
          <w:rStyle w:val="SectionNumber"/>
        </w:rPr>
        <w:t xml:space="preserve">5.2</w:t>
      </w:r>
      <w:r>
        <w:tab/>
      </w:r>
      <w:r>
        <w:t xml:space="preserve">Planning checklists</w:t>
      </w:r>
    </w:p>
    <w:bookmarkEnd w:id="186"/>
    <w:bookmarkStart w:id="187" w:name="Xa9919daac3eba710de2b00f4002d97e0f65480e"/>
    <w:p>
      <w:pPr>
        <w:pStyle w:val="Heading2"/>
      </w:pPr>
      <w:r>
        <w:rPr>
          <w:rStyle w:val="SectionNumber"/>
        </w:rPr>
        <w:t xml:space="preserve">5.3</w:t>
      </w:r>
      <w:r>
        <w:tab/>
      </w:r>
      <w:r>
        <w:t xml:space="preserve">How to move from a planning checklist to a workflow</w:t>
      </w:r>
    </w:p>
    <w:bookmarkEnd w:id="187"/>
    <w:bookmarkEnd w:id="188"/>
    <w:bookmarkStart w:id="191" w:name="project-roles-and-responsibilities"/>
    <w:p>
      <w:pPr>
        <w:pStyle w:val="Heading1"/>
      </w:pPr>
      <w:r>
        <w:rPr>
          <w:rStyle w:val="SectionNumber"/>
        </w:rPr>
        <w:t xml:space="preserve">6</w:t>
      </w:r>
      <w:r>
        <w:tab/>
      </w:r>
      <w:r>
        <w:t xml:space="preserve">Project Roles and Responsibilities</w:t>
      </w:r>
    </w:p>
    <w:bookmarkStart w:id="189" w:name="why-its-important-to-assign-roles"/>
    <w:p>
      <w:pPr>
        <w:pStyle w:val="Heading2"/>
      </w:pPr>
      <w:r>
        <w:rPr>
          <w:rStyle w:val="SectionNumber"/>
        </w:rPr>
        <w:t xml:space="preserve">6.1</w:t>
      </w:r>
      <w:r>
        <w:tab/>
      </w:r>
      <w:r>
        <w:t xml:space="preserve">Why it’s important to assign roles</w:t>
      </w:r>
    </w:p>
    <w:bookmarkEnd w:id="189"/>
    <w:bookmarkStart w:id="190" w:name="typical-roles-in-a-research-project"/>
    <w:p>
      <w:pPr>
        <w:pStyle w:val="Heading2"/>
      </w:pPr>
      <w:r>
        <w:rPr>
          <w:rStyle w:val="SectionNumber"/>
        </w:rPr>
        <w:t xml:space="preserve">6.2</w:t>
      </w:r>
      <w:r>
        <w:tab/>
      </w:r>
      <w:r>
        <w:t xml:space="preserve">Typical roles in a research project</w:t>
      </w:r>
    </w:p>
    <w:bookmarkEnd w:id="190"/>
    <w:bookmarkEnd w:id="191"/>
    <w:bookmarkStart w:id="198" w:name="documentation"/>
    <w:p>
      <w:pPr>
        <w:pStyle w:val="Heading1"/>
      </w:pPr>
      <w:r>
        <w:rPr>
          <w:rStyle w:val="SectionNumber"/>
        </w:rPr>
        <w:t xml:space="preserve">7</w:t>
      </w:r>
      <w:r>
        <w:tab/>
      </w:r>
      <w:r>
        <w:t xml:space="preserve">Documentation</w:t>
      </w:r>
    </w:p>
    <w:bookmarkStart w:id="192" w:name="what-is-documentation"/>
    <w:p>
      <w:pPr>
        <w:pStyle w:val="Heading2"/>
      </w:pPr>
      <w:r>
        <w:rPr>
          <w:rStyle w:val="SectionNumber"/>
        </w:rPr>
        <w:t xml:space="preserve">7.1</w:t>
      </w:r>
      <w:r>
        <w:tab/>
      </w:r>
      <w:r>
        <w:t xml:space="preserve">What is documentation?</w:t>
      </w:r>
    </w:p>
    <w:bookmarkEnd w:id="192"/>
    <w:bookmarkStart w:id="193" w:name="why-is-documentation-important"/>
    <w:p>
      <w:pPr>
        <w:pStyle w:val="Heading2"/>
      </w:pPr>
      <w:r>
        <w:rPr>
          <w:rStyle w:val="SectionNumber"/>
        </w:rPr>
        <w:t xml:space="preserve">7.2</w:t>
      </w:r>
      <w:r>
        <w:tab/>
      </w:r>
      <w:r>
        <w:t xml:space="preserve">Why is documentation important?</w:t>
      </w:r>
    </w:p>
    <w:bookmarkEnd w:id="193"/>
    <w:bookmarkStart w:id="194" w:name="team-level"/>
    <w:p>
      <w:pPr>
        <w:pStyle w:val="Heading2"/>
      </w:pPr>
      <w:r>
        <w:rPr>
          <w:rStyle w:val="SectionNumber"/>
        </w:rPr>
        <w:t xml:space="preserve">7.3</w:t>
      </w:r>
      <w:r>
        <w:tab/>
      </w:r>
      <w:r>
        <w:t xml:space="preserve">Team Level</w:t>
      </w:r>
    </w:p>
    <w:bookmarkEnd w:id="194"/>
    <w:bookmarkStart w:id="195" w:name="project-level"/>
    <w:p>
      <w:pPr>
        <w:pStyle w:val="Heading2"/>
      </w:pPr>
      <w:r>
        <w:rPr>
          <w:rStyle w:val="SectionNumber"/>
        </w:rPr>
        <w:t xml:space="preserve">7.4</w:t>
      </w:r>
      <w:r>
        <w:tab/>
      </w:r>
      <w:r>
        <w:t xml:space="preserve">Project Level</w:t>
      </w:r>
    </w:p>
    <w:bookmarkEnd w:id="195"/>
    <w:bookmarkStart w:id="196" w:name="dataset-level"/>
    <w:p>
      <w:pPr>
        <w:pStyle w:val="Heading2"/>
      </w:pPr>
      <w:r>
        <w:rPr>
          <w:rStyle w:val="SectionNumber"/>
        </w:rPr>
        <w:t xml:space="preserve">7.5</w:t>
      </w:r>
      <w:r>
        <w:tab/>
      </w:r>
      <w:r>
        <w:t xml:space="preserve">Dataset Level</w:t>
      </w:r>
    </w:p>
    <w:bookmarkEnd w:id="196"/>
    <w:bookmarkStart w:id="197" w:name="variable-level"/>
    <w:p>
      <w:pPr>
        <w:pStyle w:val="Heading2"/>
      </w:pPr>
      <w:r>
        <w:rPr>
          <w:rStyle w:val="SectionNumber"/>
        </w:rPr>
        <w:t xml:space="preserve">7.6</w:t>
      </w:r>
      <w:r>
        <w:tab/>
      </w:r>
      <w:r>
        <w:t xml:space="preserve">Variable Level</w:t>
      </w:r>
    </w:p>
    <w:bookmarkEnd w:id="197"/>
    <w:bookmarkEnd w:id="198"/>
    <w:bookmarkStart w:id="203" w:name="data-tracking"/>
    <w:p>
      <w:pPr>
        <w:pStyle w:val="Heading1"/>
      </w:pPr>
      <w:r>
        <w:rPr>
          <w:rStyle w:val="SectionNumber"/>
        </w:rPr>
        <w:t xml:space="preserve">8</w:t>
      </w:r>
      <w:r>
        <w:tab/>
      </w:r>
      <w:r>
        <w:t xml:space="preserve">Data Tracking</w:t>
      </w:r>
    </w:p>
    <w:bookmarkStart w:id="199" w:name="why-track-data"/>
    <w:p>
      <w:pPr>
        <w:pStyle w:val="Heading2"/>
      </w:pPr>
      <w:r>
        <w:rPr>
          <w:rStyle w:val="SectionNumber"/>
        </w:rPr>
        <w:t xml:space="preserve">8.1</w:t>
      </w:r>
      <w:r>
        <w:tab/>
      </w:r>
      <w:r>
        <w:t xml:space="preserve">Why track data?</w:t>
      </w:r>
    </w:p>
    <w:bookmarkEnd w:id="199"/>
    <w:bookmarkStart w:id="200" w:name="build-a-system"/>
    <w:p>
      <w:pPr>
        <w:pStyle w:val="Heading2"/>
      </w:pPr>
      <w:r>
        <w:rPr>
          <w:rStyle w:val="SectionNumber"/>
        </w:rPr>
        <w:t xml:space="preserve">8.2</w:t>
      </w:r>
      <w:r>
        <w:tab/>
      </w:r>
      <w:r>
        <w:t xml:space="preserve">Build a system</w:t>
      </w:r>
    </w:p>
    <w:bookmarkEnd w:id="200"/>
    <w:bookmarkStart w:id="201" w:name="ids"/>
    <w:p>
      <w:pPr>
        <w:pStyle w:val="Heading2"/>
      </w:pPr>
      <w:r>
        <w:rPr>
          <w:rStyle w:val="SectionNumber"/>
        </w:rPr>
        <w:t xml:space="preserve">8.3</w:t>
      </w:r>
      <w:r>
        <w:tab/>
      </w:r>
      <w:r>
        <w:t xml:space="preserve">Creating participant IDs</w:t>
      </w:r>
    </w:p>
    <w:bookmarkEnd w:id="201"/>
    <w:bookmarkStart w:id="202" w:name="X462b02df8aa0aa2236c799bbb92a45c26a99304"/>
    <w:p>
      <w:pPr>
        <w:pStyle w:val="Heading2"/>
      </w:pPr>
      <w:r>
        <w:rPr>
          <w:rStyle w:val="SectionNumber"/>
        </w:rPr>
        <w:t xml:space="preserve">8.4</w:t>
      </w:r>
      <w:r>
        <w:tab/>
      </w:r>
      <w:r>
        <w:t xml:space="preserve">When to build it, who builds it, tools to build it in</w:t>
      </w:r>
    </w:p>
    <w:bookmarkEnd w:id="202"/>
    <w:bookmarkEnd w:id="203"/>
    <w:bookmarkStart w:id="209" w:name="data-collection"/>
    <w:p>
      <w:pPr>
        <w:pStyle w:val="Heading1"/>
      </w:pPr>
      <w:r>
        <w:rPr>
          <w:rStyle w:val="SectionNumber"/>
        </w:rPr>
        <w:t xml:space="preserve">9</w:t>
      </w:r>
      <w:r>
        <w:tab/>
      </w:r>
      <w:r>
        <w:t xml:space="preserve">Data Collection</w:t>
      </w:r>
    </w:p>
    <w:bookmarkStart w:id="204" w:name="Xbc8506d1182cf1426d832e6ab42eeb02f5268c0"/>
    <w:p>
      <w:pPr>
        <w:pStyle w:val="Heading2"/>
      </w:pPr>
      <w:r>
        <w:rPr>
          <w:rStyle w:val="SectionNumber"/>
        </w:rPr>
        <w:t xml:space="preserve">9.1</w:t>
      </w:r>
      <w:r>
        <w:tab/>
      </w:r>
      <w:r>
        <w:t xml:space="preserve">Why consider data management in data collection?</w:t>
      </w:r>
    </w:p>
    <w:bookmarkEnd w:id="204"/>
    <w:bookmarkStart w:id="205" w:name="consents"/>
    <w:p>
      <w:pPr>
        <w:pStyle w:val="Heading2"/>
      </w:pPr>
      <w:r>
        <w:rPr>
          <w:rStyle w:val="SectionNumber"/>
        </w:rPr>
        <w:t xml:space="preserve">9.2</w:t>
      </w:r>
      <w:r>
        <w:tab/>
      </w:r>
      <w:r>
        <w:t xml:space="preserve">Consents</w:t>
      </w:r>
    </w:p>
    <w:bookmarkEnd w:id="205"/>
    <w:bookmarkStart w:id="206" w:name="electronic-data-collection-instruments"/>
    <w:p>
      <w:pPr>
        <w:pStyle w:val="Heading2"/>
      </w:pPr>
      <w:r>
        <w:rPr>
          <w:rStyle w:val="SectionNumber"/>
        </w:rPr>
        <w:t xml:space="preserve">9.3</w:t>
      </w:r>
      <w:r>
        <w:tab/>
      </w:r>
      <w:r>
        <w:t xml:space="preserve">Electronic data collection instruments</w:t>
      </w:r>
    </w:p>
    <w:bookmarkEnd w:id="206"/>
    <w:bookmarkStart w:id="207" w:name="paper-data-collection-instruments"/>
    <w:p>
      <w:pPr>
        <w:pStyle w:val="Heading2"/>
      </w:pPr>
      <w:r>
        <w:rPr>
          <w:rStyle w:val="SectionNumber"/>
        </w:rPr>
        <w:t xml:space="preserve">9.4</w:t>
      </w:r>
      <w:r>
        <w:tab/>
      </w:r>
      <w:r>
        <w:t xml:space="preserve">Paper data collection instruments</w:t>
      </w:r>
    </w:p>
    <w:bookmarkEnd w:id="207"/>
    <w:bookmarkStart w:id="208" w:name="interviewscocus-groups"/>
    <w:p>
      <w:pPr>
        <w:pStyle w:val="Heading2"/>
      </w:pPr>
      <w:r>
        <w:rPr>
          <w:rStyle w:val="SectionNumber"/>
        </w:rPr>
        <w:t xml:space="preserve">9.5</w:t>
      </w:r>
      <w:r>
        <w:tab/>
      </w:r>
      <w:r>
        <w:t xml:space="preserve">Interviews/cocus groups</w:t>
      </w:r>
    </w:p>
    <w:bookmarkEnd w:id="208"/>
    <w:bookmarkEnd w:id="209"/>
    <w:bookmarkStart w:id="213" w:name="data-capture"/>
    <w:p>
      <w:pPr>
        <w:pStyle w:val="Heading1"/>
      </w:pPr>
      <w:r>
        <w:rPr>
          <w:rStyle w:val="SectionNumber"/>
        </w:rPr>
        <w:t xml:space="preserve">10</w:t>
      </w:r>
      <w:r>
        <w:tab/>
      </w:r>
      <w:r>
        <w:t xml:space="preserve">Data Capture</w:t>
      </w:r>
    </w:p>
    <w:bookmarkStart w:id="210" w:name="electronic-data-capture"/>
    <w:p>
      <w:pPr>
        <w:pStyle w:val="Heading2"/>
      </w:pPr>
      <w:r>
        <w:rPr>
          <w:rStyle w:val="SectionNumber"/>
        </w:rPr>
        <w:t xml:space="preserve">10.1</w:t>
      </w:r>
      <w:r>
        <w:tab/>
      </w:r>
      <w:r>
        <w:t xml:space="preserve">Electronic data capture</w:t>
      </w:r>
    </w:p>
    <w:bookmarkEnd w:id="210"/>
    <w:bookmarkStart w:id="211" w:name="paper-data-capture"/>
    <w:p>
      <w:pPr>
        <w:pStyle w:val="Heading2"/>
      </w:pPr>
      <w:r>
        <w:rPr>
          <w:rStyle w:val="SectionNumber"/>
        </w:rPr>
        <w:t xml:space="preserve">10.2</w:t>
      </w:r>
      <w:r>
        <w:tab/>
      </w:r>
      <w:r>
        <w:t xml:space="preserve">Paper data capture</w:t>
      </w:r>
    </w:p>
    <w:bookmarkEnd w:id="211"/>
    <w:bookmarkStart w:id="212" w:name="extant-data"/>
    <w:p>
      <w:pPr>
        <w:pStyle w:val="Heading2"/>
      </w:pPr>
      <w:r>
        <w:rPr>
          <w:rStyle w:val="SectionNumber"/>
        </w:rPr>
        <w:t xml:space="preserve">10.3</w:t>
      </w:r>
      <w:r>
        <w:tab/>
      </w:r>
      <w:r>
        <w:t xml:space="preserve">Extant data</w:t>
      </w:r>
    </w:p>
    <w:bookmarkEnd w:id="212"/>
    <w:bookmarkEnd w:id="213"/>
    <w:bookmarkStart w:id="222" w:name="data-storage-and-security"/>
    <w:p>
      <w:pPr>
        <w:pStyle w:val="Heading1"/>
      </w:pPr>
      <w:r>
        <w:rPr>
          <w:rStyle w:val="SectionNumber"/>
        </w:rPr>
        <w:t xml:space="preserve">11</w:t>
      </w:r>
      <w:r>
        <w:tab/>
      </w:r>
      <w:r>
        <w:t xml:space="preserve">Data Storage and Security</w:t>
      </w:r>
    </w:p>
    <w:bookmarkStart w:id="214" w:name="types-of-data-youll-be-storing"/>
    <w:p>
      <w:pPr>
        <w:pStyle w:val="Heading2"/>
      </w:pPr>
      <w:r>
        <w:rPr>
          <w:rStyle w:val="SectionNumber"/>
        </w:rPr>
        <w:t xml:space="preserve">11.1</w:t>
      </w:r>
      <w:r>
        <w:tab/>
      </w:r>
      <w:r>
        <w:t xml:space="preserve">Types of data you’ll be storing</w:t>
      </w:r>
    </w:p>
    <w:bookmarkEnd w:id="214"/>
    <w:bookmarkStart w:id="215" w:name="general-security-rules"/>
    <w:p>
      <w:pPr>
        <w:pStyle w:val="Heading2"/>
      </w:pPr>
      <w:r>
        <w:rPr>
          <w:rStyle w:val="SectionNumber"/>
        </w:rPr>
        <w:t xml:space="preserve">11.2</w:t>
      </w:r>
      <w:r>
        <w:tab/>
      </w:r>
      <w:r>
        <w:t xml:space="preserve">General security rules</w:t>
      </w:r>
    </w:p>
    <w:bookmarkEnd w:id="215"/>
    <w:bookmarkStart w:id="216" w:name="participant-tracking-database"/>
    <w:p>
      <w:pPr>
        <w:pStyle w:val="Heading2"/>
      </w:pPr>
      <w:r>
        <w:rPr>
          <w:rStyle w:val="SectionNumber"/>
        </w:rPr>
        <w:t xml:space="preserve">11.3</w:t>
      </w:r>
      <w:r>
        <w:tab/>
      </w:r>
      <w:r>
        <w:t xml:space="preserve">Participant tracking database</w:t>
      </w:r>
    </w:p>
    <w:bookmarkEnd w:id="216"/>
    <w:bookmarkStart w:id="217" w:name="electronic-data"/>
    <w:p>
      <w:pPr>
        <w:pStyle w:val="Heading2"/>
      </w:pPr>
      <w:r>
        <w:rPr>
          <w:rStyle w:val="SectionNumber"/>
        </w:rPr>
        <w:t xml:space="preserve">11.4</w:t>
      </w:r>
      <w:r>
        <w:tab/>
      </w:r>
      <w:r>
        <w:t xml:space="preserve">Electronic data</w:t>
      </w:r>
    </w:p>
    <w:bookmarkEnd w:id="217"/>
    <w:bookmarkStart w:id="218" w:name="detachable-media"/>
    <w:p>
      <w:pPr>
        <w:pStyle w:val="Heading2"/>
      </w:pPr>
      <w:r>
        <w:rPr>
          <w:rStyle w:val="SectionNumber"/>
        </w:rPr>
        <w:t xml:space="preserve">11.5</w:t>
      </w:r>
      <w:r>
        <w:tab/>
      </w:r>
      <w:r>
        <w:t xml:space="preserve">Detachable media</w:t>
      </w:r>
    </w:p>
    <w:bookmarkEnd w:id="218"/>
    <w:bookmarkStart w:id="219" w:name="audiovisual-data"/>
    <w:p>
      <w:pPr>
        <w:pStyle w:val="Heading2"/>
      </w:pPr>
      <w:r>
        <w:rPr>
          <w:rStyle w:val="SectionNumber"/>
        </w:rPr>
        <w:t xml:space="preserve">11.6</w:t>
      </w:r>
      <w:r>
        <w:tab/>
      </w:r>
      <w:r>
        <w:t xml:space="preserve">Audio/visual data</w:t>
      </w:r>
    </w:p>
    <w:bookmarkEnd w:id="219"/>
    <w:bookmarkStart w:id="220" w:name="paper-data"/>
    <w:p>
      <w:pPr>
        <w:pStyle w:val="Heading2"/>
      </w:pPr>
      <w:r>
        <w:rPr>
          <w:rStyle w:val="SectionNumber"/>
        </w:rPr>
        <w:t xml:space="preserve">11.7</w:t>
      </w:r>
      <w:r>
        <w:tab/>
      </w:r>
      <w:r>
        <w:t xml:space="preserve">Paper data</w:t>
      </w:r>
    </w:p>
    <w:bookmarkEnd w:id="220"/>
    <w:bookmarkStart w:id="221" w:name="sharing-data"/>
    <w:p>
      <w:pPr>
        <w:pStyle w:val="Heading2"/>
      </w:pPr>
      <w:r>
        <w:rPr>
          <w:rStyle w:val="SectionNumber"/>
        </w:rPr>
        <w:t xml:space="preserve">11.8</w:t>
      </w:r>
      <w:r>
        <w:tab/>
      </w:r>
      <w:r>
        <w:t xml:space="preserve">Sharing data</w:t>
      </w:r>
    </w:p>
    <w:bookmarkEnd w:id="221"/>
    <w:bookmarkEnd w:id="222"/>
    <w:bookmarkStart w:id="228" w:name="data-cleaning"/>
    <w:p>
      <w:pPr>
        <w:pStyle w:val="Heading1"/>
      </w:pPr>
      <w:r>
        <w:rPr>
          <w:rStyle w:val="SectionNumber"/>
        </w:rPr>
        <w:t xml:space="preserve">12</w:t>
      </w:r>
      <w:r>
        <w:tab/>
      </w:r>
      <w:r>
        <w:t xml:space="preserve">Data Cleaning</w:t>
      </w:r>
    </w:p>
    <w:bookmarkStart w:id="223" w:name="foundational-knowledge"/>
    <w:p>
      <w:pPr>
        <w:pStyle w:val="Heading2"/>
      </w:pPr>
      <w:r>
        <w:rPr>
          <w:rStyle w:val="SectionNumber"/>
        </w:rPr>
        <w:t xml:space="preserve">12.1</w:t>
      </w:r>
      <w:r>
        <w:tab/>
      </w:r>
      <w:r>
        <w:t xml:space="preserve">Foundational knowledge</w:t>
      </w:r>
    </w:p>
    <w:bookmarkEnd w:id="223"/>
    <w:bookmarkStart w:id="224" w:name="data-structure-1"/>
    <w:p>
      <w:pPr>
        <w:pStyle w:val="Heading2"/>
      </w:pPr>
      <w:r>
        <w:rPr>
          <w:rStyle w:val="SectionNumber"/>
        </w:rPr>
        <w:t xml:space="preserve">12.2</w:t>
      </w:r>
      <w:r>
        <w:tab/>
      </w:r>
      <w:r>
        <w:t xml:space="preserve">Data structure</w:t>
      </w:r>
    </w:p>
    <w:bookmarkEnd w:id="224"/>
    <w:bookmarkStart w:id="225" w:name="data-cleaning-plan"/>
    <w:p>
      <w:pPr>
        <w:pStyle w:val="Heading2"/>
      </w:pPr>
      <w:r>
        <w:rPr>
          <w:rStyle w:val="SectionNumber"/>
        </w:rPr>
        <w:t xml:space="preserve">12.3</w:t>
      </w:r>
      <w:r>
        <w:tab/>
      </w:r>
      <w:r>
        <w:t xml:space="preserve">Data cleaning plan</w:t>
      </w:r>
    </w:p>
    <w:bookmarkEnd w:id="225"/>
    <w:bookmarkStart w:id="226" w:name="data-validation"/>
    <w:p>
      <w:pPr>
        <w:pStyle w:val="Heading2"/>
      </w:pPr>
      <w:r>
        <w:rPr>
          <w:rStyle w:val="SectionNumber"/>
        </w:rPr>
        <w:t xml:space="preserve">12.4</w:t>
      </w:r>
      <w:r>
        <w:tab/>
      </w:r>
      <w:r>
        <w:t xml:space="preserve">Data validation</w:t>
      </w:r>
    </w:p>
    <w:bookmarkEnd w:id="226"/>
    <w:bookmarkStart w:id="227" w:name="why-use-code"/>
    <w:p>
      <w:pPr>
        <w:pStyle w:val="Heading2"/>
      </w:pPr>
      <w:r>
        <w:rPr>
          <w:rStyle w:val="SectionNumber"/>
        </w:rPr>
        <w:t xml:space="preserve">12.5</w:t>
      </w:r>
      <w:r>
        <w:tab/>
      </w:r>
      <w:r>
        <w:t xml:space="preserve">Why use code?</w:t>
      </w:r>
    </w:p>
    <w:bookmarkEnd w:id="227"/>
    <w:bookmarkEnd w:id="228"/>
    <w:bookmarkStart w:id="233" w:name="data-sharing"/>
    <w:p>
      <w:pPr>
        <w:pStyle w:val="Heading1"/>
      </w:pPr>
      <w:r>
        <w:rPr>
          <w:rStyle w:val="SectionNumber"/>
        </w:rPr>
        <w:t xml:space="preserve">13</w:t>
      </w:r>
      <w:r>
        <w:tab/>
      </w:r>
      <w:r>
        <w:t xml:space="preserve">Data Sharing</w:t>
      </w:r>
    </w:p>
    <w:bookmarkStart w:id="229" w:name="why-share-your-data"/>
    <w:p>
      <w:pPr>
        <w:pStyle w:val="Heading2"/>
      </w:pPr>
      <w:r>
        <w:rPr>
          <w:rStyle w:val="SectionNumber"/>
        </w:rPr>
        <w:t xml:space="preserve">13.1</w:t>
      </w:r>
      <w:r>
        <w:tab/>
      </w:r>
      <w:r>
        <w:t xml:space="preserve">Why share your data?</w:t>
      </w:r>
    </w:p>
    <w:bookmarkEnd w:id="229"/>
    <w:bookmarkStart w:id="230" w:name="considering-fair-principles"/>
    <w:p>
      <w:pPr>
        <w:pStyle w:val="Heading2"/>
      </w:pPr>
      <w:r>
        <w:rPr>
          <w:rStyle w:val="SectionNumber"/>
        </w:rPr>
        <w:t xml:space="preserve">13.2</w:t>
      </w:r>
      <w:r>
        <w:tab/>
      </w:r>
      <w:r>
        <w:t xml:space="preserve">Considering FAIR principles</w:t>
      </w:r>
    </w:p>
    <w:bookmarkEnd w:id="230"/>
    <w:bookmarkStart w:id="231" w:name="best-practices"/>
    <w:p>
      <w:pPr>
        <w:pStyle w:val="Heading2"/>
      </w:pPr>
      <w:r>
        <w:rPr>
          <w:rStyle w:val="SectionNumber"/>
        </w:rPr>
        <w:t xml:space="preserve">13.3</w:t>
      </w:r>
      <w:r>
        <w:tab/>
      </w:r>
      <w:r>
        <w:t xml:space="preserve">Best practices</w:t>
      </w:r>
    </w:p>
    <w:bookmarkEnd w:id="231"/>
    <w:bookmarkStart w:id="232" w:name="retractions-and-revisions"/>
    <w:p>
      <w:pPr>
        <w:pStyle w:val="Heading2"/>
      </w:pPr>
      <w:r>
        <w:rPr>
          <w:rStyle w:val="SectionNumber"/>
        </w:rPr>
        <w:t xml:space="preserve">13.4</w:t>
      </w:r>
      <w:r>
        <w:tab/>
      </w:r>
      <w:r>
        <w:t xml:space="preserve">Retractions and revisions</w:t>
      </w:r>
    </w:p>
    <w:bookmarkEnd w:id="232"/>
    <w:bookmarkEnd w:id="233"/>
    <w:bookmarkStart w:id="236" w:name="wrapping-it-up"/>
    <w:p>
      <w:pPr>
        <w:pStyle w:val="Heading1"/>
      </w:pPr>
      <w:r>
        <w:rPr>
          <w:rStyle w:val="SectionNumber"/>
        </w:rPr>
        <w:t xml:space="preserve">14</w:t>
      </w:r>
      <w:r>
        <w:tab/>
      </w:r>
      <w:r>
        <w:t xml:space="preserve">Wrapping It Up</w:t>
      </w:r>
    </w:p>
    <w:bookmarkStart w:id="234" w:name="connecting-practices-to-outcomes"/>
    <w:p>
      <w:pPr>
        <w:pStyle w:val="Heading2"/>
      </w:pPr>
      <w:r>
        <w:rPr>
          <w:rStyle w:val="SectionNumber"/>
        </w:rPr>
        <w:t xml:space="preserve">14.1</w:t>
      </w:r>
      <w:r>
        <w:tab/>
      </w:r>
      <w:r>
        <w:t xml:space="preserve">Connecting practices to outcomes</w:t>
      </w:r>
    </w:p>
    <w:bookmarkEnd w:id="234"/>
    <w:bookmarkStart w:id="235" w:name="putting-in-the-work"/>
    <w:p>
      <w:pPr>
        <w:pStyle w:val="Heading2"/>
      </w:pPr>
      <w:r>
        <w:rPr>
          <w:rStyle w:val="SectionNumber"/>
        </w:rPr>
        <w:t xml:space="preserve">14.2</w:t>
      </w:r>
      <w:r>
        <w:tab/>
      </w:r>
      <w:r>
        <w:t xml:space="preserve">Putting in the work</w:t>
      </w:r>
    </w:p>
    <w:bookmarkEnd w:id="235"/>
    <w:bookmarkEnd w:id="236"/>
    <w:bookmarkStart w:id="240" w:name="call-to-action"/>
    <w:p>
      <w:pPr>
        <w:pStyle w:val="Heading1"/>
      </w:pPr>
      <w:r>
        <w:rPr>
          <w:rStyle w:val="SectionNumber"/>
        </w:rPr>
        <w:t xml:space="preserve">15</w:t>
      </w:r>
      <w:r>
        <w:tab/>
      </w:r>
      <w:r>
        <w:t xml:space="preserve">Call to Action</w:t>
      </w:r>
    </w:p>
    <w:bookmarkStart w:id="237" w:name="last-thoughts"/>
    <w:p>
      <w:pPr>
        <w:pStyle w:val="Heading2"/>
      </w:pPr>
      <w:r>
        <w:rPr>
          <w:rStyle w:val="SectionNumber"/>
        </w:rPr>
        <w:t xml:space="preserve">15.1</w:t>
      </w:r>
      <w:r>
        <w:tab/>
      </w:r>
      <w:r>
        <w:t xml:space="preserve">Last thoughts</w:t>
      </w:r>
    </w:p>
    <w:bookmarkEnd w:id="237"/>
    <w:bookmarkStart w:id="238" w:name="training-for-future-researchers"/>
    <w:p>
      <w:pPr>
        <w:pStyle w:val="Heading2"/>
      </w:pPr>
      <w:r>
        <w:rPr>
          <w:rStyle w:val="SectionNumber"/>
        </w:rPr>
        <w:t xml:space="preserve">15.2</w:t>
      </w:r>
      <w:r>
        <w:tab/>
      </w:r>
      <w:r>
        <w:t xml:space="preserve">Training for future researchers</w:t>
      </w:r>
    </w:p>
    <w:bookmarkEnd w:id="238"/>
    <w:bookmarkStart w:id="239" w:name="X77f9e2dc88081311896fe5c0fa48604f4a8018c"/>
    <w:p>
      <w:pPr>
        <w:pStyle w:val="Heading2"/>
      </w:pPr>
      <w:r>
        <w:rPr>
          <w:rStyle w:val="SectionNumber"/>
        </w:rPr>
        <w:t xml:space="preserve">15.3</w:t>
      </w:r>
      <w:r>
        <w:tab/>
      </w:r>
      <w:r>
        <w:t xml:space="preserve">Investing in data management and data managers</w:t>
      </w:r>
    </w:p>
    <w:bookmarkEnd w:id="239"/>
    <w:bookmarkEnd w:id="240"/>
    <w:bookmarkStart w:id="280" w:name="appendices"/>
    <w:p>
      <w:pPr>
        <w:pStyle w:val="Heading1"/>
      </w:pPr>
      <w:r>
        <w:rPr>
          <w:rStyle w:val="SectionNumber"/>
        </w:rPr>
        <w:t xml:space="preserve">16</w:t>
      </w:r>
      <w:r>
        <w:tab/>
      </w:r>
      <w:r>
        <w:t xml:space="preserve">Appendices</w:t>
      </w:r>
    </w:p>
    <w:bookmarkStart w:id="279" w:name="refs"/>
    <w:bookmarkStart w:id="241" w:name="X7bb0249fcea6ab00ad15ea75266e71728988b30"/>
    <w:p>
      <w:pPr>
        <w:pStyle w:val="Bibliography"/>
      </w:pPr>
      <w:r>
        <w:t xml:space="preserve">Academic Health Science Libraries, Association of,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bookmarkEnd w:id="241"/>
    <w:bookmarkStart w:id="242"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bookmarkEnd w:id="242"/>
    <w:bookmarkStart w:id="243" w:name="ref-baker_1500_2016"/>
    <w:p>
      <w:pPr>
        <w:pStyle w:val="Bibliography"/>
      </w:pPr>
      <w:r>
        <w:t xml:space="preserve">Baker, Monya.</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bookmarkEnd w:id="243"/>
    <w:bookmarkStart w:id="244"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bookmarkEnd w:id="244"/>
    <w:bookmarkStart w:id="245"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bookmarkEnd w:id="245"/>
    <w:bookmarkStart w:id="246"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bookmarkEnd w:id="246"/>
    <w:bookmarkStart w:id="247"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247"/>
    <w:bookmarkStart w:id="248" w:name="ref-broman_data_2018"/>
    <w:p>
      <w:pPr>
        <w:pStyle w:val="Bibliography"/>
      </w:pPr>
      <w:r>
        <w:t xml:space="preserve">Broman, Karl W.,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w:t>
      </w:r>
    </w:p>
    <w:bookmarkEnd w:id="248"/>
    <w:bookmarkStart w:id="249"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bookmarkEnd w:id="249"/>
    <w:bookmarkStart w:id="250"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250"/>
    <w:bookmarkStart w:id="251"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bookmarkEnd w:id="251"/>
    <w:bookmarkStart w:id="252"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w:t>
      </w:r>
    </w:p>
    <w:bookmarkEnd w:id="252"/>
    <w:bookmarkStart w:id="253" w:name="ref-noauthor_dcmi_nodate"/>
    <w:p>
      <w:pPr>
        <w:pStyle w:val="Bibliography"/>
      </w:pP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bookmarkEnd w:id="253"/>
    <w:bookmarkStart w:id="254" w:name="ref-van_dijk_open_2021"/>
    <w:p>
      <w:pPr>
        <w:pStyle w:val="Bibliography"/>
      </w:pPr>
      <w:r>
        <w:t xml:space="preserve">Dijk, Wilhelmina van,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bookmarkEnd w:id="254"/>
    <w:bookmarkStart w:id="255"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255"/>
    <w:bookmarkStart w:id="256"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bookmarkEnd w:id="256"/>
    <w:bookmarkStart w:id="257" w:name="ref-noauthor_fair_nodate"/>
    <w:p>
      <w:pPr>
        <w:pStyle w:val="Bibliography"/>
      </w:pP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bookmarkEnd w:id="257"/>
    <w:bookmarkStart w:id="258" w:name="ref-foster_open_2017"/>
    <w:p>
      <w:pPr>
        <w:pStyle w:val="Bibliography"/>
      </w:pPr>
      <w:r>
        <w:t xml:space="preserve">Foster, Erin D.,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bookmarkEnd w:id="258"/>
    <w:bookmarkStart w:id="259"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259"/>
    <w:bookmarkStart w:id="260" w:name="ref-grace-martin_wide_2013"/>
    <w:p>
      <w:pPr>
        <w:pStyle w:val="Bibliography"/>
      </w:pPr>
      <w:r>
        <w:t xml:space="preserve">Grace-Martin, Karen.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bookmarkEnd w:id="260"/>
    <w:bookmarkStart w:id="261"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77">
        <w:r>
          <w:rPr>
            <w:rStyle w:val="Hyperlink"/>
          </w:rPr>
          <w:t xml:space="preserve">https://obamawhitehouse.archives.gov/the-press-office/2013/05/09/executive-order-making-open-and-machine-readable-new-default-government-</w:t>
        </w:r>
      </w:hyperlink>
      <w:r>
        <w:t xml:space="preserve">.</w:t>
      </w:r>
    </w:p>
    <w:bookmarkEnd w:id="261"/>
    <w:bookmarkStart w:id="262"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262"/>
    <w:bookmarkStart w:id="263" w:name="X1cb4205e5746fef71f91a14f0ad11dbdf9b12b7"/>
    <w:p>
      <w:pPr>
        <w:pStyle w:val="Bibliography"/>
      </w:pPr>
      <w:r>
        <w:t xml:space="preserve">Humanities, National Endowment for the.</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bookmarkEnd w:id="263"/>
    <w:bookmarkStart w:id="264" w:name="ref-ies_frequently_nodate"/>
    <w:p>
      <w:pPr>
        <w:pStyle w:val="Bibliography"/>
      </w:pP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bookmarkEnd w:id="264"/>
    <w:bookmarkStart w:id="265"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265"/>
    <w:bookmarkStart w:id="266"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bookmarkEnd w:id="266"/>
    <w:bookmarkStart w:id="267"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w:t>
      </w:r>
    </w:p>
    <w:bookmarkEnd w:id="267"/>
    <w:bookmarkStart w:id="268"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bookmarkEnd w:id="268"/>
    <w:bookmarkStart w:id="269"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bookmarkEnd w:id="269"/>
    <w:bookmarkStart w:id="270"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bookmarkEnd w:id="270"/>
    <w:bookmarkStart w:id="271" w:name="ref-science_center_nodate"/>
    <w:p>
      <w:pPr>
        <w:pStyle w:val="Bibliography"/>
      </w:pPr>
      <w:r>
        <w:t xml:space="preserve">Science, Center for Open.</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bookmarkEnd w:id="271"/>
    <w:bookmarkStart w:id="272" w:name="ref-noauthor_standards_nodate"/>
    <w:p>
      <w:pPr>
        <w:pStyle w:val="Bibliography"/>
      </w:pP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bookmarkEnd w:id="272"/>
    <w:bookmarkStart w:id="273" w:name="ref-noauthor_tei_nodate"/>
    <w:p>
      <w:pPr>
        <w:pStyle w:val="Bibliography"/>
      </w:pP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bookmarkEnd w:id="273"/>
    <w:bookmarkStart w:id="274"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bookmarkEnd w:id="274"/>
    <w:bookmarkStart w:id="275" w:name="ref-usgs_what_nodate"/>
    <w:p>
      <w:pPr>
        <w:pStyle w:val="Bibliography"/>
      </w:pP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bookmarkEnd w:id="275"/>
    <w:bookmarkStart w:id="276" w:name="ref-noauthor_welcome_nodate"/>
    <w:p>
      <w:pPr>
        <w:pStyle w:val="Bibliography"/>
      </w:pP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bookmarkEnd w:id="276"/>
    <w:bookmarkStart w:id="277" w:name="ref-wickham_tidy_2014"/>
    <w:p>
      <w:pPr>
        <w:pStyle w:val="Bibliography"/>
      </w:pPr>
      <w:r>
        <w:t xml:space="preserve">Wickham, Hadley.</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bookmarkEnd w:id="277"/>
    <w:bookmarkStart w:id="278" w:name="ref-wilkinson_fair_2016"/>
    <w:p>
      <w:pPr>
        <w:pStyle w:val="Bibliography"/>
      </w:pPr>
      <w:r>
        <w:t xml:space="preserve">Wilkinson, Mark D., Michel Dumontier, IJsbrand Jan Aalbersberg, Gabrielle Appleton, Myles Axton, Arie Baak, Niklas Blomberg,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bookmarkEnd w:id="278"/>
    <w:bookmarkEnd w:id="279"/>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4">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5">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footnote>
  <w:footnote w:id="27">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footnote>
  <w:footnote w:id="29">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footnote>
  <w:footnote w:id="32">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footnote>
  <w:footnote w:id="34">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Monya Baker,</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footnote>
  <w:footnote w:id="56">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footnote>
  <w:footnote w:id="58">
    <w:p>
      <w:pPr>
        <w:pStyle w:val="FootnoteText"/>
      </w:pPr>
      <w:r>
        <w:rPr>
          <w:rStyle w:val="FootnoteReference"/>
        </w:rPr>
        <w:footnoteRef/>
      </w:r>
      <w:r>
        <w:t xml:space="preserve"> </w:t>
      </w:r>
      <w:r>
        <w:t xml:space="preserve">National Endowment for the Humanities,</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footnote>
  <w:footnote w:id="6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2">
    <w:p>
      <w:pPr>
        <w:pStyle w:val="FootnoteText"/>
      </w:pPr>
      <w:r>
        <w:rPr>
          <w:rStyle w:val="FootnoteReference"/>
        </w:rPr>
        <w:footnoteRef/>
      </w:r>
      <w:r>
        <w:t xml:space="preserve"> </w:t>
      </w: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footnote>
  <w:footnote w:id="64">
    <w:p>
      <w:pPr>
        <w:pStyle w:val="FootnoteText"/>
      </w:pPr>
      <w:r>
        <w:rPr>
          <w:rStyle w:val="FootnoteReference"/>
        </w:rPr>
        <w:footnoteRef/>
      </w:r>
      <w:r>
        <w:t xml:space="preserve"> </w:t>
      </w: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footnote>
  <w:footnote w:id="66">
    <w:p>
      <w:pPr>
        <w:pStyle w:val="FootnoteText"/>
      </w:pPr>
      <w:r>
        <w:rPr>
          <w:rStyle w:val="FootnoteReference"/>
        </w:rPr>
        <w:footnoteRef/>
      </w:r>
      <w:r>
        <w:t xml:space="preserve"> </w:t>
      </w: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footnote>
  <w:footnote w:id="68">
    <w:p>
      <w:pPr>
        <w:pStyle w:val="FootnoteText"/>
      </w:pPr>
      <w:r>
        <w:rPr>
          <w:rStyle w:val="FootnoteReference"/>
        </w:rPr>
        <w:footnoteRef/>
      </w:r>
      <w:r>
        <w:t xml:space="preserve"> </w:t>
      </w: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footnote>
  <w:footnote w:id="7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footnote>
  <w:footnote w:id="7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footnote>
  <w:footnote w:id="7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6">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77">
        <w:r>
          <w:rPr>
            <w:rStyle w:val="Hyperlink"/>
          </w:rPr>
          <w:t xml:space="preserve">https://obamawhitehouse.archives.gov/the-press-office/2013/05/09/executive-order-making-open-and-machine-readable-new-default-government-</w:t>
        </w:r>
      </w:hyperlink>
      <w:r>
        <w:t xml:space="preserve">.</w:t>
      </w:r>
    </w:p>
  </w:footnote>
  <w:footnote w:id="78">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79">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80">
    <w:p>
      <w:pPr>
        <w:pStyle w:val="FootnoteText"/>
      </w:pPr>
      <w:r>
        <w:rPr>
          <w:rStyle w:val="FootnoteReference"/>
        </w:rPr>
        <w:footnoteRef/>
      </w:r>
      <w:r>
        <w:t xml:space="preserve"> </w:t>
      </w:r>
      <w:r>
        <w:t xml:space="preserve">Association of Academic Health Science Libraries,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footnote>
  <w:footnote w:id="82">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footnote>
  <w:footnote w:id="84">
    <w:p>
      <w:pPr>
        <w:pStyle w:val="FootnoteText"/>
      </w:pPr>
      <w:r>
        <w:rPr>
          <w:rStyle w:val="FootnoteReference"/>
        </w:rPr>
        <w:footnoteRef/>
      </w:r>
      <w:r>
        <w:t xml:space="preserve"> </w:t>
      </w:r>
      <w:r>
        <w:t xml:space="preserve">Alston and Rick.</w:t>
      </w:r>
    </w:p>
  </w:footnote>
  <w:footnote w:id="8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footnote>
  <w:footnote w:id="89">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footnote>
  <w:footnote w:id="91">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9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 w:id="93">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footnote>
  <w:footnote w:id="98">
    <w:p>
      <w:pPr>
        <w:pStyle w:val="FootnoteText"/>
      </w:pPr>
      <w:r>
        <w:rPr>
          <w:rStyle w:val="FootnoteReference"/>
        </w:rPr>
        <w:footnoteRef/>
      </w:r>
      <w:r>
        <w:t xml:space="preserve"> </w:t>
      </w: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footnote>
  <w:footnote w:id="100">
    <w:p>
      <w:pPr>
        <w:pStyle w:val="FootnoteText"/>
      </w:pPr>
      <w:r>
        <w:rPr>
          <w:rStyle w:val="FootnoteReference"/>
        </w:rPr>
        <w:footnoteRef/>
      </w:r>
      <w:r>
        <w:t xml:space="preserve"> </w:t>
      </w:r>
      <w:r>
        <w:t xml:space="preserve">Mark D. Wilkinson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footnote>
  <w:footnote w:id="103">
    <w:p>
      <w:pPr>
        <w:pStyle w:val="FootnoteText"/>
      </w:pPr>
      <w:r>
        <w:rPr>
          <w:rStyle w:val="FootnoteReference"/>
        </w:rPr>
        <w:footnoteRef/>
      </w:r>
      <w:r>
        <w:t xml:space="preserve"> </w:t>
      </w: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footnote>
  <w:footnote w:id="106">
    <w:p>
      <w:pPr>
        <w:pStyle w:val="FootnoteText"/>
      </w:pPr>
      <w:r>
        <w:rPr>
          <w:rStyle w:val="FootnoteReference"/>
        </w:rPr>
        <w:footnoteRef/>
      </w:r>
      <w:r>
        <w:t xml:space="preserve"> </w:t>
      </w:r>
      <w:r>
        <w:t xml:space="preserve">Wilhelmina van Dijk,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footnote>
  <w:footnote w:id="108">
    <w:p>
      <w:pPr>
        <w:pStyle w:val="FootnoteText"/>
      </w:pPr>
      <w:r>
        <w:rPr>
          <w:rStyle w:val="FootnoteReference"/>
        </w:rPr>
        <w:footnoteRef/>
      </w:r>
      <w:r>
        <w:t xml:space="preserve"> </w:t>
      </w:r>
      <w:r>
        <w:t xml:space="preserve">Center for Open Science,</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footnote>
  <w:footnote w:id="110">
    <w:p>
      <w:pPr>
        <w:pStyle w:val="FootnoteText"/>
      </w:pPr>
      <w:r>
        <w:rPr>
          <w:rStyle w:val="FootnoteReference"/>
        </w:rPr>
        <w:footnoteRef/>
      </w:r>
      <w:r>
        <w:t xml:space="preserve"> </w:t>
      </w:r>
      <w:r>
        <w:t xml:space="preserve">Erin D. Foster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footnote>
  <w:footnote w:id="120">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footnote>
  <w:footnote w:id="133">
    <w:p>
      <w:pPr>
        <w:pStyle w:val="FootnoteText"/>
      </w:pPr>
      <w:r>
        <w:rPr>
          <w:rStyle w:val="FootnoteReference"/>
        </w:rPr>
        <w:footnoteRef/>
      </w:r>
      <w:r>
        <w:t xml:space="preserve"> </w:t>
      </w:r>
      <w:r>
        <w:t xml:space="preserve">Karl W. Broman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 Hadley Wickham,</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footnote>
  <w:footnote w:id="155">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p>
  </w:footnote>
  <w:footnote w:id="172">
    <w:p>
      <w:pPr>
        <w:pStyle w:val="FootnoteText"/>
      </w:pPr>
      <w:r>
        <w:rPr>
          <w:rStyle w:val="FootnoteReference"/>
        </w:rPr>
        <w:footnoteRef/>
      </w:r>
      <w:r>
        <w:t xml:space="preserve"> </w:t>
      </w:r>
      <w:r>
        <w:t xml:space="preserve">Karen Grace-Martin,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 Target="media/rId148.png" /><Relationship Type="http://schemas.openxmlformats.org/officeDocument/2006/relationships/image" Id="rId128" Target="media/rId128.png" /><Relationship Type="http://schemas.openxmlformats.org/officeDocument/2006/relationships/image" Id="rId115" Target="media/rId115.png" /><Relationship Type="http://schemas.openxmlformats.org/officeDocument/2006/relationships/image" Id="rId151" Target="media/rId151.png" /><Relationship Type="http://schemas.openxmlformats.org/officeDocument/2006/relationships/image" Id="rId145" Target="media/rId145.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9" Target="media/rId169.png" /><Relationship Type="http://schemas.openxmlformats.org/officeDocument/2006/relationships/image" Id="rId122" Target="media/rId122.png" /><Relationship Type="http://schemas.openxmlformats.org/officeDocument/2006/relationships/image" Id="rId136" Target="media/rId136.png" /><Relationship Type="http://schemas.openxmlformats.org/officeDocument/2006/relationships/image" Id="rId142" Target="media/rId142.png" /><Relationship Type="http://schemas.openxmlformats.org/officeDocument/2006/relationships/image" Id="rId139" Target="media/rId139.png" /><Relationship Type="http://schemas.openxmlformats.org/officeDocument/2006/relationships/image" Id="rId166" Target="media/rId166.png" /><Relationship Type="http://schemas.openxmlformats.org/officeDocument/2006/relationships/hyperlink" Id="rId20" Target="https://cghlewis.github.io/mpsi-data-training/" TargetMode="External" /><Relationship Type="http://schemas.openxmlformats.org/officeDocument/2006/relationships/hyperlink" Id="rId63" Target="https://ddialliance.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69" Target="https://ies.ed.gov/funding/datasharing_faq.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86" Target="https://libguides.princeton.edu/c.php?g=102546&amp;p=665862" TargetMode="External" /><Relationship Type="http://schemas.openxmlformats.org/officeDocument/2006/relationships/hyperlink" Id="rId77"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63" Target="https://ddialliance.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69" Target="https://ies.ed.gov/funding/datasharing_faq.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86" Target="https://libguides.princeton.edu/c.php?g=102546&amp;p=665862" TargetMode="External" /><Relationship Type="http://schemas.openxmlformats.org/officeDocument/2006/relationships/hyperlink" Id="rId77"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2022-10-21T21:55:57Z</dcterms:created>
  <dcterms:modified xsi:type="dcterms:W3CDTF">2022-10-21T21:55:57Z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2022-10-21</vt:lpwstr>
  </property>
  <property fmtid="{D5CDD505-2E9C-101B-9397-08002B2CF9AE}" pid="8" name="documentclass">
    <vt:lpwstr>book</vt:lpwstr>
  </property>
  <property fmtid="{D5CDD505-2E9C-101B-9397-08002B2CF9AE}" pid="9" name="site">
    <vt:lpwstr>bookdown::bookdown_site</vt:lpwstr>
  </property>
</Properties>
</file>