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png" ContentType="image/png"/>
  <Override PartName="/word/media/rId134.png" ContentType="image/png"/>
  <Override PartName="/word/media/rId424.png" ContentType="image/png"/>
  <Override PartName="/word/media/rId121.png" ContentType="image/png"/>
  <Override PartName="/word/media/rId457.png" ContentType="image/png"/>
  <Override PartName="/word/media/rId461.png" ContentType="image/png"/>
  <Override PartName="/word/media/rId390.png" ContentType="image/png"/>
  <Override PartName="/word/media/rId428.png" ContentType="image/png"/>
  <Override PartName="/word/media/rId261.png" ContentType="image/png"/>
  <Override PartName="/word/media/rId439.png" ContentType="image/png"/>
  <Override PartName="/word/media/rId444.png" ContentType="image/png"/>
  <Override PartName="/word/media/rId360.png" ContentType="image/png"/>
  <Override PartName="/word/media/rId157.png" ContentType="image/png"/>
  <Override PartName="/word/media/rId151.png" ContentType="image/png"/>
  <Override PartName="/word/media/rId395.png" ContentType="image/png"/>
  <Override PartName="/word/media/rId281.png" ContentType="image/png"/>
  <Override PartName="/word/media/rId184.png" ContentType="image/png"/>
  <Override PartName="/word/media/rId326.png" ContentType="image/png"/>
  <Override PartName="/word/media/rId305.png" ContentType="image/png"/>
  <Override PartName="/word/media/rId231.png" ContentType="image/png"/>
  <Override PartName="/word/media/rId296.png" ContentType="image/png"/>
  <Override PartName="/word/media/rId329.png" ContentType="image/png"/>
  <Override PartName="/word/media/rId162.png" ContentType="image/png"/>
  <Override PartName="/word/media/rId165.png" ContentType="image/png"/>
  <Override PartName="/word/media/rId168.png" ContentType="image/png"/>
  <Override PartName="/word/media/rId175.png" ContentType="image/png"/>
  <Override PartName="/word/media/rId487.png" ContentType="image/png"/>
  <Override PartName="/word/media/rId482.png" ContentType="image/png"/>
  <Override PartName="/word/media/rId515.png" ContentType="image/png"/>
  <Override PartName="/word/media/rId496.png" ContentType="image/png"/>
  <Override PartName="/word/media/rId510.png" ContentType="image/png"/>
  <Override PartName="/word/media/rId352.png" ContentType="image/png"/>
  <Override PartName="/word/media/rId373.png" ContentType="image/png"/>
  <Override PartName="/word/media/rId418.png" ContentType="image/png"/>
  <Override PartName="/word/media/rId128.png" ContentType="image/png"/>
  <Override PartName="/word/media/rId142.png" ContentType="image/png"/>
  <Override PartName="/word/media/rId317.png" ContentType="image/png"/>
  <Override PartName="/word/media/rId320.png" ContentType="image/png"/>
  <Override PartName="/word/media/rId404.png" ContentType="image/png"/>
  <Override PartName="/word/media/rId401.png" ContentType="image/png"/>
  <Override PartName="/word/media/rId519.png" ContentType="image/png"/>
  <Override PartName="/word/media/rId276.png" ContentType="image/png"/>
  <Override PartName="/word/media/rId385.png" ContentType="image/png"/>
  <Override PartName="/word/media/rId148.png" ContentType="image/png"/>
  <Override PartName="/word/media/rId145.png" ContentType="image/png"/>
  <Override PartName="/word/media/rId172.png" ContentType="image/png"/>
  <Override PartName="/word/media/rId344.png" ContentType="image/png"/>
  <Override PartName="/word/media/rId270.png" ContentType="image/png"/>
  <Override PartName="/word/media/rId2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2023-02-10</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5"/>
    <w:bookmarkEnd w:id="56"/>
    <w:bookmarkStart w:id="125"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4"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and through grassroots efforts, other fields such as psychology are developing their own standards for things such as data structure and documentation based on the FAIR principles.</w:t>
      </w:r>
      <w:r>
        <w:rPr>
          <w:rStyle w:val="FootnoteReference"/>
        </w:rPr>
        <w:footnoteReference w:id="67"/>
      </w:r>
      <w:r>
        <w:t xml:space="preserve"> Yet, it is common knowledge that there are currently no agreed-upon norms for how to structure and share data in the field of education.</w:t>
      </w:r>
      <w:r>
        <w:rPr>
          <w:rStyle w:val="FootnoteReference"/>
        </w:rPr>
        <w:footnoteReference w:id="68"/>
      </w:r>
      <w:r>
        <w:t xml:space="preserve"> The rules for what data should be produced and how it should be documented is often left up to each individual team, as long as external compliance requirements are met.</w:t>
      </w:r>
      <w:r>
        <w:rPr>
          <w:rStyle w:val="FootnoteReference"/>
        </w:rPr>
        <w:footnoteReference w:id="70"/>
      </w:r>
      <w:r>
        <w:t xml:space="preserve"> However, with a growing interest in open science practices and expanding requirements for federally funded research to make data publicly available,</w:t>
      </w:r>
      <w:r>
        <w:rPr>
          <w:rStyle w:val="FootnoteReference"/>
        </w:rPr>
        <w:footnoteReference w:id="72"/>
      </w:r>
      <w:r>
        <w:t xml:space="preserve"> data repositories will most likely begin to play a stronger role in promoting standards around data formats and documentation.</w:t>
      </w:r>
      <w:r>
        <w:rPr>
          <w:rStyle w:val="FootnoteReference"/>
        </w:rPr>
        <w:footnoteReference w:id="73"/>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4"/>
    <w:bookmarkStart w:id="101"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89"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5"/>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6"/>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7"/>
      </w:r>
      <w:r>
        <w:t xml:space="preserve"> </w:t>
      </w:r>
      <w:r>
        <w:t xml:space="preserve">as an example).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79"/>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1"/>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3"/>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5"/>
      </w:r>
      <w:r>
        <w:t xml:space="preserve"> Well-managed data with sufficient documentation can also lead to more collaboration and greater impact as collaborators are able to access and understand your data with ease.</w:t>
      </w:r>
      <w:r>
        <w:rPr>
          <w:rStyle w:val="FootnoteReference"/>
        </w:rPr>
        <w:footnoteReference w:id="86"/>
      </w:r>
    </w:p>
    <w:bookmarkEnd w:id="89"/>
    <w:bookmarkStart w:id="100"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0"/>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2"/>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4"/>
      </w:r>
      <w:r>
        <w:t xml:space="preserve"> Furthermore, good data management enables continuity when handing off projects to collaborators or when picking up your own projects after a long hiatus.</w:t>
      </w:r>
      <w:r>
        <w:rPr>
          <w:rStyle w:val="FootnoteReference"/>
        </w:rPr>
        <w:footnoteReference w:id="95"/>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6"/>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98"/>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0"/>
    <w:bookmarkEnd w:id="101"/>
    <w:bookmarkStart w:id="119"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6"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2"/>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4"/>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06"/>
    <w:bookmarkStart w:id="109"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7"/>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09"/>
    <w:bookmarkStart w:id="118"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0"/>
      </w:r>
      <w:r>
        <w:t xml:space="preserve"> Organizations such as the Center for Open Science,</w:t>
      </w:r>
      <w:r>
        <w:rPr>
          <w:rStyle w:val="FootnoteReference"/>
        </w:rPr>
        <w:footnoteReference w:id="112"/>
      </w:r>
      <w:r>
        <w:t xml:space="preserve"> have become a well-known proponents of open science, offering the open science framework (OSF)</w:t>
      </w:r>
      <w:r>
        <w:rPr>
          <w:rStyle w:val="FootnoteReference"/>
        </w:rPr>
        <w:footnoteReference w:id="114"/>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6"/>
      </w:r>
    </w:p>
    <w:bookmarkEnd w:id="118"/>
    <w:bookmarkEnd w:id="119"/>
    <w:bookmarkStart w:id="120"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0"/>
    <w:bookmarkStart w:id="124"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the image below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2" name="Picture"/>
            <a:graphic>
              <a:graphicData uri="http://schemas.openxmlformats.org/drawingml/2006/picture">
                <pic:pic>
                  <pic:nvPicPr>
                    <pic:cNvPr descr="img/cl_lifecycle2.PNG" id="123" name="Picture"/>
                    <pic:cNvPicPr>
                      <a:picLocks noChangeArrowheads="1" noChangeAspect="1"/>
                    </pic:cNvPicPr>
                  </pic:nvPicPr>
                  <pic:blipFill>
                    <a:blip r:embed="rId121"/>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4"/>
    <w:bookmarkEnd w:id="125"/>
    <w:bookmarkStart w:id="183"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38"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6"/>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29" name="Picture"/>
            <a:graphic>
              <a:graphicData uri="http://schemas.openxmlformats.org/drawingml/2006/picture">
                <pic:pic>
                  <pic:nvPicPr>
                    <pic:cNvPr descr="img/rectangle.PNG" id="130" name="Picture"/>
                    <pic:cNvPicPr>
                      <a:picLocks noChangeArrowheads="1" noChangeAspect="1"/>
                    </pic:cNvPicPr>
                  </pic:nvPicPr>
                  <pic:blipFill>
                    <a:blip r:embed="rId128"/>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2"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section.</w:t>
      </w:r>
    </w:p>
    <w:bookmarkStart w:id="131" w:name="column-attributes"/>
    <w:p>
      <w:pPr>
        <w:pStyle w:val="Heading4"/>
      </w:pPr>
      <w:r>
        <w:rPr>
          <w:rStyle w:val="SectionNumber"/>
        </w:rPr>
        <w:t xml:space="preserve">3.1.1.1</w:t>
      </w:r>
      <w:r>
        <w:tab/>
      </w:r>
      <w:r>
        <w:t xml:space="preserve">Column attributes</w:t>
      </w:r>
    </w:p>
    <w:p>
      <w:pPr>
        <w:pStyle w:val="FirstParagraph"/>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1"/>
    <w:bookmarkEnd w:id="132"/>
    <w:bookmarkStart w:id="133"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3"/>
    <w:bookmarkStart w:id="137"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2.1: Representation of a cell value" title="" id="135" name="Picture"/>
            <a:graphic>
              <a:graphicData uri="http://schemas.openxmlformats.org/drawingml/2006/picture">
                <pic:pic>
                  <pic:nvPicPr>
                    <pic:cNvPr descr="img/cell_value.PNG" id="136" name="Picture"/>
                    <pic:cNvPicPr>
                      <a:picLocks noChangeArrowheads="1" noChangeAspect="1"/>
                    </pic:cNvPicPr>
                  </pic:nvPicPr>
                  <pic:blipFill>
                    <a:blip r:embed="rId134"/>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2.1: Representation of a cell value</w:t>
      </w:r>
    </w:p>
    <w:bookmarkEnd w:id="137"/>
    <w:bookmarkEnd w:id="138"/>
    <w:bookmarkStart w:id="160"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39"/>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2: A comparison of non-rectangular and rectangular data" title="" id="143" name="Picture"/>
            <a:graphic>
              <a:graphicData uri="http://schemas.openxmlformats.org/drawingml/2006/picture">
                <pic:pic>
                  <pic:nvPicPr>
                    <pic:cNvPr descr="img/rectangle2.PNG" id="144" name="Picture"/>
                    <pic:cNvPicPr>
                      <a:picLocks noChangeArrowheads="1" noChangeAspect="1"/>
                    </pic:cNvPicPr>
                  </pic:nvPicPr>
                  <pic:blipFill>
                    <a:blip r:embed="rId142"/>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3.2: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3: A comparison of variables adhering and not adhering to a data type" title="" id="146" name="Picture"/>
            <a:graphic>
              <a:graphicData uri="http://schemas.openxmlformats.org/drawingml/2006/picture">
                <pic:pic>
                  <pic:nvPicPr>
                    <pic:cNvPr descr="img/var_type.PNG" id="147" name="Picture"/>
                    <pic:cNvPicPr>
                      <a:picLocks noChangeArrowheads="1" noChangeAspect="1"/>
                    </pic:cNvPicPr>
                  </pic:nvPicPr>
                  <pic:blipFill>
                    <a:blip r:embed="rId145"/>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3.3: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4: A comparison of two things being measured in one variable and two things being measured across two variables" title="" id="149" name="Picture"/>
            <a:graphic>
              <a:graphicData uri="http://schemas.openxmlformats.org/drawingml/2006/picture">
                <pic:pic>
                  <pic:nvPicPr>
                    <pic:cNvPr descr="img/two_things.PNG" id="150" name="Picture"/>
                    <pic:cNvPicPr>
                      <a:picLocks noChangeArrowheads="1" noChangeAspect="1"/>
                    </pic:cNvPicPr>
                  </pic:nvPicPr>
                  <pic:blipFill>
                    <a:blip r:embed="rId148"/>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3.4: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5: A comparison of of variables with empty cells and variables with not empty cells" title="" id="152" name="Picture"/>
            <a:graphic>
              <a:graphicData uri="http://schemas.openxmlformats.org/drawingml/2006/picture">
                <pic:pic>
                  <pic:nvPicPr>
                    <pic:cNvPr descr="img/explicit.PNG" id="153" name="Picture"/>
                    <pic:cNvPicPr>
                      <a:picLocks noChangeArrowheads="1" noChangeAspect="1"/>
                    </pic:cNvPicPr>
                  </pic:nvPicPr>
                  <pic:blipFill>
                    <a:blip r:embed="rId151"/>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3.5: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6: A comparison of variables with implicit values and variables with explicit values" title="" id="155" name="Picture"/>
            <a:graphic>
              <a:graphicData uri="http://schemas.openxmlformats.org/drawingml/2006/picture">
                <pic:pic>
                  <pic:nvPicPr>
                    <pic:cNvPr descr="img/cell_color.PNG" id="156" name="Picture"/>
                    <pic:cNvPicPr>
                      <a:picLocks noChangeArrowheads="1" noChangeAspect="1"/>
                    </pic:cNvPicPr>
                  </pic:nvPicPr>
                  <pic:blipFill>
                    <a:blip r:embed="rId154"/>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3.6: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(discussed below</w:t>
      </w:r>
      <w:r>
        <w:t xml:space="preserve"> </w:t>
      </w:r>
      <w:r>
        <w:t xml:space="preserve">3.3.2</w:t>
      </w:r>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7: A comparison of data with duplicate cases and data with no duplicate cases" title="" id="158" name="Picture"/>
            <a:graphic>
              <a:graphicData uri="http://schemas.openxmlformats.org/drawingml/2006/picture">
                <pic:pic>
                  <pic:nvPicPr>
                    <pic:cNvPr descr="img/duplicate.PNG" id="159" name="Picture"/>
                    <pic:cNvPicPr>
                      <a:picLocks noChangeArrowheads="1" noChangeAspect="1"/>
                    </pic:cNvPicPr>
                  </pic:nvPicPr>
                  <pic:blipFill>
                    <a:blip r:embed="rId157"/>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3.7: A comparison of data with duplicate cases and data with no duplicate cases</w:t>
      </w:r>
    </w:p>
    <w:bookmarkEnd w:id="160"/>
    <w:bookmarkStart w:id="181"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1"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1"/>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The image below 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8: Linking data through primary keys" title="" id="163" name="Picture"/>
            <a:graphic>
              <a:graphicData uri="http://schemas.openxmlformats.org/drawingml/2006/picture">
                <pic:pic>
                  <pic:nvPicPr>
                    <pic:cNvPr descr="img/link0.PNG" id="164" name="Picture"/>
                    <pic:cNvPicPr>
                      <a:picLocks noChangeArrowheads="1" noChangeAspect="1"/>
                    </pic:cNvPicPr>
                  </pic:nvPicPr>
                  <pic:blipFill>
                    <a:blip r:embed="rId162"/>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3.8: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The image below 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9: Linking data through foreign keys" title="" id="166" name="Picture"/>
            <a:graphic>
              <a:graphicData uri="http://schemas.openxmlformats.org/drawingml/2006/picture">
                <pic:pic>
                  <pic:nvPicPr>
                    <pic:cNvPr descr="img/link1.PNG" id="167" name="Picture"/>
                    <pic:cNvPicPr>
                      <a:picLocks noChangeArrowheads="1" noChangeAspect="1"/>
                    </pic:cNvPicPr>
                  </pic:nvPicPr>
                  <pic:blipFill>
                    <a:blip r:embed="rId165"/>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3.9: Linking data through foreign keys</w:t>
      </w:r>
    </w:p>
    <w:p>
      <w:pPr>
        <w:pStyle w:val="BodyText"/>
      </w:pPr>
      <w:r>
        <w:t xml:space="preserve">And as you can imagine, as we add more forms, or begin to collect data across time, the database structure begins to become even more complex. Here 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0: Linking data through primary and foreign keys" title="" id="169" name="Picture"/>
            <a:graphic>
              <a:graphicData uri="http://schemas.openxmlformats.org/drawingml/2006/picture">
                <pic:pic>
                  <pic:nvPicPr>
                    <pic:cNvPr descr="img/link2.PNG" id="170" name="Picture"/>
                    <pic:cNvPicPr>
                      <a:picLocks noChangeArrowheads="1" noChangeAspect="1"/>
                    </pic:cNvPicPr>
                  </pic:nvPicPr>
                  <pic:blipFill>
                    <a:blip r:embed="rId168"/>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3.10: Linking data through primary and foreign keys</w:t>
      </w:r>
    </w:p>
    <w:bookmarkEnd w:id="171"/>
    <w:bookmarkStart w:id="180"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1: Data structured in wide format" title="" id="173" name="Picture"/>
            <a:graphic>
              <a:graphicData uri="http://schemas.openxmlformats.org/drawingml/2006/picture">
                <pic:pic>
                  <pic:nvPicPr>
                    <pic:cNvPr descr="img/wide.PNG" id="174" name="Picture"/>
                    <pic:cNvPicPr>
                      <a:picLocks noChangeArrowheads="1" noChangeAspect="1"/>
                    </pic:cNvPicPr>
                  </pic:nvPicPr>
                  <pic:blipFill>
                    <a:blip r:embed="rId172"/>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3.11: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2: Data structured in long format" title="" id="176" name="Picture"/>
            <a:graphic>
              <a:graphicData uri="http://schemas.openxmlformats.org/drawingml/2006/picture">
                <pic:pic>
                  <pic:nvPicPr>
                    <pic:cNvPr descr="img/long.PNG" id="177" name="Picture"/>
                    <pic:cNvPicPr>
                      <a:picLocks noChangeArrowheads="1" noChangeAspect="1"/>
                    </pic:cNvPicPr>
                  </pic:nvPicPr>
                  <pic:blipFill>
                    <a:blip r:embed="rId175"/>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3.12: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78"/>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0"/>
    <w:bookmarkEnd w:id="181"/>
    <w:bookmarkStart w:id="182"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2"/>
    <w:bookmarkEnd w:id="183"/>
    <w:bookmarkStart w:id="230"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3.1: Data management plan in the research project life cycle" title="" id="185" name="Picture"/>
            <a:graphic>
              <a:graphicData uri="http://schemas.openxmlformats.org/drawingml/2006/picture">
                <pic:pic>
                  <pic:nvPicPr>
                    <pic:cNvPr descr="img/lifecycle_dmp2.PNG" id="186" name="Picture"/>
                    <pic:cNvPicPr>
                      <a:picLocks noChangeArrowheads="1" noChangeAspect="1"/>
                    </pic:cNvPicPr>
                  </pic:nvPicPr>
                  <pic:blipFill>
                    <a:blip r:embed="rId184"/>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bookmarkStart w:id="195"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7"/>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89"/>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0"/>
      </w:r>
      <w:r>
        <w:t xml:space="preserve">.</w:t>
      </w:r>
    </w:p>
    <w:bookmarkStart w:id="194"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2"/>
      </w:r>
      <w:r>
        <w:t xml:space="preserve">.</w:t>
      </w:r>
    </w:p>
    <w:bookmarkEnd w:id="194"/>
    <w:bookmarkEnd w:id="195"/>
    <w:bookmarkStart w:id="207"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6"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6"/>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 metadata will you create? (Consider project level, dataset level and variable level metadata)</w:t>
      </w:r>
    </w:p>
    <w:p>
      <w:pPr>
        <w:numPr>
          <w:ilvl w:val="1"/>
          <w:numId w:val="1028"/>
        </w:numPr>
        <w:pStyle w:val="Compact"/>
      </w:pPr>
      <w:r>
        <w:t xml:space="preserve">What format will your documentation be in? (Ex: xml, csv, pdf)</w:t>
      </w:r>
    </w:p>
    <w:p>
      <w:pPr>
        <w:numPr>
          <w:ilvl w:val="1"/>
          <w:numId w:val="1028"/>
        </w:numPr>
        <w:pStyle w:val="Compact"/>
      </w:pPr>
      <w:r>
        <w:t xml:space="preserve">What other documentation do you plan to include when sharing data? (Ex: code, data collection instruments, protocols)</w:t>
      </w:r>
    </w:p>
    <w:p>
      <w:pPr>
        <w:numPr>
          <w:ilvl w:val="0"/>
          <w:numId w:val="1024"/>
        </w:numPr>
        <w:pStyle w:val="Compact"/>
      </w:pPr>
      <w:r>
        <w:t xml:space="preserve">Standards</w:t>
      </w:r>
    </w:p>
    <w:p>
      <w:pPr>
        <w:numPr>
          <w:ilvl w:val="1"/>
          <w:numId w:val="1029"/>
        </w:numPr>
        <w:pStyle w:val="Compact"/>
      </w:pPr>
      <w:r>
        <w:t xml:space="preserve">Are there any data or documentation standards being used? (Ex: DDI)</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199"/>
      </w:r>
    </w:p>
    <w:p>
      <w:pPr>
        <w:numPr>
          <w:ilvl w:val="0"/>
          <w:numId w:val="1036"/>
        </w:numPr>
        <w:pStyle w:val="Compact"/>
      </w:pPr>
      <w:r>
        <w:t xml:space="preserve">National Institutes of Health</w:t>
      </w:r>
      <w:r>
        <w:rPr>
          <w:rStyle w:val="FootnoteReference"/>
        </w:rPr>
        <w:footnoteReference w:id="201"/>
      </w:r>
    </w:p>
    <w:p>
      <w:pPr>
        <w:numPr>
          <w:ilvl w:val="0"/>
          <w:numId w:val="1036"/>
        </w:numPr>
        <w:pStyle w:val="Compact"/>
      </w:pPr>
      <w:r>
        <w:t xml:space="preserve">National Institute of Justice</w:t>
      </w:r>
      <w:r>
        <w:rPr>
          <w:rStyle w:val="FootnoteReference"/>
        </w:rPr>
        <w:footnoteReference w:id="202"/>
      </w:r>
    </w:p>
    <w:p>
      <w:pPr>
        <w:numPr>
          <w:ilvl w:val="0"/>
          <w:numId w:val="1036"/>
        </w:numPr>
        <w:pStyle w:val="Compact"/>
      </w:pPr>
      <w:r>
        <w:t xml:space="preserve">National Science Foundation</w:t>
      </w:r>
      <w:r>
        <w:rPr>
          <w:rStyle w:val="FootnoteReference"/>
        </w:rPr>
        <w:footnoteReference w:id="204"/>
      </w:r>
    </w:p>
    <w:bookmarkEnd w:id="206"/>
    <w:bookmarkEnd w:id="207"/>
    <w:bookmarkStart w:id="214"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08"/>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0"/>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2"/>
            </w:r>
          </w:p>
        </w:tc>
        <w:tc>
          <w:tcPr/>
          <w:p>
            <w:pPr>
              <w:pStyle w:val="Compact"/>
              <w:jc w:val="left"/>
            </w:pPr>
            <w:r>
              <w:t xml:space="preserve">Submitted DMP examples from University of Minnesota researchers</w:t>
            </w:r>
          </w:p>
        </w:tc>
      </w:tr>
    </w:tbl>
    <w:bookmarkEnd w:id="214"/>
    <w:bookmarkStart w:id="229"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15"/>
      </w:r>
      <w:r>
        <w:t xml:space="preserve"> Make sure to review your funder’s documentation for information about allowable costs</w:t>
      </w:r>
      <w:r>
        <w:rPr>
          <w:rStyle w:val="FootnoteReference"/>
        </w:rPr>
        <w:footnoteReference w:id="217"/>
      </w:r>
      <w:r>
        <w:t xml:space="preserve">. Examples of potential allowable costs include:</w:t>
      </w:r>
      <w:r>
        <w:rPr>
          <w:rStyle w:val="FootnoteReference"/>
        </w:rPr>
        <w:footnoteReference w:id="219"/>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21"/>
      </w:r>
      <w:r>
        <w:t xml:space="preserve">, the University of Twente</w:t>
      </w:r>
      <w:r>
        <w:rPr>
          <w:rStyle w:val="FootnoteReference"/>
        </w:rPr>
        <w:footnoteReference w:id="223"/>
      </w:r>
      <w:r>
        <w:t xml:space="preserve">, Utrecht University</w:t>
      </w:r>
      <w:r>
        <w:rPr>
          <w:rStyle w:val="FootnoteReference"/>
        </w:rPr>
        <w:footnoteReference w:id="225"/>
      </w:r>
      <w:r>
        <w:t xml:space="preserve">, and DataOne</w:t>
      </w:r>
      <w:r>
        <w:rPr>
          <w:rStyle w:val="FootnoteReference"/>
        </w:rPr>
        <w:footnoteReference w:id="227"/>
      </w:r>
      <w:r>
        <w:t xml:space="preserve"> </w:t>
      </w:r>
      <w:r>
        <w:t xml:space="preserve">have put together checklists to help you think through your various potential data management costs.</w:t>
      </w:r>
    </w:p>
    <w:bookmarkEnd w:id="229"/>
    <w:bookmarkEnd w:id="230"/>
    <w:bookmarkStart w:id="295"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3.1: Planning in the research project life cycle" title="" id="232" name="Picture"/>
            <a:graphic>
              <a:graphicData uri="http://schemas.openxmlformats.org/drawingml/2006/picture">
                <pic:pic>
                  <pic:nvPicPr>
                    <pic:cNvPr descr="img/lifecycle_plan2.PNG" id="233" name="Picture"/>
                    <pic:cNvPicPr>
                      <a:picLocks noChangeArrowheads="1" noChangeAspect="1"/>
                    </pic:cNvPicPr>
                  </pic:nvPicPr>
                  <pic:blipFill>
                    <a:blip r:embed="rId231"/>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39"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34"/>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36"/>
      </w:r>
      <w:r>
        <w:t xml:space="preserve">. While data management planning can not remove all chances of errors creeping into your data</w:t>
      </w:r>
      <w:r>
        <w:rPr>
          <w:rStyle w:val="FootnoteReference"/>
        </w:rPr>
        <w:footnoteReference w:id="237"/>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38"/>
      </w:r>
    </w:p>
    <w:bookmarkEnd w:id="239"/>
    <w:bookmarkStart w:id="240"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0"/>
    <w:bookmarkStart w:id="266"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41"/>
      </w:r>
    </w:p>
    <w:p>
      <w:pPr>
        <w:numPr>
          <w:ilvl w:val="0"/>
          <w:numId w:val="1039"/>
        </w:numPr>
        <w:pStyle w:val="Compact"/>
      </w:pPr>
      <w:r>
        <w:t xml:space="preserve">Task Management</w:t>
      </w:r>
      <w:r>
        <w:rPr>
          <w:rStyle w:val="FootnoteReference"/>
        </w:rPr>
        <w:footnoteReference w:id="243"/>
      </w:r>
    </w:p>
    <w:p>
      <w:pPr>
        <w:numPr>
          <w:ilvl w:val="0"/>
          <w:numId w:val="1039"/>
        </w:numPr>
        <w:pStyle w:val="Compact"/>
      </w:pPr>
      <w:r>
        <w:t xml:space="preserve">Documentation</w:t>
      </w:r>
      <w:r>
        <w:rPr>
          <w:rStyle w:val="FootnoteReference"/>
        </w:rPr>
        <w:footnoteReference w:id="245"/>
      </w:r>
    </w:p>
    <w:p>
      <w:pPr>
        <w:numPr>
          <w:ilvl w:val="0"/>
          <w:numId w:val="1039"/>
        </w:numPr>
        <w:pStyle w:val="Compact"/>
      </w:pPr>
      <w:r>
        <w:t xml:space="preserve">Data Collection</w:t>
      </w:r>
      <w:r>
        <w:rPr>
          <w:rStyle w:val="FootnoteReference"/>
        </w:rPr>
        <w:footnoteReference w:id="247"/>
      </w:r>
    </w:p>
    <w:p>
      <w:pPr>
        <w:numPr>
          <w:ilvl w:val="0"/>
          <w:numId w:val="1039"/>
        </w:numPr>
        <w:pStyle w:val="Compact"/>
      </w:pPr>
      <w:r>
        <w:t xml:space="preserve">Data Tracking</w:t>
      </w:r>
      <w:r>
        <w:rPr>
          <w:rStyle w:val="FootnoteReference"/>
        </w:rPr>
        <w:footnoteReference w:id="249"/>
      </w:r>
    </w:p>
    <w:p>
      <w:pPr>
        <w:numPr>
          <w:ilvl w:val="0"/>
          <w:numId w:val="1039"/>
        </w:numPr>
        <w:pStyle w:val="Compact"/>
      </w:pPr>
      <w:r>
        <w:t xml:space="preserve">Data Capture</w:t>
      </w:r>
      <w:r>
        <w:rPr>
          <w:rStyle w:val="FootnoteReference"/>
        </w:rPr>
        <w:footnoteReference w:id="251"/>
      </w:r>
    </w:p>
    <w:p>
      <w:pPr>
        <w:numPr>
          <w:ilvl w:val="0"/>
          <w:numId w:val="1039"/>
        </w:numPr>
        <w:pStyle w:val="Compact"/>
      </w:pPr>
      <w:r>
        <w:t xml:space="preserve">Data Storage and Security</w:t>
      </w:r>
      <w:r>
        <w:rPr>
          <w:rStyle w:val="FootnoteReference"/>
        </w:rPr>
        <w:footnoteReference w:id="253"/>
      </w:r>
    </w:p>
    <w:p>
      <w:pPr>
        <w:numPr>
          <w:ilvl w:val="0"/>
          <w:numId w:val="1039"/>
        </w:numPr>
        <w:pStyle w:val="Compact"/>
      </w:pPr>
      <w:r>
        <w:t xml:space="preserve">Data Cleaning</w:t>
      </w:r>
      <w:r>
        <w:rPr>
          <w:rStyle w:val="FootnoteReference"/>
        </w:rPr>
        <w:footnoteReference w:id="255"/>
      </w:r>
    </w:p>
    <w:p>
      <w:pPr>
        <w:numPr>
          <w:ilvl w:val="0"/>
          <w:numId w:val="1039"/>
        </w:numPr>
        <w:pStyle w:val="Compact"/>
      </w:pPr>
      <w:r>
        <w:t xml:space="preserve">Data Sharing</w:t>
      </w:r>
      <w:r>
        <w:rPr>
          <w:rStyle w:val="FootnoteReference"/>
        </w:rPr>
        <w:footnoteReference w:id="257"/>
      </w:r>
    </w:p>
    <w:bookmarkStart w:id="264"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59"/>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Below is a very simplified example of the decision making process, based on the Borghi and Van Gulick</w:t>
      </w:r>
      <w:r>
        <w:rPr>
          <w:rStyle w:val="FootnoteReference"/>
        </w:rPr>
        <w:footnoteReference w:id="260"/>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2.1: A simplified decision-making process" title="" id="262" name="Picture"/>
            <a:graphic>
              <a:graphicData uri="http://schemas.openxmlformats.org/drawingml/2006/picture">
                <pic:pic>
                  <pic:nvPicPr>
                    <pic:cNvPr descr="img/decision-diagram.PNG" id="263" name="Picture"/>
                    <pic:cNvPicPr>
                      <a:picLocks noChangeArrowheads="1" noChangeAspect="1"/>
                    </pic:cNvPicPr>
                  </pic:nvPicPr>
                  <pic:blipFill>
                    <a:blip r:embed="rId261"/>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2.1: A simplified decision-making process</w:t>
      </w:r>
    </w:p>
    <w:bookmarkEnd w:id="264"/>
    <w:bookmarkStart w:id="265"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65"/>
    <w:bookmarkEnd w:id="266"/>
    <w:bookmarkStart w:id="291"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67"/>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69"/>
      </w:r>
      <w:r>
        <w:t xml:space="preserve"> Your diagram can be displayed in any format that works for you and it can be as simple or as detailed as you want it to be. A template like this one below 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3.2: A simple workflow template" title="" id="271" name="Picture"/>
            <a:graphic>
              <a:graphicData uri="http://schemas.openxmlformats.org/drawingml/2006/picture">
                <pic:pic>
                  <pic:nvPicPr>
                    <pic:cNvPr descr="img/workflow1.PNG" id="272" name="Picture"/>
                    <pic:cNvPicPr>
                      <a:picLocks noChangeArrowheads="1" noChangeAspect="1"/>
                    </pic:cNvPicPr>
                  </pic:nvPicPr>
                  <pic:blipFill>
                    <a:blip r:embed="rId270"/>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3.2: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3.3: Example student survey workflow" title="" id="274" name="Picture"/>
            <a:graphic>
              <a:graphicData uri="http://schemas.openxmlformats.org/drawingml/2006/picture">
                <pic:pic>
                  <pic:nvPicPr>
                    <pic:cNvPr descr="img/workflow2.PNG" id="275" name="Picture"/>
                    <pic:cNvPicPr>
                      <a:picLocks noChangeArrowheads="1" noChangeAspect="1"/>
                    </pic:cNvPicPr>
                  </pic:nvPicPr>
                  <pic:blipFill>
                    <a:blip r:embed="rId273"/>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3.3: Example student survey workflow</w:t>
      </w:r>
    </w:p>
    <w:p>
      <w:pPr>
        <w:pStyle w:val="BodyText"/>
      </w:pPr>
      <w:r>
        <w:t xml:space="preserve">But the format truly does not matter. Here 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3.4: Example student survey workflow using a swimlane template" title="" id="277" name="Picture"/>
            <a:graphic>
              <a:graphicData uri="http://schemas.openxmlformats.org/drawingml/2006/picture">
                <pic:pic>
                  <pic:nvPicPr>
                    <pic:cNvPr descr="img/swimlane2.PNG" id="278" name="Picture"/>
                    <pic:cNvPicPr>
                      <a:picLocks noChangeArrowheads="1" noChangeAspect="1"/>
                    </pic:cNvPicPr>
                  </pic:nvPicPr>
                  <pic:blipFill>
                    <a:blip r:embed="rId276"/>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3.4: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Here is another example of the same survey workflow again, this time displayed using a Gantt chart</w:t>
      </w:r>
      <w:r>
        <w:rPr>
          <w:rStyle w:val="FootnoteReference"/>
        </w:rPr>
        <w:footnoteReference w:id="279"/>
      </w:r>
      <w:r>
        <w:t xml:space="preserve"> </w:t>
      </w:r>
      <w:r>
        <w:t xml:space="preserve">in order to better capture the expected timeline.</w:t>
      </w:r>
    </w:p>
    <w:p>
      <w:pPr>
        <w:pStyle w:val="BodyText"/>
      </w:pPr>
      <w:r>
        <w:drawing>
          <wp:inline>
            <wp:extent cx="5334000" cy="2557089"/>
            <wp:effectExtent b="0" l="0" r="0" t="0"/>
            <wp:docPr descr="" title="" id="282" name="Picture"/>
            <a:graphic>
              <a:graphicData uri="http://schemas.openxmlformats.org/drawingml/2006/picture">
                <pic:pic>
                  <pic:nvPicPr>
                    <pic:cNvPr descr="img/gantt.PNG" id="283" name="Picture"/>
                    <pic:cNvPicPr>
                      <a:picLocks noChangeArrowheads="1" noChangeAspect="1"/>
                    </pic:cNvPicPr>
                  </pic:nvPicPr>
                  <pic:blipFill>
                    <a:blip r:embed="rId281"/>
                    <a:stretch>
                      <a:fillRect/>
                    </a:stretch>
                  </pic:blipFill>
                  <pic:spPr bwMode="auto">
                    <a:xfrm>
                      <a:off x="0" y="0"/>
                      <a:ext cx="5334000" cy="2557089"/>
                    </a:xfrm>
                    <a:prstGeom prst="rect">
                      <a:avLst/>
                    </a:prstGeom>
                    <a:noFill/>
                    <a:ln w="9525">
                      <a:noFill/>
                      <a:headEnd/>
                      <a:tailEnd/>
                    </a:ln>
                  </pic:spPr>
                </pic:pic>
              </a:graphicData>
            </a:graphic>
          </wp:inline>
        </w:drawing>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w:t>
      </w:r>
      <w:r>
        <w:t xml:space="preserve"> </w:t>
      </w:r>
      <w:hyperlink w:anchor="sop">
        <w:r>
          <w:rPr>
            <w:rStyle w:val="Hyperlink"/>
          </w:rPr>
          <w:t xml:space="preserve">SOPs</w:t>
        </w:r>
      </w:hyperlink>
      <w:r>
        <w:t xml:space="preserve"> </w:t>
      </w:r>
      <w:r>
        <w:t xml:space="preserve">in our chapter on documentation.</w:t>
      </w:r>
    </w:p>
    <w:bookmarkStart w:id="287"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84"/>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86"/>
      </w:r>
      <w:r>
        <w:t xml:space="preserve">. And last, reviewing workflows as a team and allowing members to provide feedback may help create buy-in for data management processes, potentially leading to better adherence to practices.</w:t>
      </w:r>
    </w:p>
    <w:bookmarkEnd w:id="287"/>
    <w:bookmarkStart w:id="290"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88"/>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0"/>
    <w:bookmarkEnd w:id="291"/>
    <w:bookmarkStart w:id="294"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w:t>
      </w:r>
      <w:r>
        <w:t xml:space="preserve"> </w:t>
      </w:r>
      <w:hyperlink w:anchor="sop">
        <w:r>
          <w:rPr>
            <w:rStyle w:val="Hyperlink"/>
          </w:rPr>
          <w:t xml:space="preserve">SOPs</w:t>
        </w:r>
      </w:hyperlink>
      <w:r>
        <w:t xml:space="preserve"> </w:t>
      </w:r>
      <w:r>
        <w:t xml:space="preserve">allow us to document and share our processes, it can be tricky to manage the day to day implementation of those processes. The planning phase is a great time to choose a task management system</w:t>
      </w:r>
      <w:r>
        <w:rPr>
          <w:rStyle w:val="FootnoteReference"/>
        </w:rPr>
        <w:footnoteReference w:id="292"/>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w:t>
      </w:r>
      <w:r>
        <w:t xml:space="preserve"> </w:t>
      </w:r>
      <w:hyperlink w:anchor="supplement">
        <w:r>
          <w:rPr>
            <w:rStyle w:val="Hyperlink"/>
          </w:rPr>
          <w:t xml:space="preserve">timelines</w:t>
        </w:r>
      </w:hyperlink>
      <w:r>
        <w:t xml:space="preserve">,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294"/>
    <w:bookmarkEnd w:id="295"/>
    <w:bookmarkStart w:id="325"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3.1: Planning in the research project life cycle" title="" id="297" name="Picture"/>
            <a:graphic>
              <a:graphicData uri="http://schemas.openxmlformats.org/drawingml/2006/picture">
                <pic:pic>
                  <pic:nvPicPr>
                    <pic:cNvPr descr="img/lifecycle_rr2.PNG" id="298" name="Picture"/>
                    <pic:cNvPicPr>
                      <a:picLocks noChangeArrowheads="1" noChangeAspect="1"/>
                    </pic:cNvPicPr>
                  </pic:nvPicPr>
                  <pic:blipFill>
                    <a:blip r:embed="rId296"/>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299"/>
      </w:r>
      <w:r>
        <w:t xml:space="preserve"> </w:t>
      </w:r>
      <w:r>
        <w:t xml:space="preserve">for many reasons including for the security of data, the continuity of practices, and for the standardization of workflows.</w:t>
      </w:r>
    </w:p>
    <w:bookmarkStart w:id="309"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01"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01"/>
    <w:bookmarkStart w:id="302"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02"/>
    <w:bookmarkStart w:id="303"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03"/>
    <w:bookmarkStart w:id="304"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04"/>
    <w:bookmarkStart w:id="308"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2.1: Life cycle diagram updated to show hidden processes" title="" id="306" name="Picture"/>
            <a:graphic>
              <a:graphicData uri="http://schemas.openxmlformats.org/drawingml/2006/picture">
                <pic:pic>
                  <pic:nvPicPr>
                    <pic:cNvPr descr="img/lifecycle_intervention2.PNG" id="307" name="Picture"/>
                    <pic:cNvPicPr>
                      <a:picLocks noChangeArrowheads="1" noChangeAspect="1"/>
                    </pic:cNvPicPr>
                  </pic:nvPicPr>
                  <pic:blipFill>
                    <a:blip r:embed="rId305"/>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2.1: Life cycle diagram updated to show hidden processes</w:t>
      </w:r>
    </w:p>
    <w:bookmarkEnd w:id="308"/>
    <w:bookmarkEnd w:id="309"/>
    <w:bookmarkStart w:id="312"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0"/>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12"/>
    <w:bookmarkStart w:id="313"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skillsets in the following buckets:</w:t>
      </w:r>
    </w:p>
    <w:p>
      <w:pPr>
        <w:numPr>
          <w:ilvl w:val="0"/>
          <w:numId w:val="1054"/>
        </w:numPr>
        <w:pStyle w:val="Compact"/>
      </w:pPr>
      <w:r>
        <w:t xml:space="preserve">Interpersonal skills</w:t>
      </w:r>
    </w:p>
    <w:p>
      <w:pPr>
        <w:numPr>
          <w:ilvl w:val="1"/>
          <w:numId w:val="1055"/>
        </w:numPr>
        <w:pStyle w:val="Compact"/>
      </w:pPr>
      <w:r>
        <w:t xml:space="preserve">Detail oriented</w:t>
      </w:r>
      <w:r>
        <w:br/>
      </w:r>
    </w:p>
    <w:p>
      <w:pPr>
        <w:numPr>
          <w:ilvl w:val="1"/>
          <w:numId w:val="1055"/>
        </w:numPr>
        <w:pStyle w:val="Compact"/>
      </w:pPr>
      <w:r>
        <w:t xml:space="preserve">Organized</w:t>
      </w:r>
      <w:r>
        <w:br/>
      </w:r>
    </w:p>
    <w:p>
      <w:pPr>
        <w:numPr>
          <w:ilvl w:val="1"/>
          <w:numId w:val="1055"/>
        </w:numPr>
        <w:pStyle w:val="Compact"/>
      </w:pPr>
      <w:r>
        <w:t xml:space="preserve">Good communicator</w:t>
      </w:r>
    </w:p>
    <w:p>
      <w:pPr>
        <w:numPr>
          <w:ilvl w:val="0"/>
          <w:numId w:val="1054"/>
        </w:numPr>
        <w:pStyle w:val="Compact"/>
      </w:pPr>
      <w:r>
        <w:t xml:space="preserve">Domain skills</w:t>
      </w:r>
    </w:p>
    <w:p>
      <w:pPr>
        <w:numPr>
          <w:ilvl w:val="1"/>
          <w:numId w:val="1056"/>
        </w:numPr>
        <w:pStyle w:val="Compact"/>
      </w:pPr>
      <w:r>
        <w:t xml:space="preserve">Experience working with education data</w:t>
      </w:r>
      <w:r>
        <w:br/>
      </w:r>
    </w:p>
    <w:p>
      <w:pPr>
        <w:numPr>
          <w:ilvl w:val="1"/>
          <w:numId w:val="1056"/>
        </w:numPr>
        <w:pStyle w:val="Compact"/>
      </w:pPr>
      <w:r>
        <w:t xml:space="preserve">Understands data privacy (FERPA, HIPAA)</w:t>
      </w:r>
    </w:p>
    <w:p>
      <w:pPr>
        <w:numPr>
          <w:ilvl w:val="0"/>
          <w:numId w:val="1054"/>
        </w:numPr>
        <w:pStyle w:val="Compact"/>
      </w:pPr>
      <w:r>
        <w:t xml:space="preserve">Technical skills</w:t>
      </w:r>
    </w:p>
    <w:p>
      <w:pPr>
        <w:numPr>
          <w:ilvl w:val="1"/>
          <w:numId w:val="1057"/>
        </w:numPr>
        <w:pStyle w:val="Compact"/>
      </w:pPr>
      <w:r>
        <w:t xml:space="preserve">Understanding of database structure</w:t>
      </w:r>
      <w:r>
        <w:br/>
      </w:r>
    </w:p>
    <w:p>
      <w:pPr>
        <w:numPr>
          <w:ilvl w:val="1"/>
          <w:numId w:val="1057"/>
        </w:numPr>
        <w:pStyle w:val="Compact"/>
      </w:pPr>
      <w:r>
        <w:t xml:space="preserve">Experience building data pipelines</w:t>
      </w:r>
      <w:r>
        <w:br/>
      </w:r>
    </w:p>
    <w:p>
      <w:pPr>
        <w:numPr>
          <w:ilvl w:val="1"/>
          <w:numId w:val="1057"/>
        </w:numPr>
        <w:pStyle w:val="Compact"/>
      </w:pPr>
      <w:r>
        <w:t xml:space="preserve">Coding experience</w:t>
      </w:r>
      <w:r>
        <w:br/>
      </w:r>
    </w:p>
    <w:p>
      <w:pPr>
        <w:numPr>
          <w:ilvl w:val="1"/>
          <w:numId w:val="1057"/>
        </w:numPr>
        <w:pStyle w:val="Compact"/>
      </w:pPr>
      <w:r>
        <w:t xml:space="preserve">Specific software/tool experience</w:t>
      </w:r>
    </w:p>
    <w:p>
      <w:pPr>
        <w:pStyle w:val="FirstParagraph"/>
      </w:pPr>
      <w:r>
        <w:t xml:space="preserve">The specific skills needed for each role will depend on your project needs as well as the skillsets of the other members of the team.</w:t>
      </w:r>
    </w:p>
    <w:p>
      <w:pPr>
        <w:numPr>
          <w:ilvl w:val="0"/>
          <w:numId w:val="1058"/>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9"/>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60"/>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13"/>
    <w:bookmarkStart w:id="323"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14"/>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Below 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3.2: Roles and responsibilities document organized by role" title="" id="318" name="Picture"/>
            <a:graphic>
              <a:graphicData uri="http://schemas.openxmlformats.org/drawingml/2006/picture">
                <pic:pic>
                  <pic:nvPicPr>
                    <pic:cNvPr descr="img/roles_responsibility1.PNG" id="319" name="Picture"/>
                    <pic:cNvPicPr>
                      <a:picLocks noChangeArrowheads="1" noChangeAspect="1"/>
                    </pic:cNvPicPr>
                  </pic:nvPicPr>
                  <pic:blipFill>
                    <a:blip r:embed="rId317"/>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3.2: Roles and responsibilities document organized by role</w:t>
      </w:r>
    </w:p>
    <w:p>
      <w:pPr>
        <w:pStyle w:val="CaptionedFigure"/>
      </w:pPr>
      <w:r>
        <w:drawing>
          <wp:inline>
            <wp:extent cx="5334000" cy="3664516"/>
            <wp:effectExtent b="0" l="0" r="0" t="0"/>
            <wp:docPr descr="Figure 3.3: Roles and responsibilities document organized by phase" title="" id="321" name="Picture"/>
            <a:graphic>
              <a:graphicData uri="http://schemas.openxmlformats.org/drawingml/2006/picture">
                <pic:pic>
                  <pic:nvPicPr>
                    <pic:cNvPr descr="img/roles_responsibility2.PNG" id="322" name="Picture"/>
                    <pic:cNvPicPr>
                      <a:picLocks noChangeArrowheads="1" noChangeAspect="1"/>
                    </pic:cNvPicPr>
                  </pic:nvPicPr>
                  <pic:blipFill>
                    <a:blip r:embed="rId320"/>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3.3: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61"/>
        </w:numPr>
        <w:pStyle w:val="Compact"/>
      </w:pPr>
      <w:r>
        <w:t xml:space="preserve">Links to related standard operating procedures (ex: for building a participant tracking database you may link to the specific SOP that lays out steps for building the tool)</w:t>
      </w:r>
    </w:p>
    <w:p>
      <w:pPr>
        <w:numPr>
          <w:ilvl w:val="0"/>
          <w:numId w:val="1061"/>
        </w:numPr>
        <w:pStyle w:val="Compact"/>
      </w:pPr>
      <w:r>
        <w:t xml:space="preserve">Names of other staff members (if any) that assist with or also contribute to each responsibility</w:t>
      </w:r>
    </w:p>
    <w:p>
      <w:pPr>
        <w:numPr>
          <w:ilvl w:val="0"/>
          <w:numId w:val="1061"/>
        </w:numPr>
        <w:pStyle w:val="Compact"/>
      </w:pPr>
      <w:r>
        <w:t xml:space="preserve">Timing of each responsibility (ex: weekly, ongoing, the month of February)</w:t>
      </w:r>
    </w:p>
    <w:bookmarkEnd w:id="323"/>
    <w:bookmarkStart w:id="324"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24"/>
    <w:bookmarkEnd w:id="325"/>
    <w:bookmarkStart w:id="529" w:name="documentation"/>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3.1: Data documentation in the research project life cycle" title="" id="327" name="Picture"/>
            <a:graphic>
              <a:graphicData uri="http://schemas.openxmlformats.org/drawingml/2006/picture">
                <pic:pic>
                  <pic:nvPicPr>
                    <pic:cNvPr descr="img/lifecycle_doc.PNG" id="328" name="Picture"/>
                    <pic:cNvPicPr>
                      <a:picLocks noChangeArrowheads="1" noChangeAspect="1"/>
                    </pic:cNvPicPr>
                  </pic:nvPicPr>
                  <pic:blipFill>
                    <a:blip r:embed="rId326"/>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unequivocally as important as collecting your data. Documentation serves many purposes including:</w:t>
      </w:r>
    </w:p>
    <w:p>
      <w:pPr>
        <w:numPr>
          <w:ilvl w:val="0"/>
          <w:numId w:val="1062"/>
        </w:numPr>
        <w:pStyle w:val="Compact"/>
      </w:pPr>
      <w:r>
        <w:t xml:space="preserve">Standardizing procedures</w:t>
      </w:r>
    </w:p>
    <w:p>
      <w:pPr>
        <w:numPr>
          <w:ilvl w:val="0"/>
          <w:numId w:val="1062"/>
        </w:numPr>
        <w:pStyle w:val="Compact"/>
      </w:pPr>
      <w:r>
        <w:t xml:space="preserve">Securing data and protecting confidentiality</w:t>
      </w:r>
    </w:p>
    <w:p>
      <w:pPr>
        <w:numPr>
          <w:ilvl w:val="0"/>
          <w:numId w:val="1062"/>
        </w:numPr>
        <w:pStyle w:val="Compact"/>
      </w:pPr>
      <w:r>
        <w:t xml:space="preserve">Tracking data provenance</w:t>
      </w:r>
    </w:p>
    <w:p>
      <w:pPr>
        <w:numPr>
          <w:ilvl w:val="0"/>
          <w:numId w:val="1062"/>
        </w:numPr>
        <w:pStyle w:val="Compact"/>
      </w:pPr>
      <w:r>
        <w:t xml:space="preserve">Discovering errors</w:t>
      </w:r>
    </w:p>
    <w:p>
      <w:pPr>
        <w:numPr>
          <w:ilvl w:val="0"/>
          <w:numId w:val="1062"/>
        </w:numPr>
        <w:pStyle w:val="Compact"/>
      </w:pPr>
      <w:r>
        <w:t xml:space="preserve">Enabling reproducibility</w:t>
      </w:r>
    </w:p>
    <w:p>
      <w:pPr>
        <w:numPr>
          <w:ilvl w:val="0"/>
          <w:numId w:val="1062"/>
        </w:numPr>
        <w:pStyle w:val="Compact"/>
      </w:pPr>
      <w:r>
        <w:t xml:space="preserve">Ensuring others use and interpret data accurately</w:t>
      </w:r>
    </w:p>
    <w:p>
      <w:pPr>
        <w:numPr>
          <w:ilvl w:val="0"/>
          <w:numId w:val="1062"/>
        </w:numPr>
        <w:pStyle w:val="Compact"/>
      </w:pPr>
      <w:r>
        <w:t xml:space="preserve">Providing searchability through metadata</w:t>
      </w:r>
    </w:p>
    <w:p>
      <w:pPr>
        <w:pStyle w:val="FirstParagraph"/>
      </w:pPr>
      <w:r>
        <w:t xml:space="preserve">We are going to cover four levels of documents in this chapter: team level, project level, dataset level, and variable level. While most of the documentation we will discuss does fall within the documentation phase in the research life cycle, some documents will be created earlier or later and the timing will be discussed in each section. During a project, while you are actively using your documents, the format of these documents does not matter. Choose a format that is human-readable and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choose to create as many or as few of these documents as you wish. You should choose which documents to create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that you template your documents and implement them consistently within, and even across projects. Implementing documentation using templates, or consistent formats and fields, reduces duplication in efforts (no need to reinvent the wheel) and allows your team to more easily interpret the document.</w:t>
      </w:r>
    </w:p>
    <w:p>
      <w:pPr>
        <w:pStyle w:val="BodyText"/>
      </w:pPr>
      <w:r>
        <w:t xml:space="preserve">Creating and maintaining these documents</w:t>
      </w:r>
      <w:r>
        <w:t xml:space="preserve"> </w:t>
      </w:r>
      <w:r>
        <w:rPr>
          <w:bCs/>
          <w:b/>
        </w:rPr>
        <w:t xml:space="preserve">is an investment</w:t>
      </w:r>
      <w:r>
        <w:t xml:space="preserve"> </w:t>
      </w:r>
      <w:r>
        <w:t xml:space="preserve">(make sure to account for this time in your proposal budget), but the return for the investment is well worth the effort.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As you review these documents, remember that every single one mentioned is a living document to be updated as procedures change or new information is received. As seen in the cyclical section of our diagram 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bookmarkStart w:id="367" w:name="team-level"/>
    <w:p>
      <w:pPr>
        <w:pStyle w:val="Heading2"/>
      </w:pPr>
      <w:r>
        <w:rPr>
          <w:rStyle w:val="SectionNumber"/>
        </w:rPr>
        <w:t xml:space="preserve">7.1</w:t>
      </w:r>
      <w:r>
        <w:tab/>
      </w:r>
      <w:r>
        <w:t xml:space="preserve">Team Level</w:t>
      </w:r>
    </w:p>
    <w:p>
      <w:pPr>
        <w:pStyle w:val="FirstParagraph"/>
      </w:pPr>
      <w:r>
        <w:t xml:space="preserve">Team level data documentation typically contain data governance rules that apply to the entire team, across all projects. While these documents can be amended at any time, they should really be started long before you apply for a grant, when your lab, center, or institution is formed.</w:t>
      </w:r>
    </w:p>
    <w:p>
      <w:pPr>
        <w:pStyle w:val="CaptionedFigure"/>
      </w:pPr>
      <w:r>
        <w:drawing>
          <wp:inline>
            <wp:extent cx="5334000" cy="2994671"/>
            <wp:effectExtent b="0" l="0" r="0" t="0"/>
            <wp:docPr descr="Figure 2.1: Team level documentation in the research project life cycle" title="" id="330" name="Picture"/>
            <a:graphic>
              <a:graphicData uri="http://schemas.openxmlformats.org/drawingml/2006/picture">
                <pic:pic>
                  <pic:nvPicPr>
                    <pic:cNvPr descr="img/lifecycle_teamdoc.PNG" id="331" name="Picture"/>
                    <pic:cNvPicPr>
                      <a:picLocks noChangeArrowheads="1" noChangeAspect="1"/>
                    </pic:cNvPicPr>
                  </pic:nvPicPr>
                  <pic:blipFill>
                    <a:blip r:embed="rId329"/>
                    <a:stretch>
                      <a:fillRect/>
                    </a:stretch>
                  </pic:blipFill>
                  <pic:spPr bwMode="auto">
                    <a:xfrm>
                      <a:off x="0" y="0"/>
                      <a:ext cx="5334000" cy="2994671"/>
                    </a:xfrm>
                    <a:prstGeom prst="rect">
                      <a:avLst/>
                    </a:prstGeom>
                    <a:noFill/>
                    <a:ln w="9525">
                      <a:noFill/>
                      <a:headEnd/>
                      <a:tailEnd/>
                    </a:ln>
                  </pic:spPr>
                </pic:pic>
              </a:graphicData>
            </a:graphic>
          </wp:inline>
        </w:drawing>
      </w:r>
    </w:p>
    <w:p>
      <w:pPr>
        <w:pStyle w:val="ImageCaption"/>
      </w:pPr>
      <w:r>
        <w:t xml:space="preserve">Figure 2.1: Team level documentation in the research project life cycle</w:t>
      </w:r>
    </w:p>
    <w:bookmarkStart w:id="343" w:name="lab-manual"/>
    <w:p>
      <w:pPr>
        <w:pStyle w:val="Heading3"/>
      </w:pPr>
      <w:r>
        <w:rPr>
          <w:rStyle w:val="SectionNumber"/>
        </w:rPr>
        <w:t xml:space="preserve">7.1.1</w:t>
      </w:r>
      <w:r>
        <w:tab/>
      </w:r>
      <w:r>
        <w:t xml:space="preserve">Lab Manual</w:t>
      </w:r>
    </w:p>
    <w:p>
      <w:pPr>
        <w:pStyle w:val="FirstParagraph"/>
      </w:pPr>
      <w:r>
        <w:t xml:space="preserve">One example of a team level document is a lab manual, or team handbook. A lab manual creates common knowledge across your team.</w:t>
      </w:r>
      <w:r>
        <w:rPr>
          <w:rStyle w:val="FootnoteReference"/>
        </w:rPr>
        <w:footnoteReference w:id="332"/>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34"/>
      </w:r>
      <w:r>
        <w:t xml:space="preserve"> While a lab manual will mostly consist of administrative, procedural, and interpersonal types of information, it can be helpful to also include data management content as well, including general rules about how to access, store, share, and work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36"/>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37"/>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39"/>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41"/>
            </w:r>
          </w:p>
        </w:tc>
        <w:tc>
          <w:tcPr/>
          <w:p>
            <w:pPr>
              <w:pStyle w:val="Compact"/>
              <w:jc w:val="left"/>
            </w:pPr>
            <w:r>
              <w:t xml:space="preserve">Common topics covered in lab manuals</w:t>
            </w:r>
          </w:p>
        </w:tc>
      </w:tr>
    </w:tbl>
    <w:bookmarkEnd w:id="343"/>
    <w:bookmarkStart w:id="351"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only invited users.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3.2: Example team wiki with links to frequently requested information" title="" id="345" name="Picture"/>
            <a:graphic>
              <a:graphicData uri="http://schemas.openxmlformats.org/drawingml/2006/picture">
                <pic:pic>
                  <pic:nvPicPr>
                    <pic:cNvPr descr="img/wiki2.PNG" id="346" name="Picture"/>
                    <pic:cNvPicPr>
                      <a:picLocks noChangeArrowheads="1" noChangeAspect="1"/>
                    </pic:cNvPicPr>
                  </pic:nvPicPr>
                  <pic:blipFill>
                    <a:blip r:embed="rId344"/>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3.2: Example team wiki with links to frequently requested information</w:t>
      </w:r>
    </w:p>
    <w:p>
      <w:pPr>
        <w:pStyle w:val="BodyText"/>
      </w:pPr>
      <w:r>
        <w:t xml:space="preserve">* Note: Project level wikis can also be created and be very useful in centralizing frequently referenced information pertaining to specific projects.</w:t>
      </w:r>
    </w:p>
    <w:p>
      <w:pPr>
        <w:pStyle w:val="BodyText"/>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47"/>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49"/>
            </w:r>
          </w:p>
        </w:tc>
        <w:tc>
          <w:tcPr/>
          <w:p>
            <w:pPr>
              <w:pStyle w:val="Compact"/>
              <w:jc w:val="left"/>
            </w:pPr>
            <w:r>
              <w:t xml:space="preserve">Example public lab wiki</w:t>
            </w:r>
          </w:p>
        </w:tc>
      </w:tr>
    </w:tbl>
    <w:bookmarkEnd w:id="351"/>
    <w:bookmarkStart w:id="355"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below.</w:t>
      </w:r>
    </w:p>
    <w:p>
      <w:pPr>
        <w:pStyle w:val="CaptionedFigure"/>
      </w:pPr>
      <w:r>
        <w:drawing>
          <wp:inline>
            <wp:extent cx="5334000" cy="2005116"/>
            <wp:effectExtent b="0" l="0" r="0" t="0"/>
            <wp:docPr descr="Figure 3.3: Sample data topics to add to onboarding and offboarding checklists" title="" id="353" name="Picture"/>
            <a:graphic>
              <a:graphicData uri="http://schemas.openxmlformats.org/drawingml/2006/picture">
                <pic:pic>
                  <pic:nvPicPr>
                    <pic:cNvPr descr="img/onboard_offboard2.PNG" id="354" name="Picture"/>
                    <pic:cNvPicPr>
                      <a:picLocks noChangeArrowheads="1" noChangeAspect="1"/>
                    </pic:cNvPicPr>
                  </pic:nvPicPr>
                  <pic:blipFill>
                    <a:blip r:embed="rId352"/>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3.3: Sample data topics to add to onboarding and offboarding checklists</w:t>
      </w:r>
    </w:p>
    <w:bookmarkEnd w:id="355"/>
    <w:bookmarkStart w:id="363"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56"/>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58"/>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below.</w:t>
      </w:r>
    </w:p>
    <w:p>
      <w:pPr>
        <w:pStyle w:val="CaptionedFigure"/>
      </w:pPr>
      <w:r>
        <w:drawing>
          <wp:inline>
            <wp:extent cx="5334000" cy="2876633"/>
            <wp:effectExtent b="0" l="0" r="0" t="0"/>
            <wp:docPr descr="Figure 3.4: Example of content to include in an internal data use agreement" title="" id="361" name="Picture"/>
            <a:graphic>
              <a:graphicData uri="http://schemas.openxmlformats.org/drawingml/2006/picture">
                <pic:pic>
                  <pic:nvPicPr>
                    <pic:cNvPr descr="img/dua2.PNG" id="362" name="Picture"/>
                    <pic:cNvPicPr>
                      <a:picLocks noChangeArrowheads="1" noChangeAspect="1"/>
                    </pic:cNvPicPr>
                  </pic:nvPicPr>
                  <pic:blipFill>
                    <a:blip r:embed="rId360"/>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3.4: Example of content to include in an internal data use agreement</w:t>
      </w:r>
    </w:p>
    <w:bookmarkEnd w:id="363"/>
    <w:bookmarkStart w:id="366" w:name="style-guide"/>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64"/>
      </w:r>
      <w:r>
        <w:t xml:space="preserve"> It improves consistency within and across files and projects. This document includes conventions for procedures such as variable naming, value coding, file naming, versioning, and file structure. It can be created in one large document or separate files for each type of procedure. I highly recommend applying your style guide consistently across all projects, hence why this is included in the team documentation. Since style guides are so important, and there is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bookmarkEnd w:id="366"/>
    <w:bookmarkEnd w:id="367"/>
    <w:bookmarkStart w:id="414" w:name="project-level"/>
    <w:p>
      <w:pPr>
        <w:pStyle w:val="Heading2"/>
      </w:pPr>
      <w:r>
        <w:rPr>
          <w:rStyle w:val="SectionNumber"/>
        </w:rPr>
        <w:t xml:space="preserve">7.2</w:t>
      </w:r>
      <w:r>
        <w:tab/>
      </w:r>
      <w:r>
        <w:t xml:space="preserve">Project Level</w:t>
      </w:r>
    </w:p>
    <w:p>
      <w:pPr>
        <w:pStyle w:val="FirstParagraph"/>
      </w:pPr>
      <w:r>
        <w:t xml:space="preserve">Project 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DMP (started before your project is funded), checklists and meeting notes (started during the planning phase), or the CONSORT diagram (started after data is collected) will begin at other points throughout the cycle.</w:t>
      </w:r>
    </w:p>
    <w:bookmarkStart w:id="368" w:name="data-management-plan"/>
    <w:p>
      <w:pPr>
        <w:pStyle w:val="Heading3"/>
      </w:pPr>
      <w:r>
        <w:rPr>
          <w:rStyle w:val="SectionNumber"/>
        </w:rPr>
        <w:t xml:space="preserve">7.2.1</w:t>
      </w:r>
      <w:r>
        <w:tab/>
      </w:r>
      <w:r>
        <w:t xml:space="preserve">Data Management Plan</w:t>
      </w:r>
    </w:p>
    <w:p>
      <w:pPr>
        <w:pStyle w:val="FirstParagraph"/>
      </w:pPr>
      <w:r>
        <w:t xml:space="preserve">This is the first project 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68"/>
    <w:bookmarkStart w:id="369"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I won’t say much more here other than to acknowledge that these documents are also part of your portfolio of documentation and are really key planning documents as you start to build your other project as well as data and variable level documents.</w:t>
      </w:r>
    </w:p>
    <w:bookmarkEnd w:id="369"/>
    <w:bookmarkStart w:id="372" w:name="roles-and-responsibilites-document"/>
    <w:p>
      <w:pPr>
        <w:pStyle w:val="Heading3"/>
      </w:pPr>
      <w:r>
        <w:rPr>
          <w:rStyle w:val="SectionNumber"/>
        </w:rPr>
        <w:t xml:space="preserve">7.2.3</w:t>
      </w:r>
      <w:r>
        <w:tab/>
      </w:r>
      <w:r>
        <w:t xml:space="preserve">Roles and responsibilites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Examples of roles and responsibilities documented</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70"/>
            </w:r>
          </w:p>
        </w:tc>
        <w:tc>
          <w:tcPr/>
          <w:p>
            <w:pPr>
              <w:pStyle w:val="Compact"/>
              <w:jc w:val="left"/>
            </w:pPr>
            <w:r>
              <w:t xml:space="preserve">Example roles and responsibilities are assigned throughout this resource</w:t>
            </w:r>
          </w:p>
        </w:tc>
      </w:tr>
    </w:tbl>
    <w:bookmarkEnd w:id="372"/>
    <w:bookmarkStart w:id="384"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provides a means for the board to determine if your methods provide adequate protection for human subjects. In addition to serving this required purpose, the research protocol is also an excellent document to deposit along with your data at the time of data sharing, as well as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seen below.</w:t>
      </w:r>
    </w:p>
    <w:p>
      <w:pPr>
        <w:pStyle w:val="CaptionedFigure"/>
      </w:pPr>
      <w:r>
        <w:drawing>
          <wp:inline>
            <wp:extent cx="5334000" cy="1635913"/>
            <wp:effectExtent b="0" l="0" r="0" t="0"/>
            <wp:docPr descr="Figure 3.5: Common research protocol elements" title="" id="374" name="Picture"/>
            <a:graphic>
              <a:graphicData uri="http://schemas.openxmlformats.org/drawingml/2006/picture">
                <pic:pic>
                  <pic:nvPicPr>
                    <pic:cNvPr descr="img/protocol2.PNG" id="375" name="Picture"/>
                    <pic:cNvPicPr>
                      <a:picLocks noChangeArrowheads="1" noChangeAspect="1"/>
                    </pic:cNvPicPr>
                  </pic:nvPicPr>
                  <pic:blipFill>
                    <a:blip r:embed="rId373"/>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3.5: Common research protocol elements</w:t>
      </w:r>
    </w:p>
    <w:p>
      <w:pPr>
        <w:pStyle w:val="BodyText"/>
      </w:pPr>
      <w:r>
        <w:t xml:space="preserve">When it comes time to submit your data in a repository, the protocol can be revised to contain information helpful for a data end user. Content such as risks and benefits to participants might be removed, and numbers such as final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76"/>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78"/>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80"/>
            </w:r>
          </w:p>
        </w:tc>
        <w:tc>
          <w:tcPr/>
          <w:p>
            <w:pPr>
              <w:pStyle w:val="Compact"/>
              <w:jc w:val="left"/>
            </w:pPr>
            <w:r>
              <w:t xml:space="preserve">Protocol Template</w:t>
            </w:r>
          </w:p>
        </w:tc>
      </w:tr>
      <w:tr>
        <w:tc>
          <w:tcPr/>
          <w:p>
            <w:pPr>
              <w:pStyle w:val="Compact"/>
              <w:jc w:val="left"/>
            </w:pPr>
            <w:r>
              <w:t xml:space="preserve">SCOPE User Guide</w:t>
            </w:r>
            <w:r>
              <w:rPr>
                <w:rStyle w:val="FootnoteReference"/>
              </w:rPr>
              <w:footnoteReference w:id="382"/>
            </w:r>
          </w:p>
        </w:tc>
        <w:tc>
          <w:tcPr/>
          <w:p>
            <w:pPr>
              <w:pStyle w:val="Compact"/>
              <w:jc w:val="left"/>
            </w:pPr>
            <w:r>
              <w:t xml:space="preserve">Example data sharing documentation that can be created from a research protocol</w:t>
            </w:r>
          </w:p>
        </w:tc>
      </w:tr>
    </w:tbl>
    <w:bookmarkEnd w:id="384"/>
    <w:bookmarkStart w:id="398"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3"/>
        </w:numPr>
        <w:pStyle w:val="Compact"/>
      </w:pPr>
      <w:r>
        <w:t xml:space="preserve">Timeline</w:t>
      </w:r>
    </w:p>
    <w:p>
      <w:pPr>
        <w:pStyle w:val="FirstParagraph"/>
      </w:pPr>
      <w:r>
        <w:t xml:space="preserve">The first supplemental document that I highly recommend creating is a visual representation of your data collection timeline. This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Below is an example of one way to visualize a data collection timeline.</w:t>
      </w:r>
    </w:p>
    <w:p>
      <w:pPr>
        <w:pStyle w:val="CaptionedFigure"/>
      </w:pPr>
      <w:r>
        <w:drawing>
          <wp:inline>
            <wp:extent cx="5334000" cy="726000"/>
            <wp:effectExtent b="0" l="0" r="0" t="0"/>
            <wp:docPr descr="Figure 3.6: Example data collection timeline" title="" id="386" name="Picture"/>
            <a:graphic>
              <a:graphicData uri="http://schemas.openxmlformats.org/drawingml/2006/picture">
                <pic:pic>
                  <pic:nvPicPr>
                    <pic:cNvPr descr="img/timeline.PNG" id="387" name="Picture"/>
                    <pic:cNvPicPr>
                      <a:picLocks noChangeArrowheads="1" noChangeAspect="1"/>
                    </pic:cNvPicPr>
                  </pic:nvPicPr>
                  <pic:blipFill>
                    <a:blip r:embed="rId385"/>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3.6: Example data collection timeline</w:t>
      </w:r>
    </w:p>
    <w:p>
      <w:pPr>
        <w:numPr>
          <w:ilvl w:val="0"/>
          <w:numId w:val="1064"/>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388"/>
      </w:r>
      <w:r>
        <w:t xml:space="preserve"> It visually portrays enrollment, randomization, as well as attrition in the study.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tracking</w:t>
        </w:r>
      </w:hyperlink>
      <w:r>
        <w:t xml:space="preserve"> </w:t>
      </w:r>
      <w:r>
        <w:t xml:space="preserve">chapter, will inform the creation of this diagram.</w:t>
      </w:r>
    </w:p>
    <w:p>
      <w:pPr>
        <w:pStyle w:val="CaptionedFigure"/>
      </w:pPr>
      <w:r>
        <w:drawing>
          <wp:inline>
            <wp:extent cx="4245885" cy="3804671"/>
            <wp:effectExtent b="0" l="0" r="0" t="0"/>
            <wp:docPr descr="Figure 3.7: 2010 CONSORT flow diagram template" title="" id="391" name="Picture"/>
            <a:graphic>
              <a:graphicData uri="http://schemas.openxmlformats.org/drawingml/2006/picture">
                <pic:pic>
                  <pic:nvPicPr>
                    <pic:cNvPr descr="img/consort.PNG" id="392" name="Picture"/>
                    <pic:cNvPicPr>
                      <a:picLocks noChangeArrowheads="1" noChangeAspect="1"/>
                    </pic:cNvPicPr>
                  </pic:nvPicPr>
                  <pic:blipFill>
                    <a:blip r:embed="rId390"/>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3.7: 2010 CONSORT flow diagram template</w:t>
      </w:r>
    </w:p>
    <w:p>
      <w:pPr>
        <w:numPr>
          <w:ilvl w:val="0"/>
          <w:numId w:val="1065"/>
        </w:numPr>
        <w:pStyle w:val="Compact"/>
      </w:pPr>
      <w:r>
        <w:t xml:space="preserve">Instruments</w:t>
      </w:r>
    </w:p>
    <w:p>
      <w:pPr>
        <w:pStyle w:val="FirstParagraph"/>
      </w:pPr>
      <w:r>
        <w:t xml:space="preserve">Actual copies of instrument can be included as supplemental documentation. This includes copies of surveys, assessments, forms, and so forth. It can also include any technical documents associated with your instruments.</w:t>
      </w:r>
    </w:p>
    <w:p>
      <w:pPr>
        <w:numPr>
          <w:ilvl w:val="0"/>
          <w:numId w:val="1066"/>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393"/>
      </w:r>
    </w:p>
    <w:p>
      <w:pPr>
        <w:pStyle w:val="CaptionedFigure"/>
      </w:pPr>
      <w:r>
        <w:drawing>
          <wp:inline>
            <wp:extent cx="5334000" cy="4916439"/>
            <wp:effectExtent b="0" l="0" r="0" t="0"/>
            <wp:docPr descr="Figure 3.8: Flowchart of an ECLS-K:2011 kindergarten assessment" title="" id="396" name="Picture"/>
            <a:graphic>
              <a:graphicData uri="http://schemas.openxmlformats.org/drawingml/2006/picture">
                <pic:pic>
                  <pic:nvPicPr>
                    <pic:cNvPr descr="img/flowchart.PNG" id="397" name="Picture"/>
                    <pic:cNvPicPr>
                      <a:picLocks noChangeArrowheads="1" noChangeAspect="1"/>
                    </pic:cNvPicPr>
                  </pic:nvPicPr>
                  <pic:blipFill>
                    <a:blip r:embed="rId395"/>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3.8: Flowchart of an ECLS-K:2011 kindergarten assessment</w:t>
      </w:r>
    </w:p>
    <w:p>
      <w:pPr>
        <w:numPr>
          <w:ilvl w:val="0"/>
          <w:numId w:val="1067"/>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8"/>
        </w:numPr>
        <w:pStyle w:val="Compact"/>
      </w:pPr>
      <w:r>
        <w:t xml:space="preserve">Related publications</w:t>
      </w:r>
    </w:p>
    <w:p>
      <w:pPr>
        <w:pStyle w:val="FirstParagraph"/>
      </w:pPr>
      <w:r>
        <w:t xml:space="preserve">You may also choose to attach any publications that have come from your data as an addendum to your protocol.</w:t>
      </w:r>
    </w:p>
    <w:bookmarkEnd w:id="398"/>
    <w:bookmarkStart w:id="413"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399"/>
      </w:r>
      <w:r>
        <w:t xml:space="preserve"> If you recall from our</w:t>
      </w:r>
      <w:r>
        <w:t xml:space="preserve"> </w:t>
      </w:r>
      <w:hyperlink w:anchor="plan">
        <w:r>
          <w:rPr>
            <w:rStyle w:val="Hyperlink"/>
          </w:rPr>
          <w:t xml:space="preserve">planning chapter</w:t>
        </w:r>
      </w:hyperlink>
      <w:r>
        <w:t xml:space="preserve">,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seen below.</w:t>
      </w:r>
    </w:p>
    <w:p>
      <w:pPr>
        <w:pStyle w:val="CaptionedFigure"/>
      </w:pPr>
      <w:r>
        <w:drawing>
          <wp:inline>
            <wp:extent cx="5334000" cy="1326554"/>
            <wp:effectExtent b="0" l="0" r="0" t="0"/>
            <wp:docPr descr="Figure 3.9: Examples of processes or decisions to develop an SOP for" title="" id="402" name="Picture"/>
            <a:graphic>
              <a:graphicData uri="http://schemas.openxmlformats.org/drawingml/2006/picture">
                <pic:pic>
                  <pic:nvPicPr>
                    <pic:cNvPr descr="img/sopchecks.PNG" id="403" name="Picture"/>
                    <pic:cNvPicPr>
                      <a:picLocks noChangeArrowheads="1" noChangeAspect="1"/>
                    </pic:cNvPicPr>
                  </pic:nvPicPr>
                  <pic:blipFill>
                    <a:blip r:embed="rId401"/>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3.9: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3.10: Standard operating procedure minimal template" title="" id="405" name="Picture"/>
            <a:graphic>
              <a:graphicData uri="http://schemas.openxmlformats.org/drawingml/2006/picture">
                <pic:pic>
                  <pic:nvPicPr>
                    <pic:cNvPr descr="img/sop.PNG" id="406" name="Picture"/>
                    <pic:cNvPicPr>
                      <a:picLocks noChangeArrowheads="1" noChangeAspect="1"/>
                    </pic:cNvPicPr>
                  </pic:nvPicPr>
                  <pic:blipFill>
                    <a:blip r:embed="rId404"/>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3.10: Standard operating procedure minimal template</w:t>
      </w:r>
    </w:p>
    <w:p>
      <w:pPr>
        <w:pStyle w:val="BodyText"/>
      </w:pPr>
      <w:r>
        <w:t xml:space="preserve">In developing your template, the SOP should begin with</w:t>
      </w:r>
      <w:r>
        <w:t xml:space="preserve"> </w:t>
      </w:r>
      <w:r>
        <w:rPr>
          <w:bCs/>
          <w:b/>
        </w:rPr>
        <w:t xml:space="preserve">general information</w:t>
      </w:r>
      <w:r>
        <w:t xml:space="preserve"> </w:t>
      </w:r>
      <w:r>
        <w:t xml:space="preserve">about the scope and purpose of the procedure, as well as any tools or terminology. This provides context for the user and gives them the background to use and interpret the SOP. The next section,</w:t>
      </w:r>
      <w:r>
        <w:t xml:space="preserve"> </w:t>
      </w:r>
      <w:r>
        <w:rPr>
          <w:bCs/>
          <w:b/>
        </w:rPr>
        <w:t xml:space="preserve">procedures</w:t>
      </w:r>
      <w:r>
        <w:t xml:space="preserve">, lists all procedures in order. Each step provides the name of the staff member/s associated with that step to ensure that there is no ambiguity. Each step should be as detailed as possible so that you could hand your SOP over to any new staff member, with no background in this process, and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be embedded as well.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07"/>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09"/>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11"/>
            </w:r>
          </w:p>
        </w:tc>
        <w:tc>
          <w:tcPr/>
          <w:p>
            <w:pPr>
              <w:pStyle w:val="Compact"/>
              <w:jc w:val="left"/>
            </w:pPr>
            <w:r>
              <w:t xml:space="preserve">Sample Activitiy Monitor Configuration SOP</w:t>
            </w:r>
          </w:p>
        </w:tc>
      </w:tr>
    </w:tbl>
    <w:bookmarkEnd w:id="413"/>
    <w:bookmarkEnd w:id="414"/>
    <w:bookmarkStart w:id="432"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includes things such as planned transformations for the data, potential issues to be aware of, and any alterations to the data. In addition to being helpful descriptive documentation to keep, a huge reason for creating dataset documentation is for authenticity. Datasets go through many iterations of processing which can result in multiple versions of a dataset.</w:t>
      </w:r>
      <w:r>
        <w:rPr>
          <w:rStyle w:val="FootnoteReference"/>
        </w:rPr>
        <w:footnoteReference w:id="415"/>
      </w:r>
      <w:r>
        <w:t xml:space="preserve"> Preserving data lineage by tracking data errors and transformations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 level documentation will be created in the documentation phase and we will talk about the timing as we review each document.</w:t>
      </w:r>
    </w:p>
    <w:bookmarkStart w:id="421"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grew out of computer science but are now prevalent in the research world. These documents are a way to convey pertinent information to collaborators in a simple, no frills manner. Readmes can be used in many different ways but I am going to cover three ways they are often used in the context of data management.</w:t>
      </w:r>
    </w:p>
    <w:p>
      <w:pPr>
        <w:numPr>
          <w:ilvl w:val="0"/>
          <w:numId w:val="1069"/>
        </w:numPr>
        <w:pStyle w:val="Compact"/>
      </w:pPr>
      <w:r>
        <w:t xml:space="preserve">For conveying information to your colleagues</w:t>
      </w:r>
    </w:p>
    <w:p>
      <w:pPr>
        <w:numPr>
          <w:ilvl w:val="0"/>
          <w:numId w:val="1070"/>
        </w:numPr>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numPr>
          <w:ilvl w:val="0"/>
          <w:numId w:val="1000"/>
        </w:numPr>
        <w:pStyle w:val="SourceCode"/>
      </w:pPr>
      <w:r>
        <w:rPr>
          <w:rStyle w:val="VerbatimChar"/>
        </w:rPr>
        <w:t xml:space="preserve">- ID 5051 entered incorrectly. Should be 5015.</w:t>
      </w:r>
      <w:r>
        <w:br/>
      </w:r>
      <w:r>
        <w:rPr>
          <w:rStyle w:val="VerbatimChar"/>
        </w:rPr>
        <w:t xml:space="preserve">- ID 5089 completed the survey twice  </w:t>
      </w:r>
      <w:r>
        <w:br/>
      </w:r>
      <w:r>
        <w:rPr>
          <w:rStyle w:val="VerbatimChar"/>
        </w:rPr>
        <w:t xml:space="preserve">    - first survey is only partially completed</w:t>
      </w:r>
    </w:p>
    <w:p>
      <w:pPr>
        <w:numPr>
          <w:ilvl w:val="0"/>
          <w:numId w:val="1071"/>
        </w:numPr>
        <w:pStyle w:val="Compact"/>
      </w:pPr>
      <w:r>
        <w:t xml:space="preserve">For conveying steps in a process (sometimes also called a setup file)</w:t>
      </w:r>
    </w:p>
    <w:p>
      <w:pPr>
        <w:numPr>
          <w:ilvl w:val="0"/>
          <w:numId w:val="1072"/>
        </w:numPr>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numPr>
          <w:ilvl w:val="0"/>
          <w:numId w:val="1000"/>
        </w:numPr>
        <w:pStyle w:val="SourceCode"/>
      </w:pPr>
      <w:r>
        <w:rPr>
          <w:rStyle w:val="VerbatimChar"/>
        </w:rPr>
        <w:t xml:space="preserve">Step 1: Run the file 01_clean_data.R to clean the data  </w:t>
      </w:r>
      <w:r>
        <w:br/>
      </w:r>
      <w:r>
        <w:rPr>
          <w:rStyle w:val="VerbatimChar"/>
        </w:rPr>
        <w:t xml:space="preserve">Step 2: Run the file 02_check_errors.R to check for errors  </w:t>
      </w:r>
      <w:r>
        <w:br/>
      </w:r>
      <w:r>
        <w:rPr>
          <w:rStyle w:val="VerbatimChar"/>
        </w:rPr>
        <w:t xml:space="preserve">Step 3: Run the file 03_run_report.R to create report  </w:t>
      </w:r>
    </w:p>
    <w:p>
      <w:pPr>
        <w:numPr>
          <w:ilvl w:val="0"/>
          <w:numId w:val="1073"/>
        </w:numPr>
        <w:pStyle w:val="Compact"/>
      </w:pPr>
      <w:r>
        <w:t xml:space="preserve">For providing information about a set of files in a directory</w:t>
      </w:r>
    </w:p>
    <w:p>
      <w:pPr>
        <w:numPr>
          <w:ilvl w:val="0"/>
          <w:numId w:val="1074"/>
        </w:numPr>
        <w:pStyle w:val="Compact"/>
      </w:pPr>
      <w:r>
        <w:t xml:space="preserve">If colleagues are accessing your clean datasets in your project directory, it can be helpful to add readmes to the top of those directories to provide information about what datasets are available in the directory, as well as pertinent information about those datasets, including how the datasets are related/can be linked.</w:t>
      </w:r>
      <w:r>
        <w:rPr>
          <w:rStyle w:val="FootnoteReference"/>
        </w:rPr>
        <w:footnoteReference w:id="417"/>
      </w:r>
    </w:p>
    <w:p>
      <w:pPr>
        <w:pStyle w:val="CaptionedFigure"/>
      </w:pPr>
      <w:r>
        <w:drawing>
          <wp:inline>
            <wp:extent cx="5334000" cy="2871807"/>
            <wp:effectExtent b="0" l="0" r="0" t="0"/>
            <wp:docPr descr="Figure 3.11: Institute of Education Sciences example readme for conveying information on files in a directory" title="" id="419" name="Picture"/>
            <a:graphic>
              <a:graphicData uri="http://schemas.openxmlformats.org/drawingml/2006/picture">
                <pic:pic>
                  <pic:nvPicPr>
                    <pic:cNvPr descr="img/readme3.PNG" id="420" name="Picture"/>
                    <pic:cNvPicPr>
                      <a:picLocks noChangeArrowheads="1" noChangeAspect="1"/>
                    </pic:cNvPicPr>
                  </pic:nvPicPr>
                  <pic:blipFill>
                    <a:blip r:embed="rId418"/>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3.11: Institute of Education Sciences example readme for conveying information on files in a directory</w:t>
      </w:r>
    </w:p>
    <w:bookmarkEnd w:id="421"/>
    <w:bookmarkStart w:id="427" w:name="changelog"/>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field of education where researchers are often working with human subject, identifiable data, users are most often not keeping their study data during an active project, in a remote repository. Data are usually kept in an institution approved storage location. Even if your storage location has versioning such as Box or SharePoint, unless you also have a way to commit messages along with those versions (like a commit message with Git), you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file name (versioned consistently), the date it was created, and a description of the dataset (including what changes were made compared to the previous version). It could include additional information as well such as who made the change, and a link to any code used to transform the data.</w:t>
      </w:r>
      <w:r>
        <w:rPr>
          <w:rStyle w:val="FootnoteReference"/>
        </w:rPr>
        <w:footnoteReference w:id="422"/>
      </w:r>
    </w:p>
    <w:p>
      <w:pPr>
        <w:pStyle w:val="CaptionedFigure"/>
      </w:pPr>
      <w:r>
        <w:drawing>
          <wp:inline>
            <wp:extent cx="5334000" cy="2160270"/>
            <wp:effectExtent b="0" l="0" r="0" t="0"/>
            <wp:docPr descr="Figure 3.12: Example simple changelog for a clean student survey data file" title="" id="425" name="Picture"/>
            <a:graphic>
              <a:graphicData uri="http://schemas.openxmlformats.org/drawingml/2006/picture">
                <pic:pic>
                  <pic:nvPicPr>
                    <pic:cNvPr descr="img/changelog.PNG" id="426" name="Picture"/>
                    <pic:cNvPicPr>
                      <a:picLocks noChangeArrowheads="1" noChangeAspect="1"/>
                    </pic:cNvPicPr>
                  </pic:nvPicPr>
                  <pic:blipFill>
                    <a:blip r:embed="rId424"/>
                    <a:stretch>
                      <a:fillRect/>
                    </a:stretch>
                  </pic:blipFill>
                  <pic:spPr bwMode="auto">
                    <a:xfrm>
                      <a:off x="0" y="0"/>
                      <a:ext cx="5334000" cy="2160270"/>
                    </a:xfrm>
                    <a:prstGeom prst="rect">
                      <a:avLst/>
                    </a:prstGeom>
                    <a:noFill/>
                    <a:ln w="9525">
                      <a:noFill/>
                      <a:headEnd/>
                      <a:tailEnd/>
                    </a:ln>
                  </pic:spPr>
                </pic:pic>
              </a:graphicData>
            </a:graphic>
          </wp:inline>
        </w:drawing>
      </w:r>
    </w:p>
    <w:p>
      <w:pPr>
        <w:pStyle w:val="ImageCaption"/>
      </w:pPr>
      <w:r>
        <w:t xml:space="preserve">Figure 3.12: Example simple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27"/>
    <w:bookmarkStart w:id="431"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that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documents can be started in the documentation phase, but will most likely continue to be updated throughout the study. Typically the person who has the responsibility of cleaning the data will write out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We will talk much more about what types of transformations</w:t>
      </w:r>
      <w:r>
        <w:t xml:space="preserve"> </w:t>
      </w:r>
      <w:r>
        <w:rPr>
          <w:bCs/>
          <w:b/>
        </w:rPr>
        <w:t xml:space="preserve">should</w:t>
      </w:r>
      <w:r>
        <w:t xml:space="preserve"> </w:t>
      </w:r>
      <w:r>
        <w:t xml:space="preserve">go into a data cleaning plan in the</w:t>
      </w:r>
      <w:r>
        <w:t xml:space="preserve"> </w:t>
      </w:r>
      <w:r>
        <w:rPr>
          <w:bCs/>
          <w:b/>
        </w:rPr>
        <w:t xml:space="preserve">data cleaning</w:t>
      </w:r>
      <w:r>
        <w:t xml:space="preserve"> </w:t>
      </w:r>
      <w:r>
        <w:t xml:space="preserve">chapter of this book.</w:t>
      </w:r>
    </w:p>
    <w:p>
      <w:pPr>
        <w:pStyle w:val="CaptionedFigure"/>
      </w:pPr>
      <w:r>
        <w:drawing>
          <wp:inline>
            <wp:extent cx="4013734" cy="3003082"/>
            <wp:effectExtent b="0" l="0" r="0" t="0"/>
            <wp:docPr descr="Figure 7.1: A simplified data cleaning plan" title="" id="429" name="Picture"/>
            <a:graphic>
              <a:graphicData uri="http://schemas.openxmlformats.org/drawingml/2006/picture">
                <pic:pic>
                  <pic:nvPicPr>
                    <pic:cNvPr descr="img/data_cleaning_plan2.PNG" id="430" name="Picture"/>
                    <pic:cNvPicPr>
                      <a:picLocks noChangeArrowheads="1" noChangeAspect="1"/>
                    </pic:cNvPicPr>
                  </pic:nvPicPr>
                  <pic:blipFill>
                    <a:blip r:embed="rId428"/>
                    <a:stretch>
                      <a:fillRect/>
                    </a:stretch>
                  </pic:blipFill>
                  <pic:spPr bwMode="auto">
                    <a:xfrm>
                      <a:off x="0" y="0"/>
                      <a:ext cx="4013734" cy="3003082"/>
                    </a:xfrm>
                    <a:prstGeom prst="rect">
                      <a:avLst/>
                    </a:prstGeom>
                    <a:noFill/>
                    <a:ln w="9525">
                      <a:noFill/>
                      <a:headEnd/>
                      <a:tailEnd/>
                    </a:ln>
                  </pic:spPr>
                </pic:pic>
              </a:graphicData>
            </a:graphic>
          </wp:inline>
        </w:drawing>
      </w:r>
    </w:p>
    <w:p>
      <w:pPr>
        <w:pStyle w:val="ImageCaption"/>
      </w:pPr>
      <w:r>
        <w:t xml:space="preserve">Figure 7.1: A simplified data cleaning plan</w:t>
      </w:r>
    </w:p>
    <w:bookmarkEnd w:id="431"/>
    <w:bookmarkEnd w:id="432"/>
    <w:bookmarkStart w:id="469"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 level documentation. When we think about data management, I think this is most likely the first type of documentation that pops into people’s minds. This is documentation that tells us all pertinent information about the variables that exist in our datasets: variable names, descriptions, types, and so forth. While variable level documentation is often used for the interpretation of existing datasets, it can also serve many other vital purposes including guiding the construction of data collection instruments, assisting in data cleaning, or validating the accuracy of data,</w:t>
      </w:r>
      <w:r>
        <w:rPr>
          <w:rStyle w:val="FootnoteReference"/>
        </w:rPr>
        <w:footnoteReference w:id="433"/>
      </w:r>
      <w:r>
        <w:t xml:space="preserve"> and we will discuss this more throughout the chapters in this book.</w:t>
      </w:r>
    </w:p>
    <w:bookmarkStart w:id="454"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 collection of names, definitions, and attributes about variables in a dataset.</w:t>
      </w:r>
      <w:r>
        <w:rPr>
          <w:rStyle w:val="FootnoteReference"/>
        </w:rPr>
        <w:footnoteReference w:id="435"/>
      </w:r>
      <w:r>
        <w:t xml:space="preserve"> This document is both a planning tool and a tool used for interpretation, and is most useful if created in the documentation phase, before a project begins, because it is integral to many other phases of a study.</w:t>
      </w:r>
    </w:p>
    <w:p>
      <w:pPr>
        <w:pStyle w:val="BodyText"/>
      </w:pPr>
      <w:r>
        <w:t xml:space="preserve">A data dictionary is typically created in a rectangular format. What tool you use to build your data dictionary is up to you, but there are key pieces of information that should be included, as well as optional fields that can be helpful as well.</w:t>
      </w:r>
      <w:r>
        <w:rPr>
          <w:rStyle w:val="FootnoteReference"/>
        </w:rPr>
        <w:footnoteReference w:id="437"/>
      </w:r>
    </w:p>
    <w:p>
      <w:pPr>
        <w:pStyle w:val="CaptionedFigure"/>
      </w:pPr>
      <w:r>
        <w:drawing>
          <wp:inline>
            <wp:extent cx="5334000" cy="2487267"/>
            <wp:effectExtent b="0" l="0" r="0" t="0"/>
            <wp:docPr descr="Figure 7.2: Fields to include in a data dictionary" title="" id="440" name="Picture"/>
            <a:graphic>
              <a:graphicData uri="http://schemas.openxmlformats.org/drawingml/2006/picture">
                <pic:pic>
                  <pic:nvPicPr>
                    <pic:cNvPr descr="img/dictionary.PNG" id="441" name="Picture"/>
                    <pic:cNvPicPr>
                      <a:picLocks noChangeArrowheads="1" noChangeAspect="1"/>
                    </pic:cNvPicPr>
                  </pic:nvPicPr>
                  <pic:blipFill>
                    <a:blip r:embed="rId439"/>
                    <a:stretch>
                      <a:fillRect/>
                    </a:stretch>
                  </pic:blipFill>
                  <pic:spPr bwMode="auto">
                    <a:xfrm>
                      <a:off x="0" y="0"/>
                      <a:ext cx="5334000" cy="2487267"/>
                    </a:xfrm>
                    <a:prstGeom prst="rect">
                      <a:avLst/>
                    </a:prstGeom>
                    <a:noFill/>
                    <a:ln w="9525">
                      <a:noFill/>
                      <a:headEnd/>
                      <a:tailEnd/>
                    </a:ln>
                  </pic:spPr>
                </pic:pic>
              </a:graphicData>
            </a:graphic>
          </wp:inline>
        </w:drawing>
      </w:r>
    </w:p>
    <w:p>
      <w:pPr>
        <w:pStyle w:val="ImageCaption"/>
      </w:pPr>
      <w:r>
        <w:t xml:space="preserve">Figure 7.2: Fields to include in a data dictionary</w:t>
      </w:r>
    </w:p>
    <w:bookmarkStart w:id="447"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5"/>
        </w:numPr>
        <w:pStyle w:val="Compact"/>
      </w:pPr>
      <w:r>
        <w:t xml:space="preserve">Your style guide already created: We will talk about</w:t>
      </w:r>
      <w:r>
        <w:t xml:space="preserve"> </w:t>
      </w:r>
      <w:hyperlink w:anchor="style">
        <w:r>
          <w:rPr>
            <w:rStyle w:val="Hyperlink"/>
          </w:rPr>
          <w:t xml:space="preserve">style guides</w:t>
        </w:r>
      </w:hyperlink>
      <w:r>
        <w:t xml:space="preserve"> </w:t>
      </w:r>
      <w:r>
        <w:t xml:space="preserve">in the next chapter, but this document will provide standards for how you should name variables and code response values.</w:t>
      </w:r>
      <w:r>
        <w:br/>
      </w:r>
    </w:p>
    <w:p>
      <w:pPr>
        <w:numPr>
          <w:ilvl w:val="0"/>
          <w:numId w:val="1075"/>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0"/>
          <w:numId w:val="1076"/>
        </w:numPr>
        <w:pStyle w:val="Compact"/>
      </w:pPr>
      <w:r>
        <w:t xml:space="preserve">What items make up the measures/scales? What is the exact wording of items?</w:t>
      </w:r>
      <w:r>
        <w:br/>
      </w:r>
    </w:p>
    <w:p>
      <w:pPr>
        <w:numPr>
          <w:ilvl w:val="0"/>
          <w:numId w:val="1076"/>
        </w:numPr>
        <w:pStyle w:val="Compact"/>
      </w:pPr>
      <w:r>
        <w:t xml:space="preserve">How are items coded?</w:t>
      </w:r>
      <w:r>
        <w:br/>
      </w:r>
    </w:p>
    <w:p>
      <w:pPr>
        <w:numPr>
          <w:ilvl w:val="0"/>
          <w:numId w:val="1076"/>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7"/>
        </w:numPr>
        <w:pStyle w:val="Compact"/>
      </w:pPr>
      <w:r>
        <w:t xml:space="preserve">Are your variable names meeting the requirements laid out in your style guide?</w:t>
      </w:r>
      <w:r>
        <w:br/>
      </w:r>
    </w:p>
    <w:p>
      <w:pPr>
        <w:numPr>
          <w:ilvl w:val="0"/>
          <w:numId w:val="1077"/>
        </w:numPr>
        <w:pStyle w:val="Compact"/>
      </w:pPr>
      <w:r>
        <w:t xml:space="preserve">If your items come from an existing scale, does your value coding align with the coding laid out in the documentation? If your items do not come from an existing scale, does your value coding align with the requirements in your style guide?</w:t>
      </w:r>
      <w:r>
        <w:br/>
      </w:r>
    </w:p>
    <w:p>
      <w:pPr>
        <w:numPr>
          <w:ilvl w:val="0"/>
          <w:numId w:val="1077"/>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following data dictionary uses items from Patterns of Adaptive Learning Scales (PALS).</w:t>
      </w:r>
      <w:r>
        <w:rPr>
          <w:rStyle w:val="FootnoteReference"/>
        </w:rPr>
        <w:footnoteReference w:id="442"/>
      </w:r>
      <w:r>
        <w:t xml:space="preserve"> In an actual research study your dictionary would most likely include many more items and a variety of measures.</w:t>
      </w:r>
    </w:p>
    <w:p>
      <w:pPr>
        <w:pStyle w:val="CaptionedFigure"/>
      </w:pPr>
      <w:r>
        <w:drawing>
          <wp:inline>
            <wp:extent cx="5334000" cy="2480641"/>
            <wp:effectExtent b="0" l="0" r="0" t="0"/>
            <wp:docPr descr="Figure 7.3: Example student survey data dictionary" title="" id="445" name="Picture"/>
            <a:graphic>
              <a:graphicData uri="http://schemas.openxmlformats.org/drawingml/2006/picture">
                <pic:pic>
                  <pic:nvPicPr>
                    <pic:cNvPr descr="img/dictionary2.PNG" id="446" name="Picture"/>
                    <pic:cNvPicPr>
                      <a:picLocks noChangeArrowheads="1" noChangeAspect="1"/>
                    </pic:cNvPicPr>
                  </pic:nvPicPr>
                  <pic:blipFill>
                    <a:blip r:embed="rId444"/>
                    <a:stretch>
                      <a:fillRect/>
                    </a:stretch>
                  </pic:blipFill>
                  <pic:spPr bwMode="auto">
                    <a:xfrm>
                      <a:off x="0" y="0"/>
                      <a:ext cx="5334000" cy="2480641"/>
                    </a:xfrm>
                    <a:prstGeom prst="rect">
                      <a:avLst/>
                    </a:prstGeom>
                    <a:noFill/>
                    <a:ln w="9525">
                      <a:noFill/>
                      <a:headEnd/>
                      <a:tailEnd/>
                    </a:ln>
                  </pic:spPr>
                </pic:pic>
              </a:graphicData>
            </a:graphic>
          </wp:inline>
        </w:drawing>
      </w:r>
    </w:p>
    <w:p>
      <w:pPr>
        <w:pStyle w:val="ImageCaption"/>
      </w:pPr>
      <w:r>
        <w:t xml:space="preserve">Figure 7.3: Example student survey data dictionary</w:t>
      </w:r>
    </w:p>
    <w:p>
      <w:pPr>
        <w:pStyle w:val="BodyText"/>
      </w:pPr>
      <w:r>
        <w:t xml:space="preserve">The last step of creating your data dictionary, as it should be for every document you create in this documentation phase, is to do a review with your team.</w:t>
      </w:r>
    </w:p>
    <w:p>
      <w:pPr>
        <w:numPr>
          <w:ilvl w:val="0"/>
          <w:numId w:val="1078"/>
        </w:numPr>
        <w:pStyle w:val="Compact"/>
      </w:pPr>
      <w:r>
        <w:t xml:space="preserve">Is everyone in agreement about how variables are named, how values are coded, and our variable types?</w:t>
      </w:r>
    </w:p>
    <w:p>
      <w:pPr>
        <w:numPr>
          <w:ilvl w:val="0"/>
          <w:numId w:val="1078"/>
        </w:numPr>
        <w:pStyle w:val="Compact"/>
      </w:pPr>
      <w:r>
        <w:t xml:space="preserve">Is everyone in agreement about who gets each item?</w:t>
      </w:r>
      <w:r>
        <w:br/>
      </w:r>
    </w:p>
    <w:p>
      <w:pPr>
        <w:numPr>
          <w:ilvl w:val="0"/>
          <w:numId w:val="1078"/>
        </w:numPr>
        <w:pStyle w:val="Compact"/>
      </w:pPr>
      <w:r>
        <w:t xml:space="preserve">Does the team want to adjust any of the question/item wording?</w:t>
      </w:r>
    </w:p>
    <w:p>
      <w:pPr>
        <w:numPr>
          <w:ilvl w:val="0"/>
          <w:numId w:val="1078"/>
        </w:numPr>
        <w:pStyle w:val="Compact"/>
      </w:pPr>
      <w:r>
        <w:t xml:space="preserve">You’ll also want to confirm that the data dictionary includes everything the team plans to collect and no items are missing.</w:t>
      </w:r>
    </w:p>
    <w:p>
      <w:pPr>
        <w:numPr>
          <w:ilvl w:val="0"/>
          <w:numId w:val="1078"/>
        </w:numPr>
        <w:pStyle w:val="Compact"/>
      </w:pPr>
      <w:r>
        <w:t xml:space="preserve">If additional items are added to instruments at later time points, adding fields such as (time periods available), can be really helpful to future users in understanding why some items may be missing data in certain time points.</w:t>
      </w:r>
    </w:p>
    <w:bookmarkEnd w:id="447"/>
    <w:bookmarkStart w:id="448"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and rather than the forward moving flow we discussed before where the dictionary is built first, we will now have to work backwards to answer questions about our data.</w:t>
      </w:r>
    </w:p>
    <w:p>
      <w:pPr>
        <w:pStyle w:val="BodyText"/>
      </w:pPr>
      <w:r>
        <w:t xml:space="preserve">The first step in building your data dictionary now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and so forth. As you review your data, start to collect questions such as:</w:t>
      </w:r>
    </w:p>
    <w:p>
      <w:pPr>
        <w:numPr>
          <w:ilvl w:val="0"/>
          <w:numId w:val="1079"/>
        </w:numPr>
        <w:pStyle w:val="Compact"/>
      </w:pPr>
      <w:r>
        <w:t xml:space="preserve">What do these variables represent?</w:t>
      </w:r>
    </w:p>
    <w:p>
      <w:pPr>
        <w:numPr>
          <w:ilvl w:val="1"/>
          <w:numId w:val="1080"/>
        </w:numPr>
        <w:pStyle w:val="Compact"/>
      </w:pPr>
      <w:r>
        <w:t xml:space="preserve">What was the wording of these item?</w:t>
      </w:r>
    </w:p>
    <w:p>
      <w:pPr>
        <w:numPr>
          <w:ilvl w:val="0"/>
          <w:numId w:val="1079"/>
        </w:numPr>
        <w:pStyle w:val="Compact"/>
      </w:pPr>
      <w:r>
        <w:t xml:space="preserve">Who received the items?</w:t>
      </w:r>
    </w:p>
    <w:p>
      <w:pPr>
        <w:numPr>
          <w:ilvl w:val="0"/>
          <w:numId w:val="1079"/>
        </w:numPr>
        <w:pStyle w:val="Compact"/>
      </w:pPr>
      <w:r>
        <w:t xml:space="preserve">What do these values represent?</w:t>
      </w:r>
    </w:p>
    <w:p>
      <w:pPr>
        <w:numPr>
          <w:ilvl w:val="1"/>
          <w:numId w:val="1081"/>
        </w:numPr>
        <w:pStyle w:val="Compact"/>
      </w:pPr>
      <w:r>
        <w:t xml:space="preserve">Am I seeing the full range of values/categorical options for each item? Or was the range larger than what I am seeing?</w:t>
      </w:r>
    </w:p>
    <w:p>
      <w:pPr>
        <w:numPr>
          <w:ilvl w:val="1"/>
          <w:numId w:val="1081"/>
        </w:numPr>
        <w:pStyle w:val="Compact"/>
      </w:pPr>
      <w:r>
        <w:t xml:space="preserve">Do I have values in my data that don’t make sense for an item?</w:t>
      </w:r>
    </w:p>
    <w:p>
      <w:pPr>
        <w:numPr>
          <w:ilvl w:val="0"/>
          <w:numId w:val="1079"/>
        </w:numPr>
        <w:pStyle w:val="Compact"/>
      </w:pPr>
      <w:r>
        <w:t xml:space="preserve">What types are the items currently? What types should they be?</w:t>
      </w:r>
    </w:p>
    <w:p>
      <w:pPr>
        <w:pStyle w:val="FirstParagraph"/>
      </w:pPr>
      <w:r>
        <w:t xml:space="preserve">In order to answer those questions, you may need to do some additional detective work.</w:t>
      </w:r>
    </w:p>
    <w:p>
      <w:pPr>
        <w:numPr>
          <w:ilvl w:val="0"/>
          <w:numId w:val="1082"/>
        </w:numPr>
        <w:pStyle w:val="Compact"/>
      </w:pPr>
      <w:r>
        <w:t xml:space="preserve">Contact the person who originally collected the data to learn more about the instrument and the data.</w:t>
      </w:r>
      <w:r>
        <w:br/>
      </w:r>
    </w:p>
    <w:p>
      <w:pPr>
        <w:numPr>
          <w:ilvl w:val="0"/>
          <w:numId w:val="1082"/>
        </w:numPr>
        <w:pStyle w:val="Compact"/>
      </w:pPr>
      <w:r>
        <w:t xml:space="preserve">Contact the person who cleaned the data (if cleaned) to see what transformations they completed on the raw data.</w:t>
      </w:r>
      <w:r>
        <w:br/>
      </w:r>
    </w:p>
    <w:p>
      <w:pPr>
        <w:numPr>
          <w:ilvl w:val="0"/>
          <w:numId w:val="1082"/>
        </w:numPr>
        <w:pStyle w:val="Compact"/>
      </w:pPr>
      <w:r>
        <w:t xml:space="preserve">Request access to the original instruments to review exact question wording, item response options, skip patterns, and so forth.</w:t>
      </w:r>
    </w:p>
    <w:p>
      <w:pPr>
        <w:numPr>
          <w:ilvl w:val="0"/>
          <w:numId w:val="1082"/>
        </w:numPr>
        <w:pStyle w:val="Compact"/>
      </w:pPr>
      <w:r>
        <w:t xml:space="preserve">Request any documentation they have.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48"/>
    <w:bookmarkStart w:id="453"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 data dictionary, as mentioned before,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49"/>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51"/>
            </w:r>
          </w:p>
        </w:tc>
        <w:tc>
          <w:tcPr/>
          <w:p>
            <w:pPr>
              <w:pStyle w:val="Compact"/>
              <w:jc w:val="left"/>
            </w:pPr>
            <w:r>
              <w:t xml:space="preserve">Example data dictionary template</w:t>
            </w:r>
          </w:p>
        </w:tc>
      </w:tr>
    </w:tbl>
    <w:bookmarkEnd w:id="453"/>
    <w:bookmarkEnd w:id="454"/>
    <w:bookmarkStart w:id="468"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55"/>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4: Codebook content that overlaps and is unique to a data dictionary" title="" id="458" name="Picture"/>
            <a:graphic>
              <a:graphicData uri="http://schemas.openxmlformats.org/drawingml/2006/picture">
                <pic:pic>
                  <pic:nvPicPr>
                    <pic:cNvPr descr="img/codebook.PNG" id="459" name="Picture"/>
                    <pic:cNvPicPr>
                      <a:picLocks noChangeArrowheads="1" noChangeAspect="1"/>
                    </pic:cNvPicPr>
                  </pic:nvPicPr>
                  <pic:blipFill>
                    <a:blip r:embed="rId457"/>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7.4: Codebook content that overlaps and is unique to a data dictionary</w:t>
      </w:r>
    </w:p>
    <w:p>
      <w:pPr>
        <w:pStyle w:val="BodyText"/>
      </w:pPr>
      <w:r>
        <w:t xml:space="preserve">Ultimately you want to export a codebook that contains variable level information like this document below from the United States Department of Health and</w:t>
      </w:r>
      <w:r>
        <w:t xml:space="preserve"> </w:t>
      </w:r>
      <w:r>
        <w:t xml:space="preserve">Human Services.</w:t>
      </w:r>
      <w:r>
        <w:rPr>
          <w:rStyle w:val="FootnoteReference"/>
        </w:rPr>
        <w:footnoteReference w:id="460"/>
      </w:r>
    </w:p>
    <w:p>
      <w:pPr>
        <w:pStyle w:val="CaptionedFigure"/>
      </w:pPr>
      <w:r>
        <w:drawing>
          <wp:inline>
            <wp:extent cx="4968453" cy="5492794"/>
            <wp:effectExtent b="0" l="0" r="0" t="0"/>
            <wp:docPr descr="Figure 7.5: Example codebook content from the SCOPE Coach Survey" title="" id="462" name="Picture"/>
            <a:graphic>
              <a:graphicData uri="http://schemas.openxmlformats.org/drawingml/2006/picture">
                <pic:pic>
                  <pic:nvPicPr>
                    <pic:cNvPr descr="img/codebook2.PNG" id="463" name="Picture"/>
                    <pic:cNvPicPr>
                      <a:picLocks noChangeArrowheads="1" noChangeAspect="1"/>
                    </pic:cNvPicPr>
                  </pic:nvPicPr>
                  <pic:blipFill>
                    <a:blip r:embed="rId461"/>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7.5: Example codebook content from the SCOPE Coach Survey</w:t>
      </w:r>
    </w:p>
    <w:p>
      <w:pPr>
        <w:pStyle w:val="BodyText"/>
      </w:pPr>
      <w:r>
        <w:t xml:space="preserve">You can see how in addition to being an excellent resource for users to review your data without ever opening the file, this document may also help you catch errors in your data if out of range or unexpected values appear.</w:t>
      </w:r>
    </w:p>
    <w:p>
      <w:pPr>
        <w:pStyle w:val="BodyText"/>
      </w:pPr>
      <w:r>
        <w:t xml:space="preserve">You can either create separate codebooks per datasets or have them all contained in one document, clickable through a table of contents. Unlike a data dictionary which I recommend to create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64"/>
      </w:r>
      <w:r>
        <w:t xml:space="preserve">.</w:t>
      </w:r>
    </w:p>
    <w:p>
      <w:pPr>
        <w:pStyle w:val="BodyText"/>
      </w:pPr>
      <w:r>
        <w:t xml:space="preserve">Last, you may notice as you review codebooks, many will start with several pages of text, usually containing information about the project. It’s common for people, when it comes time to share their data,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66"/>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67"/>
            </w:r>
          </w:p>
        </w:tc>
        <w:tc>
          <w:tcPr/>
          <w:p>
            <w:pPr>
              <w:pStyle w:val="Compact"/>
              <w:jc w:val="left"/>
            </w:pPr>
            <w:r>
              <w:t xml:space="preserve">A codebook for this study can be obtained from their ICPSR repository</w:t>
            </w:r>
          </w:p>
        </w:tc>
      </w:tr>
    </w:tbl>
    <w:bookmarkEnd w:id="468"/>
    <w:bookmarkEnd w:id="469"/>
    <w:bookmarkStart w:id="527" w:name="metadata"/>
    <w:p>
      <w:pPr>
        <w:pStyle w:val="Heading2"/>
      </w:pPr>
      <w:r>
        <w:rPr>
          <w:rStyle w:val="SectionNumber"/>
        </w:rPr>
        <w:t xml:space="preserve">7.5</w:t>
      </w:r>
      <w:r>
        <w:tab/>
      </w:r>
      <w:r>
        <w:t xml:space="preserve">Metadata</w:t>
      </w:r>
    </w:p>
    <w:p>
      <w:pPr>
        <w:pStyle w:val="FirstParagraph"/>
      </w:pPr>
      <w:r>
        <w:t xml:space="preserve">When it comes time to deposit your data in a repository, you will submit two types of documentation, human-readable documentation, which includes any of the documents we’ve previously discussed, and metadata. Metadata is documentation that is meant to be processed by machines and serves the purpose of making your files searchable.</w:t>
      </w:r>
      <w:r>
        <w:rPr>
          <w:rStyle w:val="FootnoteReference"/>
        </w:rPr>
        <w:footnoteReference w:id="470"/>
      </w:r>
      <w:r>
        <w:t xml:space="preserve"> Metadata aids in the cataloging, citing, discovering, and retrieving of data and its creation is a critical step in creating FAIR data</w:t>
      </w:r>
      <w:r>
        <w:rPr>
          <w:rStyle w:val="FootnoteReference"/>
        </w:rPr>
        <w:footnoteReference w:id="473"/>
      </w:r>
      <w:r>
        <w:t xml:space="preserve">.</w:t>
      </w:r>
    </w:p>
    <w:p>
      <w:pPr>
        <w:pStyle w:val="BodyText"/>
      </w:pPr>
      <w:r>
        <w:t xml:space="preserve">For the most part, no additional work is needed on your part to create metadata when depositing your data in a repository. It will simply be created as part of the depositing process.</w:t>
      </w:r>
      <w:r>
        <w:rPr>
          <w:rStyle w:val="FootnoteReference"/>
        </w:rPr>
        <w:footnoteReference w:id="476"/>
      </w:r>
      <w:r>
        <w:t xml:space="preserve"> As you deposit your data, the repository may have you fill out a form that contains descriptive (description of project and files - enables discovery), administrative (licensing and ownership), and structural metadata (technical considerations).</w:t>
      </w:r>
      <w:r>
        <w:rPr>
          <w:rStyle w:val="FootnoteReference"/>
        </w:rPr>
        <w:footnoteReference w:id="478"/>
      </w:r>
      <w:r>
        <w:t xml:space="preserve"> The information from this form will become your metadata.</w:t>
      </w:r>
      <w:r>
        <w:rPr>
          <w:rStyle w:val="FootnoteReference"/>
        </w:rPr>
        <w:footnoteReference w:id="480"/>
      </w:r>
    </w:p>
    <w:p>
      <w:pPr>
        <w:pStyle w:val="CaptionedFigure"/>
      </w:pPr>
      <w:r>
        <w:drawing>
          <wp:inline>
            <wp:extent cx="5334000" cy="7252297"/>
            <wp:effectExtent b="0" l="0" r="0" t="0"/>
            <wp:docPr descr="Figure 7.6: Example intake metadata form for figshare repository" title="" id="483" name="Picture"/>
            <a:graphic>
              <a:graphicData uri="http://schemas.openxmlformats.org/drawingml/2006/picture">
                <pic:pic>
                  <pic:nvPicPr>
                    <pic:cNvPr descr="img/metadata4.PNG" id="484" name="Picture"/>
                    <pic:cNvPicPr>
                      <a:picLocks noChangeArrowheads="1" noChangeAspect="1"/>
                    </pic:cNvPicPr>
                  </pic:nvPicPr>
                  <pic:blipFill>
                    <a:blip r:embed="rId482"/>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7.6: Example intake metadata form for figshare repository</w:t>
      </w:r>
    </w:p>
    <w:p>
      <w:pPr>
        <w:pStyle w:val="BodyText"/>
      </w:pPr>
      <w:r>
        <w:t xml:space="preserve">The most common metadata elements are included below</w:t>
      </w:r>
      <w:r>
        <w:rPr>
          <w:rStyle w:val="FootnoteReference"/>
        </w:rPr>
        <w:footnoteReference w:id="485"/>
      </w:r>
      <w:r>
        <w:t xml:space="preserve">.</w:t>
      </w:r>
    </w:p>
    <w:p>
      <w:pPr>
        <w:pStyle w:val="CaptionedFigure"/>
      </w:pPr>
      <w:r>
        <w:drawing>
          <wp:inline>
            <wp:extent cx="5334000" cy="3177208"/>
            <wp:effectExtent b="0" l="0" r="0" t="0"/>
            <wp:docPr descr="Figure 7.7: Common metadata elements" title="" id="488" name="Picture"/>
            <a:graphic>
              <a:graphicData uri="http://schemas.openxmlformats.org/drawingml/2006/picture">
                <pic:pic>
                  <pic:nvPicPr>
                    <pic:cNvPr descr="img/metadata.PNG" id="489" name="Picture"/>
                    <pic:cNvPicPr>
                      <a:picLocks noChangeArrowheads="1" noChangeAspect="1"/>
                    </pic:cNvPicPr>
                  </pic:nvPicPr>
                  <pic:blipFill>
                    <a:blip r:embed="rId487"/>
                    <a:stretch>
                      <a:fillRect/>
                    </a:stretch>
                  </pic:blipFill>
                  <pic:spPr bwMode="auto">
                    <a:xfrm>
                      <a:off x="0" y="0"/>
                      <a:ext cx="5334000" cy="3177208"/>
                    </a:xfrm>
                    <a:prstGeom prst="rect">
                      <a:avLst/>
                    </a:prstGeom>
                    <a:noFill/>
                    <a:ln w="9525">
                      <a:noFill/>
                      <a:headEnd/>
                      <a:tailEnd/>
                    </a:ln>
                  </pic:spPr>
                </pic:pic>
              </a:graphicData>
            </a:graphic>
          </wp:inline>
        </w:drawing>
      </w:r>
    </w:p>
    <w:p>
      <w:pPr>
        <w:pStyle w:val="ImageCaption"/>
      </w:pPr>
      <w:r>
        <w:t xml:space="preserve">Figure 7.7: Common metadata elements</w:t>
      </w:r>
    </w:p>
    <w:p>
      <w:pPr>
        <w:pStyle w:val="BodyText"/>
      </w:pPr>
      <w:r>
        <w:t xml:space="preserve">Depending on the repository, at minimum you will enter basic project level metadata similar to above, but you may be required or have the option to enter more comprehensive information, such as elements covered in your research protocol. You may also have the option to enter additional levels of metadata that will help make each level more searchable, such as dataset-level or and variable-level metadata.</w:t>
      </w:r>
      <w:r>
        <w:rPr>
          <w:rStyle w:val="FootnoteReference"/>
        </w:rPr>
        <w:footnoteReference w:id="490"/>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493"/>
      </w:r>
      <w:r>
        <w:t xml:space="preserve"> </w:t>
      </w:r>
      <w:r>
        <w:t xml:space="preserve">or JSON-LD. We can see what this metadata looks like to humans once it is submitted. Here is an example of how ICPSR Open displays the metadata information on a project page.</w:t>
      </w:r>
      <w:r>
        <w:rPr>
          <w:rStyle w:val="FootnoteReference"/>
        </w:rPr>
        <w:footnoteReference w:id="494"/>
      </w:r>
      <w:r>
        <w:t xml:space="preserve"> Notice we even have the option to download the XML formatted metadata files in one of two</w:t>
      </w:r>
      <w:r>
        <w:t xml:space="preserve"> </w:t>
      </w:r>
      <w:hyperlink w:anchor="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8: Example metadata displayed on an ICPSR Open project page" title="" id="497" name="Picture"/>
            <a:graphic>
              <a:graphicData uri="http://schemas.openxmlformats.org/drawingml/2006/picture">
                <pic:pic>
                  <pic:nvPicPr>
                    <pic:cNvPr descr="img/metadata_project.PNG" id="498" name="Picture"/>
                    <pic:cNvPicPr>
                      <a:picLocks noChangeArrowheads="1" noChangeAspect="1"/>
                    </pic:cNvPicPr>
                  </pic:nvPicPr>
                  <pic:blipFill>
                    <a:blip r:embed="rId496"/>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7.8: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499"/>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t xml:space="preserve"> </w:t>
      </w:r>
      <w:r>
        <w:t xml:space="preserve">Ruben C. Arslan</w:t>
      </w:r>
      <w:r>
        <w:rPr>
          <w:rStyle w:val="FootnoteReference"/>
        </w:rPr>
        <w:footnoteReference w:id="500"/>
      </w:r>
      <w:r>
        <w:t xml:space="preserve">.</w:t>
      </w:r>
    </w:p>
    <w:bookmarkStart w:id="526" w:name="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the data interoperability in addition to increasing the ability of users to find and understand data.</w:t>
      </w:r>
      <w:r>
        <w:rPr>
          <w:rStyle w:val="FootnoteReference"/>
        </w:rPr>
        <w:footnoteReference w:id="502"/>
      </w:r>
      <w:r>
        <w:t xml:space="preserve"> Metadata standards can be applied in several ways.</w:t>
      </w:r>
      <w:r>
        <w:rPr>
          <w:rStyle w:val="FootnoteReference"/>
        </w:rPr>
        <w:footnoteReference w:id="503"/>
      </w:r>
    </w:p>
    <w:p>
      <w:pPr>
        <w:numPr>
          <w:ilvl w:val="0"/>
          <w:numId w:val="1083"/>
        </w:numPr>
        <w:pStyle w:val="Compact"/>
      </w:pPr>
      <w:r>
        <w:t xml:space="preserve">Formats: What machine-readable format should metadata be in?</w:t>
      </w:r>
      <w:r>
        <w:br/>
      </w:r>
    </w:p>
    <w:p>
      <w:pPr>
        <w:numPr>
          <w:ilvl w:val="0"/>
          <w:numId w:val="1083"/>
        </w:numPr>
        <w:pStyle w:val="Compact"/>
      </w:pPr>
      <w:r>
        <w:t xml:space="preserve">Schema: What fields are recommended verses mandatory for project, dataset and variable level metadata?</w:t>
      </w:r>
    </w:p>
    <w:p>
      <w:pPr>
        <w:numPr>
          <w:ilvl w:val="0"/>
          <w:numId w:val="1083"/>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06"/>
      </w:r>
      <w:r>
        <w:t xml:space="preserve"> are developing their own metadata standards, including formats, schemas, and vocabularies grounded in the FAIR principles and the Schema.org schema.</w:t>
      </w:r>
      <w:r>
        <w:rPr>
          <w:rStyle w:val="FootnoteReference"/>
        </w:rPr>
        <w:footnoteReference w:id="507"/>
      </w:r>
      <w:r>
        <w:t xml:space="preserve"> Yet, the Institute of Education Sciences recognizes that there are currently no agreed upon standards in the field of education.</w:t>
      </w:r>
      <w:r>
        <w:rPr>
          <w:rStyle w:val="FootnoteReference"/>
        </w:rPr>
        <w:footnoteReference w:id="509"/>
      </w:r>
    </w:p>
    <w:p>
      <w:pPr>
        <w:pStyle w:val="CaptionedFigure"/>
      </w:pPr>
      <w:r>
        <w:drawing>
          <wp:inline>
            <wp:extent cx="5334000" cy="3192834"/>
            <wp:effectExtent b="0" l="0" r="0" t="0"/>
            <wp:docPr descr="Figure 7.9: A sampling of field metadata standards" title="" id="511" name="Picture"/>
            <a:graphic>
              <a:graphicData uri="http://schemas.openxmlformats.org/drawingml/2006/picture">
                <pic:pic>
                  <pic:nvPicPr>
                    <pic:cNvPr descr="img/metadata_standards.PNG" id="512" name="Picture"/>
                    <pic:cNvPicPr>
                      <a:picLocks noChangeArrowheads="1" noChangeAspect="1"/>
                    </pic:cNvPicPr>
                  </pic:nvPicPr>
                  <pic:blipFill>
                    <a:blip r:embed="rId510"/>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7.9: A sampling of field metadata standards</w:t>
      </w:r>
    </w:p>
    <w:p>
      <w:pPr>
        <w:pStyle w:val="BodyText"/>
      </w:pPr>
      <w:r>
        <w:t xml:space="preserve">It can be helpful to see how standards differ as well as overlap. The DDI Alliance put together this table for instance, mapping the DDI Elements (and vocabularies) to the Dublin Core,</w:t>
      </w:r>
      <w:r>
        <w:rPr>
          <w:rStyle w:val="FootnoteReference"/>
        </w:rPr>
        <w:footnoteReference w:id="513"/>
      </w:r>
      <w:r>
        <w:t xml:space="preserve"> two commonly used standards.</w:t>
      </w:r>
    </w:p>
    <w:p>
      <w:pPr>
        <w:pStyle w:val="CaptionedFigure"/>
      </w:pPr>
      <w:r>
        <w:drawing>
          <wp:inline>
            <wp:extent cx="5334000" cy="4612768"/>
            <wp:effectExtent b="0" l="0" r="0" t="0"/>
            <wp:docPr descr="Figure 7.10: A comparison of DDI Version 2 standards to Dublin Core standards" title="" id="516" name="Picture"/>
            <a:graphic>
              <a:graphicData uri="http://schemas.openxmlformats.org/drawingml/2006/picture">
                <pic:pic>
                  <pic:nvPicPr>
                    <pic:cNvPr descr="img/metadata_mapping.PNG" id="517" name="Picture"/>
                    <pic:cNvPicPr>
                      <a:picLocks noChangeArrowheads="1" noChangeAspect="1"/>
                    </pic:cNvPicPr>
                  </pic:nvPicPr>
                  <pic:blipFill>
                    <a:blip r:embed="rId515"/>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7.10: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18"/>
      </w:r>
      <w:r>
        <w:t xml:space="preserve"> You can start to see the differences and similarities across standards.</w:t>
      </w:r>
    </w:p>
    <w:p>
      <w:pPr>
        <w:pStyle w:val="CaptionedFigure"/>
      </w:pPr>
      <w:r>
        <w:drawing>
          <wp:inline>
            <wp:extent cx="5334000" cy="2101128"/>
            <wp:effectExtent b="0" l="0" r="0" t="0"/>
            <wp:docPr descr="Figure 7.11: Metadata comparison from an AERA Open project" title="" id="520" name="Picture"/>
            <a:graphic>
              <a:graphicData uri="http://schemas.openxmlformats.org/drawingml/2006/picture">
                <pic:pic>
                  <pic:nvPicPr>
                    <pic:cNvPr descr="img/standard_compare.PNG" id="521" name="Picture"/>
                    <pic:cNvPicPr>
                      <a:picLocks noChangeArrowheads="1" noChangeAspect="1"/>
                    </pic:cNvPicPr>
                  </pic:nvPicPr>
                  <pic:blipFill>
                    <a:blip r:embed="rId519"/>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7.11: Metadata comparison from an AERA Open project</w:t>
      </w:r>
    </w:p>
    <w:p>
      <w:pPr>
        <w:pStyle w:val="BodyText"/>
      </w:pPr>
      <w:r>
        <w:t xml:space="preserve">If you plan to archive your data, first check with your repository to see if they follow any standards. For example, the repository Dryad uses a combination of Dublin and Darwin Core,</w:t>
      </w:r>
      <w:r>
        <w:rPr>
          <w:rStyle w:val="FootnoteReference"/>
        </w:rPr>
        <w:footnoteReference w:id="522"/>
      </w:r>
      <w:r>
        <w:t xml:space="preserve"> while ICPSR uses DDI.</w:t>
      </w:r>
      <w:r>
        <w:rPr>
          <w:rStyle w:val="FootnoteReference"/>
        </w:rPr>
        <w:footnoteReference w:id="524"/>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25"/>
      </w:r>
      <w:r>
        <w:t xml:space="preserve"> and in the field of education, most researchers are at least familiar with the DDI standard so that is another good option. Remember, if you do choose to adhere to a standard, this decision should be documented in your</w:t>
      </w:r>
      <w:r>
        <w:t xml:space="preserve"> </w:t>
      </w:r>
      <w:hyperlink w:anchor="dmp">
        <w:r>
          <w:rPr>
            <w:rStyle w:val="Hyperlink"/>
          </w:rPr>
          <w:t xml:space="preserve">data management plan</w:t>
        </w:r>
      </w:hyperlink>
      <w:r>
        <w:t xml:space="preserve">.</w:t>
      </w:r>
    </w:p>
    <w:bookmarkEnd w:id="526"/>
    <w:bookmarkEnd w:id="527"/>
    <w:bookmarkStart w:id="528"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meaningul purpose, you don’t have to create every document listed. Choose the documents that help you organize your project and your data processes in the best way. Each document you create that is well maintained, will improve your data management workflow, decrease errors, and enhance your understanding of your data.</w:t>
      </w:r>
    </w:p>
    <w:bookmarkEnd w:id="528"/>
    <w:bookmarkEnd w:id="529"/>
    <w:bookmarkStart w:id="530" w:name="style"/>
    <w:p>
      <w:pPr>
        <w:pStyle w:val="Heading1"/>
      </w:pPr>
      <w:r>
        <w:rPr>
          <w:rStyle w:val="SectionNumber"/>
        </w:rPr>
        <w:t xml:space="preserve">8</w:t>
      </w:r>
      <w:r>
        <w:tab/>
      </w:r>
      <w:r>
        <w:t xml:space="preserve">Style Guide</w:t>
      </w:r>
    </w:p>
    <w:bookmarkEnd w:id="530"/>
    <w:bookmarkStart w:id="535" w:name="track"/>
    <w:p>
      <w:pPr>
        <w:pStyle w:val="Heading1"/>
      </w:pPr>
      <w:r>
        <w:rPr>
          <w:rStyle w:val="SectionNumber"/>
        </w:rPr>
        <w:t xml:space="preserve">9</w:t>
      </w:r>
      <w:r>
        <w:tab/>
      </w:r>
      <w:r>
        <w:t xml:space="preserve">Data Tracking</w:t>
      </w:r>
    </w:p>
    <w:bookmarkStart w:id="531" w:name="why-track-data"/>
    <w:p>
      <w:pPr>
        <w:pStyle w:val="Heading2"/>
      </w:pPr>
      <w:r>
        <w:rPr>
          <w:rStyle w:val="SectionNumber"/>
        </w:rPr>
        <w:t xml:space="preserve">9.1</w:t>
      </w:r>
      <w:r>
        <w:tab/>
      </w:r>
      <w:r>
        <w:t xml:space="preserve">Why track data?</w:t>
      </w:r>
    </w:p>
    <w:bookmarkEnd w:id="531"/>
    <w:bookmarkStart w:id="532" w:name="build-a-system"/>
    <w:p>
      <w:pPr>
        <w:pStyle w:val="Heading2"/>
      </w:pPr>
      <w:r>
        <w:rPr>
          <w:rStyle w:val="SectionNumber"/>
        </w:rPr>
        <w:t xml:space="preserve">9.2</w:t>
      </w:r>
      <w:r>
        <w:tab/>
      </w:r>
      <w:r>
        <w:t xml:space="preserve">Build a system</w:t>
      </w:r>
    </w:p>
    <w:bookmarkEnd w:id="532"/>
    <w:bookmarkStart w:id="533" w:name="ids"/>
    <w:p>
      <w:pPr>
        <w:pStyle w:val="Heading2"/>
      </w:pPr>
      <w:r>
        <w:rPr>
          <w:rStyle w:val="SectionNumber"/>
        </w:rPr>
        <w:t xml:space="preserve">9.3</w:t>
      </w:r>
      <w:r>
        <w:tab/>
      </w:r>
      <w:r>
        <w:t xml:space="preserve">Creating participant IDs</w:t>
      </w:r>
    </w:p>
    <w:bookmarkEnd w:id="533"/>
    <w:bookmarkStart w:id="534" w:name="X462b02df8aa0aa2236c799bbb92a45c26a99304"/>
    <w:p>
      <w:pPr>
        <w:pStyle w:val="Heading2"/>
      </w:pPr>
      <w:r>
        <w:rPr>
          <w:rStyle w:val="SectionNumber"/>
        </w:rPr>
        <w:t xml:space="preserve">9.4</w:t>
      </w:r>
      <w:r>
        <w:tab/>
      </w:r>
      <w:r>
        <w:t xml:space="preserve">When to build it, who builds it, tools to build it in</w:t>
      </w:r>
    </w:p>
    <w:bookmarkEnd w:id="534"/>
    <w:bookmarkEnd w:id="535"/>
    <w:bookmarkStart w:id="541" w:name="data-collection"/>
    <w:p>
      <w:pPr>
        <w:pStyle w:val="Heading1"/>
      </w:pPr>
      <w:r>
        <w:rPr>
          <w:rStyle w:val="SectionNumber"/>
        </w:rPr>
        <w:t xml:space="preserve">10</w:t>
      </w:r>
      <w:r>
        <w:tab/>
      </w:r>
      <w:r>
        <w:t xml:space="preserve">Data Collection</w:t>
      </w:r>
    </w:p>
    <w:bookmarkStart w:id="536" w:name="Xbc8506d1182cf1426d832e6ab42eeb02f5268c0"/>
    <w:p>
      <w:pPr>
        <w:pStyle w:val="Heading2"/>
      </w:pPr>
      <w:r>
        <w:rPr>
          <w:rStyle w:val="SectionNumber"/>
        </w:rPr>
        <w:t xml:space="preserve">10.1</w:t>
      </w:r>
      <w:r>
        <w:tab/>
      </w:r>
      <w:r>
        <w:t xml:space="preserve">Why consider data management in data collection?</w:t>
      </w:r>
    </w:p>
    <w:bookmarkEnd w:id="536"/>
    <w:bookmarkStart w:id="537" w:name="consents"/>
    <w:p>
      <w:pPr>
        <w:pStyle w:val="Heading2"/>
      </w:pPr>
      <w:r>
        <w:rPr>
          <w:rStyle w:val="SectionNumber"/>
        </w:rPr>
        <w:t xml:space="preserve">10.2</w:t>
      </w:r>
      <w:r>
        <w:tab/>
      </w:r>
      <w:r>
        <w:t xml:space="preserve">Consents</w:t>
      </w:r>
    </w:p>
    <w:bookmarkEnd w:id="537"/>
    <w:bookmarkStart w:id="538" w:name="electronic-data-collection-instruments"/>
    <w:p>
      <w:pPr>
        <w:pStyle w:val="Heading2"/>
      </w:pPr>
      <w:r>
        <w:rPr>
          <w:rStyle w:val="SectionNumber"/>
        </w:rPr>
        <w:t xml:space="preserve">10.3</w:t>
      </w:r>
      <w:r>
        <w:tab/>
      </w:r>
      <w:r>
        <w:t xml:space="preserve">Electronic data collection instruments</w:t>
      </w:r>
    </w:p>
    <w:bookmarkEnd w:id="538"/>
    <w:bookmarkStart w:id="539" w:name="paper-data-collection-instruments"/>
    <w:p>
      <w:pPr>
        <w:pStyle w:val="Heading2"/>
      </w:pPr>
      <w:r>
        <w:rPr>
          <w:rStyle w:val="SectionNumber"/>
        </w:rPr>
        <w:t xml:space="preserve">10.4</w:t>
      </w:r>
      <w:r>
        <w:tab/>
      </w:r>
      <w:r>
        <w:t xml:space="preserve">Paper data collection instruments</w:t>
      </w:r>
    </w:p>
    <w:bookmarkEnd w:id="539"/>
    <w:bookmarkStart w:id="540" w:name="interviewsfocus-groups"/>
    <w:p>
      <w:pPr>
        <w:pStyle w:val="Heading2"/>
      </w:pPr>
      <w:r>
        <w:rPr>
          <w:rStyle w:val="SectionNumber"/>
        </w:rPr>
        <w:t xml:space="preserve">10.5</w:t>
      </w:r>
      <w:r>
        <w:tab/>
      </w:r>
      <w:r>
        <w:t xml:space="preserve">Interviews/focus groups</w:t>
      </w:r>
    </w:p>
    <w:bookmarkEnd w:id="540"/>
    <w:bookmarkEnd w:id="541"/>
    <w:bookmarkStart w:id="545" w:name="data-capture"/>
    <w:p>
      <w:pPr>
        <w:pStyle w:val="Heading1"/>
      </w:pPr>
      <w:r>
        <w:rPr>
          <w:rStyle w:val="SectionNumber"/>
        </w:rPr>
        <w:t xml:space="preserve">11</w:t>
      </w:r>
      <w:r>
        <w:tab/>
      </w:r>
      <w:r>
        <w:t xml:space="preserve">Data Capture</w:t>
      </w:r>
    </w:p>
    <w:bookmarkStart w:id="542" w:name="electronic-data-capture"/>
    <w:p>
      <w:pPr>
        <w:pStyle w:val="Heading2"/>
      </w:pPr>
      <w:r>
        <w:rPr>
          <w:rStyle w:val="SectionNumber"/>
        </w:rPr>
        <w:t xml:space="preserve">11.1</w:t>
      </w:r>
      <w:r>
        <w:tab/>
      </w:r>
      <w:r>
        <w:t xml:space="preserve">Electronic data capture</w:t>
      </w:r>
    </w:p>
    <w:bookmarkEnd w:id="542"/>
    <w:bookmarkStart w:id="543" w:name="paper-data-capture"/>
    <w:p>
      <w:pPr>
        <w:pStyle w:val="Heading2"/>
      </w:pPr>
      <w:r>
        <w:rPr>
          <w:rStyle w:val="SectionNumber"/>
        </w:rPr>
        <w:t xml:space="preserve">11.2</w:t>
      </w:r>
      <w:r>
        <w:tab/>
      </w:r>
      <w:r>
        <w:t xml:space="preserve">Paper data capture</w:t>
      </w:r>
    </w:p>
    <w:bookmarkEnd w:id="543"/>
    <w:bookmarkStart w:id="544" w:name="extant-data"/>
    <w:p>
      <w:pPr>
        <w:pStyle w:val="Heading2"/>
      </w:pPr>
      <w:r>
        <w:rPr>
          <w:rStyle w:val="SectionNumber"/>
        </w:rPr>
        <w:t xml:space="preserve">11.3</w:t>
      </w:r>
      <w:r>
        <w:tab/>
      </w:r>
      <w:r>
        <w:t xml:space="preserve">Extant data</w:t>
      </w:r>
    </w:p>
    <w:bookmarkEnd w:id="544"/>
    <w:bookmarkEnd w:id="545"/>
    <w:bookmarkStart w:id="554" w:name="data-storage-and-security"/>
    <w:p>
      <w:pPr>
        <w:pStyle w:val="Heading1"/>
      </w:pPr>
      <w:r>
        <w:rPr>
          <w:rStyle w:val="SectionNumber"/>
        </w:rPr>
        <w:t xml:space="preserve">12</w:t>
      </w:r>
      <w:r>
        <w:tab/>
      </w:r>
      <w:r>
        <w:t xml:space="preserve">Data Storage and Security</w:t>
      </w:r>
    </w:p>
    <w:bookmarkStart w:id="546" w:name="types-of-data-youll-be-storing"/>
    <w:p>
      <w:pPr>
        <w:pStyle w:val="Heading2"/>
      </w:pPr>
      <w:r>
        <w:rPr>
          <w:rStyle w:val="SectionNumber"/>
        </w:rPr>
        <w:t xml:space="preserve">12.1</w:t>
      </w:r>
      <w:r>
        <w:tab/>
      </w:r>
      <w:r>
        <w:t xml:space="preserve">Types of data you’ll be storing</w:t>
      </w:r>
    </w:p>
    <w:bookmarkEnd w:id="546"/>
    <w:bookmarkStart w:id="547" w:name="general-security-rules"/>
    <w:p>
      <w:pPr>
        <w:pStyle w:val="Heading2"/>
      </w:pPr>
      <w:r>
        <w:rPr>
          <w:rStyle w:val="SectionNumber"/>
        </w:rPr>
        <w:t xml:space="preserve">12.2</w:t>
      </w:r>
      <w:r>
        <w:tab/>
      </w:r>
      <w:r>
        <w:t xml:space="preserve">General security rules</w:t>
      </w:r>
    </w:p>
    <w:bookmarkEnd w:id="547"/>
    <w:bookmarkStart w:id="548" w:name="participant-tracking-database"/>
    <w:p>
      <w:pPr>
        <w:pStyle w:val="Heading2"/>
      </w:pPr>
      <w:r>
        <w:rPr>
          <w:rStyle w:val="SectionNumber"/>
        </w:rPr>
        <w:t xml:space="preserve">12.3</w:t>
      </w:r>
      <w:r>
        <w:tab/>
      </w:r>
      <w:r>
        <w:t xml:space="preserve">Participant tracking database</w:t>
      </w:r>
    </w:p>
    <w:bookmarkEnd w:id="548"/>
    <w:bookmarkStart w:id="549" w:name="electronic-data"/>
    <w:p>
      <w:pPr>
        <w:pStyle w:val="Heading2"/>
      </w:pPr>
      <w:r>
        <w:rPr>
          <w:rStyle w:val="SectionNumber"/>
        </w:rPr>
        <w:t xml:space="preserve">12.4</w:t>
      </w:r>
      <w:r>
        <w:tab/>
      </w:r>
      <w:r>
        <w:t xml:space="preserve">Electronic data</w:t>
      </w:r>
    </w:p>
    <w:bookmarkEnd w:id="549"/>
    <w:bookmarkStart w:id="550" w:name="detachable-media"/>
    <w:p>
      <w:pPr>
        <w:pStyle w:val="Heading2"/>
      </w:pPr>
      <w:r>
        <w:rPr>
          <w:rStyle w:val="SectionNumber"/>
        </w:rPr>
        <w:t xml:space="preserve">12.5</w:t>
      </w:r>
      <w:r>
        <w:tab/>
      </w:r>
      <w:r>
        <w:t xml:space="preserve">Detachable media</w:t>
      </w:r>
    </w:p>
    <w:bookmarkEnd w:id="550"/>
    <w:bookmarkStart w:id="551" w:name="audiovisual-data"/>
    <w:p>
      <w:pPr>
        <w:pStyle w:val="Heading2"/>
      </w:pPr>
      <w:r>
        <w:rPr>
          <w:rStyle w:val="SectionNumber"/>
        </w:rPr>
        <w:t xml:space="preserve">12.6</w:t>
      </w:r>
      <w:r>
        <w:tab/>
      </w:r>
      <w:r>
        <w:t xml:space="preserve">Audio/visual data</w:t>
      </w:r>
    </w:p>
    <w:bookmarkEnd w:id="551"/>
    <w:bookmarkStart w:id="552" w:name="paper-data"/>
    <w:p>
      <w:pPr>
        <w:pStyle w:val="Heading2"/>
      </w:pPr>
      <w:r>
        <w:rPr>
          <w:rStyle w:val="SectionNumber"/>
        </w:rPr>
        <w:t xml:space="preserve">12.7</w:t>
      </w:r>
      <w:r>
        <w:tab/>
      </w:r>
      <w:r>
        <w:t xml:space="preserve">Paper data</w:t>
      </w:r>
    </w:p>
    <w:bookmarkEnd w:id="552"/>
    <w:bookmarkStart w:id="553" w:name="sharing-data"/>
    <w:p>
      <w:pPr>
        <w:pStyle w:val="Heading2"/>
      </w:pPr>
      <w:r>
        <w:rPr>
          <w:rStyle w:val="SectionNumber"/>
        </w:rPr>
        <w:t xml:space="preserve">12.8</w:t>
      </w:r>
      <w:r>
        <w:tab/>
      </w:r>
      <w:r>
        <w:t xml:space="preserve">Sharing data</w:t>
      </w:r>
    </w:p>
    <w:bookmarkEnd w:id="553"/>
    <w:bookmarkEnd w:id="554"/>
    <w:bookmarkStart w:id="560" w:name="clean"/>
    <w:p>
      <w:pPr>
        <w:pStyle w:val="Heading1"/>
      </w:pPr>
      <w:r>
        <w:rPr>
          <w:rStyle w:val="SectionNumber"/>
        </w:rPr>
        <w:t xml:space="preserve">13</w:t>
      </w:r>
      <w:r>
        <w:tab/>
      </w:r>
      <w:r>
        <w:t xml:space="preserve">Data Cleaning</w:t>
      </w:r>
    </w:p>
    <w:bookmarkStart w:id="555" w:name="foundational-knowledge"/>
    <w:p>
      <w:pPr>
        <w:pStyle w:val="Heading2"/>
      </w:pPr>
      <w:r>
        <w:rPr>
          <w:rStyle w:val="SectionNumber"/>
        </w:rPr>
        <w:t xml:space="preserve">13.1</w:t>
      </w:r>
      <w:r>
        <w:tab/>
      </w:r>
      <w:r>
        <w:t xml:space="preserve">Foundational knowledge</w:t>
      </w:r>
    </w:p>
    <w:bookmarkEnd w:id="555"/>
    <w:bookmarkStart w:id="556" w:name="data-structure-1"/>
    <w:p>
      <w:pPr>
        <w:pStyle w:val="Heading2"/>
      </w:pPr>
      <w:r>
        <w:rPr>
          <w:rStyle w:val="SectionNumber"/>
        </w:rPr>
        <w:t xml:space="preserve">13.2</w:t>
      </w:r>
      <w:r>
        <w:tab/>
      </w:r>
      <w:r>
        <w:t xml:space="preserve">Data structure</w:t>
      </w:r>
    </w:p>
    <w:bookmarkEnd w:id="556"/>
    <w:bookmarkStart w:id="557" w:name="data-cleaning-plan-1"/>
    <w:p>
      <w:pPr>
        <w:pStyle w:val="Heading2"/>
      </w:pPr>
      <w:r>
        <w:rPr>
          <w:rStyle w:val="SectionNumber"/>
        </w:rPr>
        <w:t xml:space="preserve">13.3</w:t>
      </w:r>
      <w:r>
        <w:tab/>
      </w:r>
      <w:r>
        <w:t xml:space="preserve">Data cleaning plan</w:t>
      </w:r>
    </w:p>
    <w:bookmarkEnd w:id="557"/>
    <w:bookmarkStart w:id="558" w:name="data-validation"/>
    <w:p>
      <w:pPr>
        <w:pStyle w:val="Heading2"/>
      </w:pPr>
      <w:r>
        <w:rPr>
          <w:rStyle w:val="SectionNumber"/>
        </w:rPr>
        <w:t xml:space="preserve">13.4</w:t>
      </w:r>
      <w:r>
        <w:tab/>
      </w:r>
      <w:r>
        <w:t xml:space="preserve">Data validation</w:t>
      </w:r>
    </w:p>
    <w:bookmarkEnd w:id="558"/>
    <w:bookmarkStart w:id="559" w:name="why-use-code"/>
    <w:p>
      <w:pPr>
        <w:pStyle w:val="Heading2"/>
      </w:pPr>
      <w:r>
        <w:rPr>
          <w:rStyle w:val="SectionNumber"/>
        </w:rPr>
        <w:t xml:space="preserve">13.5</w:t>
      </w:r>
      <w:r>
        <w:tab/>
      </w:r>
      <w:r>
        <w:t xml:space="preserve">Why use code?</w:t>
      </w:r>
    </w:p>
    <w:bookmarkEnd w:id="559"/>
    <w:bookmarkEnd w:id="560"/>
    <w:bookmarkStart w:id="565" w:name="share"/>
    <w:p>
      <w:pPr>
        <w:pStyle w:val="Heading1"/>
      </w:pPr>
      <w:r>
        <w:rPr>
          <w:rStyle w:val="SectionNumber"/>
        </w:rPr>
        <w:t xml:space="preserve">14</w:t>
      </w:r>
      <w:r>
        <w:tab/>
      </w:r>
      <w:r>
        <w:t xml:space="preserve">Data Sharing</w:t>
      </w:r>
    </w:p>
    <w:bookmarkStart w:id="561" w:name="why-share-your-data"/>
    <w:p>
      <w:pPr>
        <w:pStyle w:val="Heading2"/>
      </w:pPr>
      <w:r>
        <w:rPr>
          <w:rStyle w:val="SectionNumber"/>
        </w:rPr>
        <w:t xml:space="preserve">14.1</w:t>
      </w:r>
      <w:r>
        <w:tab/>
      </w:r>
      <w:r>
        <w:t xml:space="preserve">Why share your data?</w:t>
      </w:r>
    </w:p>
    <w:bookmarkEnd w:id="561"/>
    <w:bookmarkStart w:id="562" w:name="considering-fair-principles"/>
    <w:p>
      <w:pPr>
        <w:pStyle w:val="Heading2"/>
      </w:pPr>
      <w:r>
        <w:rPr>
          <w:rStyle w:val="SectionNumber"/>
        </w:rPr>
        <w:t xml:space="preserve">14.2</w:t>
      </w:r>
      <w:r>
        <w:tab/>
      </w:r>
      <w:r>
        <w:t xml:space="preserve">Considering FAIR principles</w:t>
      </w:r>
    </w:p>
    <w:bookmarkEnd w:id="562"/>
    <w:bookmarkStart w:id="563" w:name="best-practices"/>
    <w:p>
      <w:pPr>
        <w:pStyle w:val="Heading2"/>
      </w:pPr>
      <w:r>
        <w:rPr>
          <w:rStyle w:val="SectionNumber"/>
        </w:rPr>
        <w:t xml:space="preserve">14.3</w:t>
      </w:r>
      <w:r>
        <w:tab/>
      </w:r>
      <w:r>
        <w:t xml:space="preserve">Best practices</w:t>
      </w:r>
    </w:p>
    <w:bookmarkEnd w:id="563"/>
    <w:bookmarkStart w:id="564" w:name="retractions-and-revisions"/>
    <w:p>
      <w:pPr>
        <w:pStyle w:val="Heading2"/>
      </w:pPr>
      <w:r>
        <w:rPr>
          <w:rStyle w:val="SectionNumber"/>
        </w:rPr>
        <w:t xml:space="preserve">14.4</w:t>
      </w:r>
      <w:r>
        <w:tab/>
      </w:r>
      <w:r>
        <w:t xml:space="preserve">Retractions and revisions</w:t>
      </w:r>
    </w:p>
    <w:bookmarkEnd w:id="564"/>
    <w:bookmarkEnd w:id="565"/>
    <w:bookmarkStart w:id="568" w:name="wrapping-it-up-1"/>
    <w:p>
      <w:pPr>
        <w:pStyle w:val="Heading1"/>
      </w:pPr>
      <w:r>
        <w:rPr>
          <w:rStyle w:val="SectionNumber"/>
        </w:rPr>
        <w:t xml:space="preserve">15</w:t>
      </w:r>
      <w:r>
        <w:tab/>
      </w:r>
      <w:r>
        <w:t xml:space="preserve">Wrapping It Up</w:t>
      </w:r>
    </w:p>
    <w:bookmarkStart w:id="566" w:name="connecting-practices-to-outcomes"/>
    <w:p>
      <w:pPr>
        <w:pStyle w:val="Heading2"/>
      </w:pPr>
      <w:r>
        <w:rPr>
          <w:rStyle w:val="SectionNumber"/>
        </w:rPr>
        <w:t xml:space="preserve">15.1</w:t>
      </w:r>
      <w:r>
        <w:tab/>
      </w:r>
      <w:r>
        <w:t xml:space="preserve">Connecting practices to outcomes</w:t>
      </w:r>
    </w:p>
    <w:bookmarkEnd w:id="566"/>
    <w:bookmarkStart w:id="567" w:name="putting-in-the-work"/>
    <w:p>
      <w:pPr>
        <w:pStyle w:val="Heading2"/>
      </w:pPr>
      <w:r>
        <w:rPr>
          <w:rStyle w:val="SectionNumber"/>
        </w:rPr>
        <w:t xml:space="preserve">15.2</w:t>
      </w:r>
      <w:r>
        <w:tab/>
      </w:r>
      <w:r>
        <w:t xml:space="preserve">Putting in the work</w:t>
      </w:r>
    </w:p>
    <w:bookmarkEnd w:id="567"/>
    <w:bookmarkEnd w:id="568"/>
    <w:bookmarkStart w:id="703" w:name="call-to-action"/>
    <w:p>
      <w:pPr>
        <w:pStyle w:val="Heading1"/>
      </w:pPr>
      <w:r>
        <w:rPr>
          <w:rStyle w:val="SectionNumber"/>
        </w:rPr>
        <w:t xml:space="preserve">16</w:t>
      </w:r>
      <w:r>
        <w:tab/>
      </w:r>
      <w:r>
        <w:t xml:space="preserve">Call to Action</w:t>
      </w:r>
    </w:p>
    <w:bookmarkStart w:id="569" w:name="last-thoughts"/>
    <w:p>
      <w:pPr>
        <w:pStyle w:val="Heading2"/>
      </w:pPr>
      <w:r>
        <w:rPr>
          <w:rStyle w:val="SectionNumber"/>
        </w:rPr>
        <w:t xml:space="preserve">16.1</w:t>
      </w:r>
      <w:r>
        <w:tab/>
      </w:r>
      <w:r>
        <w:t xml:space="preserve">Last thoughts</w:t>
      </w:r>
    </w:p>
    <w:bookmarkEnd w:id="569"/>
    <w:bookmarkStart w:id="570" w:name="training-for-future-researchers"/>
    <w:p>
      <w:pPr>
        <w:pStyle w:val="Heading2"/>
      </w:pPr>
      <w:r>
        <w:rPr>
          <w:rStyle w:val="SectionNumber"/>
        </w:rPr>
        <w:t xml:space="preserve">16.2</w:t>
      </w:r>
      <w:r>
        <w:tab/>
      </w:r>
      <w:r>
        <w:t xml:space="preserve">Training for future researchers</w:t>
      </w:r>
    </w:p>
    <w:bookmarkEnd w:id="570"/>
    <w:bookmarkStart w:id="702" w:name="X77f9e2dc88081311896fe5c0fa48604f4a8018c"/>
    <w:p>
      <w:pPr>
        <w:pStyle w:val="Heading2"/>
      </w:pPr>
      <w:r>
        <w:rPr>
          <w:rStyle w:val="SectionNumber"/>
        </w:rPr>
        <w:t xml:space="preserve">16.3</w:t>
      </w:r>
      <w:r>
        <w:tab/>
      </w:r>
      <w:r>
        <w:t xml:space="preserve">Investing in data management and data managers</w:t>
      </w:r>
    </w:p>
    <w:bookmarkStart w:id="701" w:name="refs"/>
    <w:bookmarkStart w:id="571"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bookmarkEnd w:id="571"/>
    <w:bookmarkStart w:id="572"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05">
        <w:r>
          <w:rPr>
            <w:rStyle w:val="Hyperlink"/>
          </w:rPr>
          <w:t xml:space="preserve">https://ddialliance.org/controlled-vocabularies</w:t>
        </w:r>
      </w:hyperlink>
      <w:r>
        <w:t xml:space="preserve">.</w:t>
      </w:r>
    </w:p>
    <w:bookmarkEnd w:id="572"/>
    <w:bookmarkStart w:id="573"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14">
        <w:r>
          <w:rPr>
            <w:rStyle w:val="Hyperlink"/>
          </w:rPr>
          <w:t xml:space="preserve">https://ddialliance.org/resources/ddi-profiles/dc</w:t>
        </w:r>
      </w:hyperlink>
      <w:r>
        <w:t xml:space="preserve">.</w:t>
      </w:r>
    </w:p>
    <w:bookmarkEnd w:id="573"/>
    <w:bookmarkStart w:id="574"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bookmarkEnd w:id="574"/>
    <w:bookmarkStart w:id="575"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48">
        <w:r>
          <w:rPr>
            <w:rStyle w:val="Hyperlink"/>
          </w:rPr>
          <w:t xml:space="preserve">https://osf.io/mdh87/</w:t>
        </w:r>
      </w:hyperlink>
      <w:r>
        <w:t xml:space="preserve">.</w:t>
      </w:r>
    </w:p>
    <w:bookmarkEnd w:id="575"/>
    <w:bookmarkStart w:id="576"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01">
        <w:r>
          <w:rPr>
            <w:rStyle w:val="Hyperlink"/>
          </w:rPr>
          <w:t xml:space="preserve">https://doi.org/10.31234/osf.io/5qc6h</w:t>
        </w:r>
      </w:hyperlink>
      <w:r>
        <w:t xml:space="preserve">.</w:t>
      </w:r>
    </w:p>
    <w:bookmarkEnd w:id="576"/>
    <w:bookmarkStart w:id="577"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577"/>
    <w:bookmarkStart w:id="578"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35">
        <w:r>
          <w:rPr>
            <w:rStyle w:val="Hyperlink"/>
          </w:rPr>
          <w:t xml:space="preserve">https://docs.google.com/document/d/1LqGdtHg0dMbj9lsCnC1QOoWzIsnSNRTSek6i3Kls2Ik/edit?usp=embed_facebook</w:t>
        </w:r>
      </w:hyperlink>
      <w:r>
        <w:t xml:space="preserve">.</w:t>
      </w:r>
    </w:p>
    <w:bookmarkEnd w:id="578"/>
    <w:bookmarkStart w:id="579"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79">
        <w:r>
          <w:rPr>
            <w:rStyle w:val="Hyperlink"/>
          </w:rPr>
          <w:t xml:space="preserve">http://orrp.osu.edu/files/2011/10/GuidelinesforWritingaResearchProtocol.pdf</w:t>
        </w:r>
      </w:hyperlink>
      <w:r>
        <w:t xml:space="preserve">.</w:t>
      </w:r>
    </w:p>
    <w:bookmarkEnd w:id="579"/>
    <w:bookmarkStart w:id="580"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04">
        <w:r>
          <w:rPr>
            <w:rStyle w:val="Hyperlink"/>
          </w:rPr>
          <w:t xml:space="preserve">https://pitt.libguides.com/metadatadiscovery/metadata-standards</w:t>
        </w:r>
      </w:hyperlink>
      <w:r>
        <w:t xml:space="preserve">.</w:t>
      </w:r>
    </w:p>
    <w:bookmarkEnd w:id="580"/>
    <w:bookmarkStart w:id="581"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581"/>
    <w:bookmarkStart w:id="582"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582"/>
    <w:bookmarkStart w:id="583"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583"/>
    <w:bookmarkStart w:id="584"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5">
        <w:r>
          <w:rPr>
            <w:rStyle w:val="Hyperlink"/>
          </w:rPr>
          <w:t xml:space="preserve">https://doi.org/10.5334/dsj-2021-009</w:t>
        </w:r>
      </w:hyperlink>
      <w:r>
        <w:t xml:space="preserve">.</w:t>
      </w:r>
    </w:p>
    <w:bookmarkEnd w:id="584"/>
    <w:bookmarkStart w:id="585"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585"/>
    <w:bookmarkStart w:id="586"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85">
        <w:r>
          <w:rPr>
            <w:rStyle w:val="Hyperlink"/>
          </w:rPr>
          <w:t xml:space="preserve">https://doi.org/10.3897/rio.6.e56508</w:t>
        </w:r>
      </w:hyperlink>
      <w:r>
        <w:t xml:space="preserve">.</w:t>
      </w:r>
    </w:p>
    <w:bookmarkEnd w:id="586"/>
    <w:bookmarkStart w:id="587"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w:t>
      </w:r>
    </w:p>
    <w:bookmarkEnd w:id="587"/>
    <w:bookmarkStart w:id="589"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88">
        <w:r>
          <w:rPr>
            <w:rStyle w:val="Hyperlink"/>
          </w:rPr>
          <w:t xml:space="preserve">https://doi.org/10.1177/2515245920928007</w:t>
        </w:r>
      </w:hyperlink>
      <w:r>
        <w:t xml:space="preserve">.</w:t>
      </w:r>
    </w:p>
    <w:bookmarkEnd w:id="589"/>
    <w:bookmarkStart w:id="590"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590"/>
    <w:bookmarkStart w:id="591"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1">
        <w:r>
          <w:rPr>
            <w:rStyle w:val="Hyperlink"/>
          </w:rPr>
          <w:t xml:space="preserve">https://doi.org/10.1093/ije/dyaa087</w:t>
        </w:r>
      </w:hyperlink>
      <w:r>
        <w:t xml:space="preserve">.</w:t>
      </w:r>
    </w:p>
    <w:bookmarkEnd w:id="591"/>
    <w:bookmarkStart w:id="592"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592"/>
    <w:bookmarkStart w:id="593"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593"/>
    <w:bookmarkStart w:id="594"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59">
        <w:r>
          <w:rPr>
            <w:rStyle w:val="Hyperlink"/>
          </w:rPr>
          <w:t xml:space="preserve">https://dmeg.cessda.eu/Data-Management-Expert-Guide/3.-Process/Data-authenticity</w:t>
        </w:r>
      </w:hyperlink>
      <w:r>
        <w:t xml:space="preserve">.</w:t>
      </w:r>
    </w:p>
    <w:bookmarkEnd w:id="594"/>
    <w:bookmarkStart w:id="595"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71">
        <w:r>
          <w:rPr>
            <w:rStyle w:val="Hyperlink"/>
          </w:rPr>
          <w:t xml:space="preserve">https://dmeg.cessda.eu/Data-Management-Expert-Guide/2.-Organise-Document/Documentation-and-metadata</w:t>
        </w:r>
      </w:hyperlink>
      <w:r>
        <w:t xml:space="preserve">.</w:t>
      </w:r>
    </w:p>
    <w:bookmarkEnd w:id="595"/>
    <w:bookmarkStart w:id="596"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596"/>
    <w:bookmarkStart w:id="597"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71">
        <w:r>
          <w:rPr>
            <w:rStyle w:val="Hyperlink"/>
          </w:rPr>
          <w:t xml:space="preserve">https://ictrweb.johnshopkins.edu/ictr/dmig/Best_Practice/home.html?v=65849</w:t>
        </w:r>
      </w:hyperlink>
      <w:r>
        <w:t xml:space="preserve">.</w:t>
      </w:r>
    </w:p>
    <w:bookmarkEnd w:id="597"/>
    <w:bookmarkStart w:id="598"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38">
        <w:r>
          <w:rPr>
            <w:rStyle w:val="Hyperlink"/>
          </w:rPr>
          <w:t xml:space="preserve">https://ictrweb.johnshopkins.edu/ictr/dmig/Best_Practice/a8376318-ebd6-421f-be63-acf8c88376a1_6342a1c3-1a5d-4287-a46e-374824e3780e.html?v=65849&amp;ip=hpdkvlttuiyioooqhw</w:t>
        </w:r>
      </w:hyperlink>
      <w:r>
        <w:t xml:space="preserve">.</w:t>
      </w:r>
    </w:p>
    <w:bookmarkEnd w:id="598"/>
    <w:bookmarkStart w:id="599"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79">
        <w:r>
          <w:rPr>
            <w:rStyle w:val="Hyperlink"/>
          </w:rPr>
          <w:t xml:space="preserve">https://guides.lib.utexas.edu/metadata-basics/key-concepts</w:t>
        </w:r>
      </w:hyperlink>
      <w:r>
        <w:t xml:space="preserve">.</w:t>
      </w:r>
    </w:p>
    <w:bookmarkEnd w:id="599"/>
    <w:bookmarkStart w:id="600"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89">
        <w:r>
          <w:rPr>
            <w:rStyle w:val="Hyperlink"/>
          </w:rPr>
          <w:t xml:space="preserve">https://www.consort-statement.org/consort-statement/flow-diagram</w:t>
        </w:r>
      </w:hyperlink>
      <w:r>
        <w:t xml:space="preserve">.</w:t>
      </w:r>
    </w:p>
    <w:bookmarkEnd w:id="600"/>
    <w:bookmarkStart w:id="601"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w:t>
      </w:r>
    </w:p>
    <w:bookmarkEnd w:id="601"/>
    <w:bookmarkStart w:id="602"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8">
        <w:r>
          <w:rPr>
            <w:rStyle w:val="Hyperlink"/>
          </w:rPr>
          <w:t xml:space="preserve">https://dataoneorg.github.io/Education/bestpractices/provide-budget-information</w:t>
        </w:r>
      </w:hyperlink>
      <w:r>
        <w:t xml:space="preserve">.</w:t>
      </w:r>
    </w:p>
    <w:bookmarkEnd w:id="602"/>
    <w:bookmarkStart w:id="603"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486">
        <w:r>
          <w:rPr>
            <w:rStyle w:val="Hyperlink"/>
          </w:rPr>
          <w:t xml:space="preserve">https://guides.lib.uci.edu/datamanagement/describe</w:t>
        </w:r>
      </w:hyperlink>
      <w:r>
        <w:t xml:space="preserve">.</w:t>
      </w:r>
    </w:p>
    <w:bookmarkEnd w:id="603"/>
    <w:bookmarkStart w:id="604"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8">
        <w:r>
          <w:rPr>
            <w:rStyle w:val="Hyperlink"/>
          </w:rPr>
          <w:t xml:space="preserve">https://library.csp.edu/Zotero/workflow</w:t>
        </w:r>
      </w:hyperlink>
      <w:r>
        <w:t xml:space="preserve">.</w:t>
      </w:r>
    </w:p>
    <w:bookmarkEnd w:id="604"/>
    <w:bookmarkStart w:id="605"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bookmarkEnd w:id="605"/>
    <w:bookmarkStart w:id="606"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09">
        <w:r>
          <w:rPr>
            <w:rStyle w:val="Hyperlink"/>
          </w:rPr>
          <w:t xml:space="preserve">https://dmptool.org/public_templates?page=1&amp;search=&amp;sort_direction=asc&amp;sort_field=templates.title</w:t>
        </w:r>
      </w:hyperlink>
      <w:r>
        <w:t xml:space="preserve">.</w:t>
      </w:r>
    </w:p>
    <w:bookmarkEnd w:id="606"/>
    <w:bookmarkStart w:id="607"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607"/>
    <w:bookmarkStart w:id="608"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0">
        <w:r>
          <w:rPr>
            <w:rStyle w:val="Hyperlink"/>
          </w:rPr>
          <w:t xml:space="preserve">https://www.povertyactionlab.org/sites/default/files/research-resources/rr_grantprop_Template_Gantt_Chart.pdf</w:t>
        </w:r>
      </w:hyperlink>
      <w:r>
        <w:t xml:space="preserve">.</w:t>
      </w:r>
    </w:p>
    <w:bookmarkEnd w:id="608"/>
    <w:bookmarkStart w:id="609"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bookmarkEnd w:id="609"/>
    <w:bookmarkStart w:id="610"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0">
        <w:r>
          <w:rPr>
            <w:rStyle w:val="Hyperlink"/>
          </w:rPr>
          <w:t xml:space="preserve">https://ies.ed.gov/funding/datasharing_implementation.asp</w:t>
        </w:r>
      </w:hyperlink>
      <w:r>
        <w:t xml:space="preserve">.</w:t>
      </w:r>
    </w:p>
    <w:bookmarkEnd w:id="610"/>
    <w:bookmarkStart w:id="611"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bookmarkEnd w:id="611"/>
    <w:bookmarkStart w:id="612"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7">
        <w:r>
          <w:rPr>
            <w:rStyle w:val="Hyperlink"/>
          </w:rPr>
          <w:t xml:space="preserve">https://ies.ed.gov/funding/23rfas.asp</w:t>
        </w:r>
      </w:hyperlink>
      <w:r>
        <w:t xml:space="preserve">.</w:t>
      </w:r>
    </w:p>
    <w:bookmarkEnd w:id="612"/>
    <w:bookmarkStart w:id="613"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0">
        <w:r>
          <w:rPr>
            <w:rStyle w:val="Hyperlink"/>
          </w:rPr>
          <w:t xml:space="preserve">https://uploads.strikinglycdn.com/files/f3dfcf89-32f2-48cb-94cd-3070f733c53d/RAISE%20Lab%20Guidelines_Final.pdf</w:t>
        </w:r>
      </w:hyperlink>
      <w:r>
        <w:t xml:space="preserve">.</w:t>
      </w:r>
    </w:p>
    <w:bookmarkEnd w:id="613"/>
    <w:bookmarkStart w:id="614"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bookmarkEnd w:id="614"/>
    <w:bookmarkStart w:id="615"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38">
        <w:r>
          <w:rPr>
            <w:rStyle w:val="Hyperlink"/>
          </w:rPr>
          <w:t xml:space="preserve">https://thefaylab.github.io/lab-manual/</w:t>
        </w:r>
      </w:hyperlink>
      <w:r>
        <w:t xml:space="preserve">.</w:t>
      </w:r>
    </w:p>
    <w:bookmarkEnd w:id="615"/>
    <w:bookmarkStart w:id="616" w:name="ref-noauthor_figshare_nodate"/>
    <w:p>
      <w:pPr>
        <w:pStyle w:val="Bibliography"/>
      </w:pPr>
      <w:r>
        <w:t xml:space="preserve">“Figshare - Credit for All Your Research. Figshare.”</w:t>
      </w:r>
      <w:r>
        <w:t xml:space="preserve"> </w:t>
      </w:r>
      <w:r>
        <w:t xml:space="preserve">Accessed January 18, 2023.</w:t>
      </w:r>
      <w:r>
        <w:t xml:space="preserve"> </w:t>
      </w:r>
      <w:hyperlink r:id="rId481">
        <w:r>
          <w:rPr>
            <w:rStyle w:val="Hyperlink"/>
          </w:rPr>
          <w:t xml:space="preserve">https://figshare.com/</w:t>
        </w:r>
      </w:hyperlink>
      <w:r>
        <w:t xml:space="preserve">.</w:t>
      </w:r>
    </w:p>
    <w:bookmarkEnd w:id="616"/>
    <w:bookmarkStart w:id="617"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bookmarkEnd w:id="617"/>
    <w:bookmarkStart w:id="618"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5">
        <w:r>
          <w:rPr>
            <w:rStyle w:val="Hyperlink"/>
          </w:rPr>
          <w:t xml:space="preserve">https://www.nsf.gov/bfa/dias/policy/dmpdocs/ehr.pdf</w:t>
        </w:r>
      </w:hyperlink>
      <w:r>
        <w:t xml:space="preserve">.</w:t>
      </w:r>
    </w:p>
    <w:bookmarkEnd w:id="618"/>
    <w:bookmarkStart w:id="619"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93">
        <w:r>
          <w:rPr>
            <w:rStyle w:val="Hyperlink"/>
          </w:rPr>
          <w:t xml:space="preserve">https://web.stanford.edu/~gentzkow/research/CodeAndData.pdf</w:t>
        </w:r>
      </w:hyperlink>
      <w:r>
        <w:t xml:space="preserve">.</w:t>
      </w:r>
    </w:p>
    <w:bookmarkEnd w:id="619"/>
    <w:bookmarkStart w:id="620"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57">
        <w:r>
          <w:rPr>
            <w:rStyle w:val="Hyperlink"/>
          </w:rPr>
          <w:t xml:space="preserve">https://www.povertyactionlab.org/resource/formalize-research-partnership-and-establish-roles-and-expectations</w:t>
        </w:r>
      </w:hyperlink>
      <w:r>
        <w:t xml:space="preserve">.</w:t>
      </w:r>
    </w:p>
    <w:bookmarkEnd w:id="620"/>
    <w:bookmarkStart w:id="621"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w:t>
      </w:r>
    </w:p>
    <w:bookmarkEnd w:id="621"/>
    <w:bookmarkStart w:id="622"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bookmarkEnd w:id="622"/>
    <w:bookmarkStart w:id="623"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89">
        <w:r>
          <w:rPr>
            <w:rStyle w:val="Hyperlink"/>
          </w:rPr>
          <w:t xml:space="preserve">https://doi.org/10.5278/16k4-4n24</w:t>
        </w:r>
      </w:hyperlink>
      <w:r>
        <w:t xml:space="preserve">.</w:t>
      </w:r>
    </w:p>
    <w:bookmarkEnd w:id="623"/>
    <w:bookmarkStart w:id="624"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1">
        <w:r>
          <w:rPr>
            <w:rStyle w:val="Hyperlink"/>
          </w:rPr>
          <w:t xml:space="preserve">https://doi.org/10.6084/m9.figshare.13218743.v1</w:t>
        </w:r>
      </w:hyperlink>
      <w:r>
        <w:t xml:space="preserve">.</w:t>
      </w:r>
    </w:p>
    <w:bookmarkEnd w:id="624"/>
    <w:bookmarkStart w:id="625"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0">
        <w:r>
          <w:rPr>
            <w:rStyle w:val="Hyperlink"/>
          </w:rPr>
          <w:t xml:space="preserve">https://sharing.nih.gov/data-management-and-sharing-policy/planning-and-budgeting-for-data-management-and-sharing/budgeting-for-data-management-sharing#after</w:t>
        </w:r>
      </w:hyperlink>
      <w:r>
        <w:t xml:space="preserve">.</w:t>
      </w:r>
    </w:p>
    <w:bookmarkEnd w:id="625"/>
    <w:bookmarkStart w:id="626"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bookmarkEnd w:id="626"/>
    <w:bookmarkStart w:id="627"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bookmarkEnd w:id="627"/>
    <w:bookmarkStart w:id="628"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628"/>
    <w:bookmarkStart w:id="629"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629"/>
    <w:bookmarkStart w:id="630"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56">
        <w:r>
          <w:rPr>
            <w:rStyle w:val="Hyperlink"/>
          </w:rPr>
          <w:t xml:space="preserve">https://www.icpsr.umich.edu/files/deposit/Guide-to-Codebooks_v1.pdf</w:t>
        </w:r>
      </w:hyperlink>
      <w:r>
        <w:t xml:space="preserve">.</w:t>
      </w:r>
    </w:p>
    <w:bookmarkEnd w:id="630"/>
    <w:bookmarkStart w:id="631"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198">
        <w:r>
          <w:rPr>
            <w:rStyle w:val="Hyperlink"/>
          </w:rPr>
          <w:t xml:space="preserve">https://www.icpsr.umich.edu/web/pages/deposit/guide/</w:t>
        </w:r>
      </w:hyperlink>
      <w:r>
        <w:t xml:space="preserve">.</w:t>
      </w:r>
    </w:p>
    <w:bookmarkEnd w:id="631"/>
    <w:bookmarkStart w:id="632"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492">
        <w:r>
          <w:rPr>
            <w:rStyle w:val="Hyperlink"/>
          </w:rPr>
          <w:t xml:space="preserve">https://www.icpsr.umich.edu/web/pages/datamanagement/lifecycle/metadata.html</w:t>
        </w:r>
      </w:hyperlink>
      <w:r>
        <w:t xml:space="preserve">.</w:t>
      </w:r>
    </w:p>
    <w:bookmarkEnd w:id="632"/>
    <w:bookmarkStart w:id="633"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77">
        <w:r>
          <w:rPr>
            <w:rStyle w:val="Hyperlink"/>
          </w:rPr>
          <w:t xml:space="preserve">https://www.lib.uiowa.edu/</w:t>
        </w:r>
      </w:hyperlink>
      <w:r>
        <w:t xml:space="preserve">.</w:t>
      </w:r>
    </w:p>
    <w:bookmarkEnd w:id="633"/>
    <w:bookmarkStart w:id="634"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10">
        <w:r>
          <w:rPr>
            <w:rStyle w:val="Hyperlink"/>
          </w:rPr>
          <w:t xml:space="preserve">https://www.uts.edu.au/sites/default/files/2020-07/5.5.5%20Allocation%20of%20Participant%20ID%20Numbers%20V2.5_20200520.pdf</w:t>
        </w:r>
      </w:hyperlink>
      <w:r>
        <w:t xml:space="preserve">.</w:t>
      </w:r>
    </w:p>
    <w:bookmarkEnd w:id="634"/>
    <w:bookmarkStart w:id="635"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3">
        <w:r>
          <w:rPr>
            <w:rStyle w:val="Hyperlink"/>
          </w:rPr>
          <w:t xml:space="preserve">https://nij.ojp.gov/funding/data-archiving</w:t>
        </w:r>
      </w:hyperlink>
      <w:r>
        <w:t xml:space="preserve">.</w:t>
      </w:r>
    </w:p>
    <w:bookmarkEnd w:id="635"/>
    <w:bookmarkStart w:id="636"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636"/>
    <w:bookmarkStart w:id="637"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637"/>
    <w:bookmarkStart w:id="638"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491">
        <w:r>
          <w:rPr>
            <w:rStyle w:val="Hyperlink"/>
          </w:rPr>
          <w:t xml:space="preserve">https://www.ldbase.org/resources/user-guide/information-to-gather</w:t>
        </w:r>
      </w:hyperlink>
      <w:r>
        <w:t xml:space="preserve">.</w:t>
      </w:r>
    </w:p>
    <w:bookmarkEnd w:id="638"/>
    <w:bookmarkStart w:id="639"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65">
        <w:r>
          <w:rPr>
            <w:rStyle w:val="Hyperlink"/>
          </w:rPr>
          <w:t xml:space="preserve">https://github.com/Cghlewis/codebook-pkg-comparison</w:t>
        </w:r>
      </w:hyperlink>
      <w:r>
        <w:t xml:space="preserve">.</w:t>
      </w:r>
    </w:p>
    <w:bookmarkEnd w:id="639"/>
    <w:bookmarkStart w:id="640" w:name="ref-lewis_data_nodate-3"/>
    <w:p>
      <w:pPr>
        <w:pStyle w:val="Bibliography"/>
      </w:pPr>
      <w:r>
        <w:t xml:space="preserve">———.</w:t>
      </w:r>
      <w:r>
        <w:t xml:space="preserve"> </w:t>
      </w:r>
      <w:r>
        <w:t xml:space="preserve">“Data Capture Checklist.”</w:t>
      </w:r>
      <w:r>
        <w:t xml:space="preserve"> </w:t>
      </w:r>
      <w:r>
        <w:t xml:space="preserve">Accessed November 2, 2022.</w:t>
      </w:r>
      <w:r>
        <w:t xml:space="preserve"> </w:t>
      </w:r>
      <w:hyperlink r:id="rId252">
        <w:r>
          <w:rPr>
            <w:rStyle w:val="Hyperlink"/>
          </w:rPr>
          <w:t xml:space="preserve">https://cghlewis.github.io/mpsi-data-training/capture.html</w:t>
        </w:r>
      </w:hyperlink>
      <w:r>
        <w:t xml:space="preserve">.</w:t>
      </w:r>
    </w:p>
    <w:bookmarkEnd w:id="640"/>
    <w:bookmarkStart w:id="641"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56">
        <w:r>
          <w:rPr>
            <w:rStyle w:val="Hyperlink"/>
          </w:rPr>
          <w:t xml:space="preserve">https://cghlewis.github.io/mpsi-data-training/clean.html</w:t>
        </w:r>
      </w:hyperlink>
      <w:r>
        <w:t xml:space="preserve">.</w:t>
      </w:r>
    </w:p>
    <w:bookmarkEnd w:id="641"/>
    <w:bookmarkStart w:id="642"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48">
        <w:r>
          <w:rPr>
            <w:rStyle w:val="Hyperlink"/>
          </w:rPr>
          <w:t xml:space="preserve">https://cghlewis.github.io/mpsi-data-training/collection.html</w:t>
        </w:r>
      </w:hyperlink>
      <w:r>
        <w:t xml:space="preserve">.</w:t>
      </w:r>
    </w:p>
    <w:bookmarkEnd w:id="642"/>
    <w:bookmarkStart w:id="643"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58">
        <w:r>
          <w:rPr>
            <w:rStyle w:val="Hyperlink"/>
          </w:rPr>
          <w:t xml:space="preserve">https://cghlewis.github.io/mpsi-data-training/share.html</w:t>
        </w:r>
      </w:hyperlink>
      <w:r>
        <w:t xml:space="preserve">.</w:t>
      </w:r>
    </w:p>
    <w:bookmarkEnd w:id="643"/>
    <w:bookmarkStart w:id="644"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54">
        <w:r>
          <w:rPr>
            <w:rStyle w:val="Hyperlink"/>
          </w:rPr>
          <w:t xml:space="preserve">https://cghlewis.github.io/mpsi-data-training/storage.html</w:t>
        </w:r>
      </w:hyperlink>
      <w:r>
        <w:t xml:space="preserve">.</w:t>
      </w:r>
    </w:p>
    <w:bookmarkEnd w:id="644"/>
    <w:bookmarkStart w:id="645"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50">
        <w:r>
          <w:rPr>
            <w:rStyle w:val="Hyperlink"/>
          </w:rPr>
          <w:t xml:space="preserve">https://cghlewis.github.io/mpsi-data-training/tracking.html</w:t>
        </w:r>
      </w:hyperlink>
      <w:r>
        <w:t xml:space="preserve">.</w:t>
      </w:r>
    </w:p>
    <w:bookmarkEnd w:id="645"/>
    <w:bookmarkStart w:id="646"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46">
        <w:r>
          <w:rPr>
            <w:rStyle w:val="Hyperlink"/>
          </w:rPr>
          <w:t xml:space="preserve">https://cghlewis.github.io/mpsi-data-training/document.html</w:t>
        </w:r>
      </w:hyperlink>
      <w:r>
        <w:t xml:space="preserve">.</w:t>
      </w:r>
    </w:p>
    <w:bookmarkEnd w:id="646"/>
    <w:bookmarkStart w:id="647"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42">
        <w:r>
          <w:rPr>
            <w:rStyle w:val="Hyperlink"/>
          </w:rPr>
          <w:t xml:space="preserve">https://cghlewis.github.io/mpsi-data-training/randr.html</w:t>
        </w:r>
      </w:hyperlink>
      <w:r>
        <w:t xml:space="preserve">.</w:t>
      </w:r>
    </w:p>
    <w:bookmarkEnd w:id="647"/>
    <w:bookmarkStart w:id="648"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44">
        <w:r>
          <w:rPr>
            <w:rStyle w:val="Hyperlink"/>
          </w:rPr>
          <w:t xml:space="preserve">https://cghlewis.github.io/mpsi-data-training/taskmgmt.html</w:t>
        </w:r>
      </w:hyperlink>
      <w:r>
        <w:t xml:space="preserve">.</w:t>
      </w:r>
    </w:p>
    <w:bookmarkEnd w:id="648"/>
    <w:bookmarkStart w:id="649"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34">
        <w:r>
          <w:rPr>
            <w:rStyle w:val="Hyperlink"/>
          </w:rPr>
          <w:t xml:space="preserve">https://cghlewis.com/blog/data_dictionary/</w:t>
        </w:r>
      </w:hyperlink>
      <w:r>
        <w:t xml:space="preserve">.</w:t>
      </w:r>
    </w:p>
    <w:bookmarkEnd w:id="649"/>
    <w:bookmarkStart w:id="650" w:name="ref-lamar_soutter_library_necdmc_nodate"/>
    <w:p>
      <w:pPr>
        <w:pStyle w:val="Bibliography"/>
      </w:pPr>
      <w:r>
        <w:t xml:space="preserve">Library, Lamar Soutter.</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23">
        <w:r>
          <w:rPr>
            <w:rStyle w:val="Hyperlink"/>
          </w:rPr>
          <w:t xml:space="preserve">https://library.umassmed.edu/resources/necdmc/modules</w:t>
        </w:r>
      </w:hyperlink>
      <w:r>
        <w:t xml:space="preserve">.</w:t>
      </w:r>
    </w:p>
    <w:bookmarkEnd w:id="650"/>
    <w:bookmarkStart w:id="651"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18">
        <w:r>
          <w:rPr>
            <w:rStyle w:val="Hyperlink"/>
          </w:rPr>
          <w:t xml:space="preserve">https://library.weill.cornell.edu/research-support/research-data-management-retention-and-sharing</w:t>
        </w:r>
      </w:hyperlink>
      <w:r>
        <w:t xml:space="preserve">.</w:t>
      </w:r>
    </w:p>
    <w:bookmarkEnd w:id="651"/>
    <w:bookmarkStart w:id="652"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36">
        <w:r>
          <w:rPr>
            <w:rStyle w:val="Hyperlink"/>
          </w:rPr>
          <w:t xml:space="preserve">https://library.ucmerced.edu/data-dictionaries</w:t>
        </w:r>
      </w:hyperlink>
      <w:r>
        <w:t xml:space="preserve">.</w:t>
      </w:r>
    </w:p>
    <w:bookmarkEnd w:id="652"/>
    <w:bookmarkStart w:id="653"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495">
        <w:r>
          <w:rPr>
            <w:rStyle w:val="Hyperlink"/>
          </w:rPr>
          <w:t xml:space="preserve">https://doi.org/10.3886/E121381V1</w:t>
        </w:r>
      </w:hyperlink>
      <w:r>
        <w:t xml:space="preserve">.</w:t>
      </w:r>
    </w:p>
    <w:bookmarkEnd w:id="653"/>
    <w:bookmarkStart w:id="654"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75">
        <w:r>
          <w:rPr>
            <w:rStyle w:val="Hyperlink"/>
          </w:rPr>
          <w:t xml:space="preserve">https://doi.org/10.1177/23328584211006475</w:t>
        </w:r>
      </w:hyperlink>
      <w:r>
        <w:t xml:space="preserve">.</w:t>
      </w:r>
    </w:p>
    <w:bookmarkEnd w:id="654"/>
    <w:bookmarkStart w:id="655"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bookmarkEnd w:id="655"/>
    <w:bookmarkStart w:id="656"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42">
        <w:r>
          <w:rPr>
            <w:rStyle w:val="Hyperlink"/>
          </w:rPr>
          <w:t xml:space="preserve">https://www.rsb.org.uk/images/biologist/2020/Apr_May_2020_67-2/67.2_Handbook.pdf</w:t>
        </w:r>
      </w:hyperlink>
      <w:r>
        <w:t xml:space="preserve">.</w:t>
      </w:r>
    </w:p>
    <w:bookmarkEnd w:id="656"/>
    <w:bookmarkStart w:id="657"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3">
        <w:r>
          <w:rPr>
            <w:rStyle w:val="Hyperlink"/>
          </w:rPr>
          <w:t xml:space="preserve">https://www.rsb.org.uk//biologist-features/how-to-write-a-lab-handbook</w:t>
        </w:r>
      </w:hyperlink>
      <w:r>
        <w:t xml:space="preserve">.</w:t>
      </w:r>
    </w:p>
    <w:bookmarkEnd w:id="657"/>
    <w:bookmarkStart w:id="658"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43">
        <w:r>
          <w:rPr>
            <w:rStyle w:val="Hyperlink"/>
          </w:rPr>
          <w:t xml:space="preserve">http://websites.umich.edu/~pals/PALS%202000_V13Word97.pdf</w:t>
        </w:r>
      </w:hyperlink>
      <w:r>
        <w:t xml:space="preserve">.</w:t>
      </w:r>
    </w:p>
    <w:bookmarkEnd w:id="658"/>
    <w:bookmarkStart w:id="659"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16">
        <w:r>
          <w:rPr>
            <w:rStyle w:val="Hyperlink"/>
          </w:rPr>
          <w:t xml:space="preserve">https://libguides.mines.edu/ld.php?content_id=49061255</w:t>
        </w:r>
      </w:hyperlink>
      <w:r>
        <w:t xml:space="preserve">.</w:t>
      </w:r>
    </w:p>
    <w:bookmarkEnd w:id="659"/>
    <w:bookmarkStart w:id="660"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3">
        <w:r>
          <w:rPr>
            <w:rStyle w:val="Hyperlink"/>
          </w:rPr>
          <w:t xml:space="preserve">https://www.lib.umn.edu/services/data/dmp-examples</w:t>
        </w:r>
      </w:hyperlink>
      <w:r>
        <w:t xml:space="preserve">.</w:t>
      </w:r>
    </w:p>
    <w:bookmarkEnd w:id="660"/>
    <w:bookmarkStart w:id="661"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81">
        <w:r>
          <w:rPr>
            <w:rStyle w:val="Hyperlink"/>
          </w:rPr>
          <w:t xml:space="preserve">https://research.missouri.edu/human-subjects-research/researcher-resources</w:t>
        </w:r>
      </w:hyperlink>
      <w:r>
        <w:t xml:space="preserve">.</w:t>
      </w:r>
    </w:p>
    <w:bookmarkEnd w:id="661"/>
    <w:bookmarkStart w:id="662"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662"/>
    <w:bookmarkStart w:id="663"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00">
        <w:r>
          <w:rPr>
            <w:rStyle w:val="Hyperlink"/>
          </w:rPr>
          <w:t xml:space="preserve">https://www.nucats.northwestern.edu/docs/cecd/overview-of-sops.pdf</w:t>
        </w:r>
      </w:hyperlink>
      <w:r>
        <w:t xml:space="preserve">.</w:t>
      </w:r>
    </w:p>
    <w:bookmarkEnd w:id="663"/>
    <w:bookmarkStart w:id="664"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08">
        <w:r>
          <w:rPr>
            <w:rStyle w:val="Hyperlink"/>
          </w:rPr>
          <w:t xml:space="preserve">https://www.nucats.northwestern.edu/docs/cecd/writing-sops-and-templates.pdf</w:t>
        </w:r>
      </w:hyperlink>
      <w:r>
        <w:t xml:space="preserve">.</w:t>
      </w:r>
    </w:p>
    <w:bookmarkEnd w:id="664"/>
    <w:bookmarkStart w:id="665"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bookmarkEnd w:id="665"/>
    <w:bookmarkStart w:id="666"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666"/>
    <w:bookmarkStart w:id="667"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bookmarkEnd w:id="667"/>
    <w:bookmarkStart w:id="668"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52">
        <w:r>
          <w:rPr>
            <w:rStyle w:val="Hyperlink"/>
          </w:rPr>
          <w:t xml:space="preserve">https://help.osf.io/article/217-how-to-make-a-data-dictionary</w:t>
        </w:r>
      </w:hyperlink>
      <w:r>
        <w:t xml:space="preserve">.</w:t>
      </w:r>
    </w:p>
    <w:bookmarkEnd w:id="668"/>
    <w:bookmarkStart w:id="669"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12">
        <w:r>
          <w:rPr>
            <w:rStyle w:val="Hyperlink"/>
          </w:rPr>
          <w:t xml:space="preserve">https://cghlewis.github.io/mpsi-data-training/img/sample_sop.pdf</w:t>
        </w:r>
      </w:hyperlink>
      <w:r>
        <w:t xml:space="preserve">.</w:t>
      </w:r>
    </w:p>
    <w:bookmarkEnd w:id="669"/>
    <w:bookmarkStart w:id="670"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2">
        <w:r>
          <w:rPr>
            <w:rStyle w:val="Hyperlink"/>
          </w:rPr>
          <w:t xml:space="preserve">https://doi.org/10.35542/osf.io/xqfwb</w:t>
        </w:r>
      </w:hyperlink>
      <w:r>
        <w:t xml:space="preserve">.</w:t>
      </w:r>
    </w:p>
    <w:bookmarkEnd w:id="670"/>
    <w:bookmarkStart w:id="671"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72">
        <w:r>
          <w:rPr>
            <w:rStyle w:val="Hyperlink"/>
          </w:rPr>
          <w:t xml:space="preserve">https://howtofair.dk/how-to-fair/metadata/</w:t>
        </w:r>
      </w:hyperlink>
      <w:r>
        <w:t xml:space="preserve">.</w:t>
      </w:r>
    </w:p>
    <w:bookmarkEnd w:id="671"/>
    <w:bookmarkStart w:id="672" w:name="ref-noauthor_retraction_nodate"/>
    <w:p>
      <w:pPr>
        <w:pStyle w:val="Bibliography"/>
      </w:pP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bookmarkEnd w:id="672"/>
    <w:bookmarkStart w:id="673"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673"/>
    <w:bookmarkStart w:id="674" w:name="ref-noauthor_schemaorg_nodate"/>
    <w:p>
      <w:pPr>
        <w:pStyle w:val="Bibliography"/>
      </w:pPr>
      <w:r>
        <w:t xml:space="preserve">“Schema.org - Schema.org.”</w:t>
      </w:r>
      <w:r>
        <w:t xml:space="preserve"> </w:t>
      </w:r>
      <w:r>
        <w:t xml:space="preserve">Accessed January 19, 2023.</w:t>
      </w:r>
      <w:r>
        <w:t xml:space="preserve"> </w:t>
      </w:r>
      <w:hyperlink r:id="rId508">
        <w:r>
          <w:rPr>
            <w:rStyle w:val="Hyperlink"/>
          </w:rPr>
          <w:t xml:space="preserve">https://www.schema.org/</w:t>
        </w:r>
      </w:hyperlink>
      <w:r>
        <w:t xml:space="preserve">.</w:t>
      </w:r>
    </w:p>
    <w:bookmarkEnd w:id="674"/>
    <w:bookmarkStart w:id="675"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675"/>
    <w:bookmarkStart w:id="676"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bookmarkEnd w:id="676"/>
    <w:bookmarkStart w:id="677"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6">
        <w:r>
          <w:rPr>
            <w:rStyle w:val="Hyperlink"/>
          </w:rPr>
          <w:t xml:space="preserve">https://ukdataservice.ac.uk/learning-hub/research-data-management/plan-to-share/costing/</w:t>
        </w:r>
      </w:hyperlink>
      <w:r>
        <w:t xml:space="preserve">.</w:t>
      </w:r>
    </w:p>
    <w:bookmarkEnd w:id="677"/>
    <w:bookmarkStart w:id="678"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22">
        <w:r>
          <w:rPr>
            <w:rStyle w:val="Hyperlink"/>
          </w:rPr>
          <w:t xml:space="preserve">https://ukdataservice.ac.uk//app/uploads/costingtool.pdf</w:t>
        </w:r>
      </w:hyperlink>
      <w:r>
        <w:t xml:space="preserve">.</w:t>
      </w:r>
    </w:p>
    <w:bookmarkEnd w:id="678"/>
    <w:bookmarkStart w:id="679"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74">
        <w:r>
          <w:rPr>
            <w:rStyle w:val="Hyperlink"/>
          </w:rPr>
          <w:t xml:space="preserve">https://ukdataservice.ac.uk/learning-hub/research-data-management/document-your-data/metadata/</w:t>
        </w:r>
      </w:hyperlink>
      <w:r>
        <w:t xml:space="preserve">.</w:t>
      </w:r>
    </w:p>
    <w:bookmarkEnd w:id="679"/>
    <w:bookmarkStart w:id="680"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16">
        <w:r>
          <w:rPr>
            <w:rStyle w:val="Hyperlink"/>
          </w:rPr>
          <w:t xml:space="preserve">https://ukdataservice.ac.uk/learning-hub/research-data-management/format-your-data/quality/</w:t>
        </w:r>
      </w:hyperlink>
      <w:r>
        <w:t xml:space="preserve">.</w:t>
      </w:r>
    </w:p>
    <w:bookmarkEnd w:id="680"/>
    <w:bookmarkStart w:id="681"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0">
        <w:r>
          <w:rPr>
            <w:rStyle w:val="Hyperlink"/>
          </w:rPr>
          <w:t xml:space="preserve">https://ukdataservice.ac.uk/learning-hub/research-data-management/plan-to-share/roles-and-responsibilities/</w:t>
        </w:r>
      </w:hyperlink>
      <w:r>
        <w:t xml:space="preserve">.</w:t>
      </w:r>
    </w:p>
    <w:bookmarkEnd w:id="681"/>
    <w:bookmarkStart w:id="682"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23">
        <w:r>
          <w:rPr>
            <w:rStyle w:val="Hyperlink"/>
          </w:rPr>
          <w:t xml:space="preserve">https://ukdataservice.ac.uk/learning-hub/research-data-management/format-your-data/versioning/</w:t>
        </w:r>
      </w:hyperlink>
      <w:r>
        <w:t xml:space="preserve">.</w:t>
      </w:r>
    </w:p>
    <w:bookmarkEnd w:id="682"/>
    <w:bookmarkStart w:id="683"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bookmarkEnd w:id="683"/>
    <w:bookmarkStart w:id="684"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bookmarkEnd w:id="684"/>
    <w:bookmarkStart w:id="685"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65">
        <w:r>
          <w:rPr>
            <w:rStyle w:val="Hyperlink"/>
          </w:rPr>
          <w:t xml:space="preserve">https://en.wikipedia.org/w/index.php?title=Style_guide&amp;oldid=1131556370</w:t>
        </w:r>
      </w:hyperlink>
      <w:r>
        <w:t xml:space="preserve">.</w:t>
      </w:r>
    </w:p>
    <w:bookmarkEnd w:id="685"/>
    <w:bookmarkStart w:id="686"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0">
        <w:r>
          <w:rPr>
            <w:rStyle w:val="Hyperlink"/>
          </w:rPr>
          <w:t xml:space="preserve">https://eur-synclab.github.io/</w:t>
        </w:r>
      </w:hyperlink>
      <w:r>
        <w:t xml:space="preserve">.</w:t>
      </w:r>
    </w:p>
    <w:bookmarkEnd w:id="686"/>
    <w:bookmarkStart w:id="687"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bookmarkEnd w:id="687"/>
    <w:bookmarkStart w:id="688"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94">
        <w:r>
          <w:rPr>
            <w:rStyle w:val="Hyperlink"/>
          </w:rPr>
          <w:t xml:space="preserve">https://nces.ed.gov/pubs2015/2015074.pdf</w:t>
        </w:r>
      </w:hyperlink>
      <w:r>
        <w:t xml:space="preserve">.</w:t>
      </w:r>
    </w:p>
    <w:bookmarkEnd w:id="688"/>
    <w:bookmarkStart w:id="689"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24">
        <w:r>
          <w:rPr>
            <w:rStyle w:val="Hyperlink"/>
          </w:rPr>
          <w:t xml:space="preserve">https://www.utwente.nl/en/service-portal/services/lisa/resources/files/library-public/dcc-rdm-costs-estimation.pdf</w:t>
        </w:r>
      </w:hyperlink>
      <w:r>
        <w:t xml:space="preserve">.</w:t>
      </w:r>
    </w:p>
    <w:bookmarkEnd w:id="689"/>
    <w:bookmarkStart w:id="690"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15">
        <w:r>
          <w:rPr>
            <w:rStyle w:val="Hyperlink"/>
          </w:rPr>
          <w:t xml:space="preserve">https://tinyurl.com/nhba9mhc</w:t>
        </w:r>
      </w:hyperlink>
      <w:r>
        <w:t xml:space="preserve">.</w:t>
      </w:r>
    </w:p>
    <w:bookmarkEnd w:id="690"/>
    <w:bookmarkStart w:id="691"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383">
        <w:r>
          <w:rPr>
            <w:rStyle w:val="Hyperlink"/>
          </w:rPr>
          <w:t xml:space="preserve">https://doi.org/10.3886/ICPSR38290.V1</w:t>
        </w:r>
      </w:hyperlink>
      <w:r>
        <w:t xml:space="preserve">.</w:t>
      </w:r>
    </w:p>
    <w:bookmarkEnd w:id="691"/>
    <w:bookmarkStart w:id="692"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26">
        <w:r>
          <w:rPr>
            <w:rStyle w:val="Hyperlink"/>
          </w:rPr>
          <w:t xml:space="preserve">https://www.uu.nl/en/research/research-data-management/guides/costs-of-data-management</w:t>
        </w:r>
      </w:hyperlink>
      <w:r>
        <w:t xml:space="preserve">.</w:t>
      </w:r>
    </w:p>
    <w:bookmarkEnd w:id="692"/>
    <w:bookmarkStart w:id="693"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50">
        <w:r>
          <w:rPr>
            <w:rStyle w:val="Hyperlink"/>
          </w:rPr>
          <w:t xml:space="preserve">https://data.nal.usda.gov/data-dictionary-blank-template</w:t>
        </w:r>
      </w:hyperlink>
      <w:r>
        <w:t xml:space="preserve">.</w:t>
      </w:r>
    </w:p>
    <w:bookmarkEnd w:id="693"/>
    <w:bookmarkStart w:id="695"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694">
        <w:r>
          <w:rPr>
            <w:rStyle w:val="Hyperlink"/>
          </w:rPr>
          <w:t xml:space="preserve">https://www.usgs.gov/data-management/metadata-creation#tools</w:t>
        </w:r>
      </w:hyperlink>
      <w:r>
        <w:t xml:space="preserve">.</w:t>
      </w:r>
    </w:p>
    <w:bookmarkEnd w:id="695"/>
    <w:bookmarkStart w:id="696"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bookmarkEnd w:id="696"/>
    <w:bookmarkStart w:id="697"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1">
        <w:r>
          <w:rPr>
            <w:rStyle w:val="Hyperlink"/>
          </w:rPr>
          <w:t xml:space="preserve">https://dataoneorg.github.io/Education/bestpractices/define-roles-and</w:t>
        </w:r>
      </w:hyperlink>
      <w:r>
        <w:t xml:space="preserve">.</w:t>
      </w:r>
    </w:p>
    <w:bookmarkEnd w:id="697"/>
    <w:bookmarkStart w:id="698"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77">
        <w:r>
          <w:rPr>
            <w:rStyle w:val="Hyperlink"/>
          </w:rPr>
          <w:t xml:space="preserve">https://depts.washington.edu/wildfire/resources/protckl.pdf</w:t>
        </w:r>
      </w:hyperlink>
      <w:r>
        <w:t xml:space="preserve">.</w:t>
      </w:r>
    </w:p>
    <w:bookmarkEnd w:id="698"/>
    <w:bookmarkStart w:id="699"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bookmarkEnd w:id="699"/>
    <w:bookmarkStart w:id="700"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bookmarkEnd w:id="700"/>
    <w:bookmarkEnd w:id="701"/>
    <w:bookmarkEnd w:id="702"/>
    <w:bookmarkEnd w:id="7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68">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footnote>
  <w:footnote w:id="70">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footnote>
  <w:footnote w:id="7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3">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5">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footnote>
  <w:footnote w:id="79">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footnote>
  <w:footnote w:id="81">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2">
        <w:r>
          <w:rPr>
            <w:rStyle w:val="Hyperlink"/>
          </w:rPr>
          <w:t xml:space="preserve">https://doi.org/10.35542/osf.io/xqfwb</w:t>
        </w:r>
      </w:hyperlink>
      <w:r>
        <w:t xml:space="preserve">.</w:t>
      </w:r>
    </w:p>
  </w:footnote>
  <w:footnote w:id="83">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footnote>
  <w:footnote w:id="85">
    <w:p>
      <w:pPr>
        <w:pStyle w:val="FootnoteText"/>
      </w:pPr>
      <w:r>
        <w:rPr>
          <w:rStyle w:val="FootnoteReference"/>
        </w:rPr>
        <w:footnoteRef/>
      </w:r>
      <w:r>
        <w:t xml:space="preserve"> </w:t>
      </w:r>
      <w:r>
        <w:t xml:space="preserve">Alston and Rick.</w:t>
      </w:r>
    </w:p>
  </w:footnote>
  <w:footnote w:id="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footnote>
  <w:footnote w:id="90">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1">
        <w:r>
          <w:rPr>
            <w:rStyle w:val="Hyperlink"/>
          </w:rPr>
          <w:t xml:space="preserve">https://doi.org/10.1093/ije/dyaa087</w:t>
        </w:r>
      </w:hyperlink>
      <w:r>
        <w:t xml:space="preserve">.</w:t>
      </w:r>
    </w:p>
  </w:footnote>
  <w:footnote w:id="92">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footnote>
  <w:footnote w:id="94">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5">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6">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footnote>
  <w:footnote w:id="98">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footnote>
  <w:footnote w:id="102">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footnote>
  <w:footnote w:id="104">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footnote>
  <w:footnote w:id="107">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footnote>
  <w:footnote w:id="110">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footnote>
  <w:footnote w:id="112">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footnote>
  <w:footnote w:id="114">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footnote>
  <w:footnote w:id="116">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7">
        <w:r>
          <w:rPr>
            <w:rStyle w:val="Hyperlink"/>
          </w:rPr>
          <w:t xml:space="preserve">https://ies.ed.gov/funding/23rfas.asp</w:t>
        </w:r>
      </w:hyperlink>
      <w:r>
        <w:t xml:space="preserve">.</w:t>
      </w:r>
    </w:p>
  </w:footnote>
  <w:footnote w:id="126">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footnote>
  <w:footnote w:id="139">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footnote>
  <w:footnote w:id="161">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78">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footnote>
  <w:footnote w:id="187">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footnote>
  <w:footnote w:id="189">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0">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footnote>
  <w:footnote w:id="192">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footnote>
  <w:footnote w:id="196">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198">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p>
  </w:footnote>
  <w:footnote w:id="199">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0">
        <w:r>
          <w:rPr>
            <w:rStyle w:val="Hyperlink"/>
          </w:rPr>
          <w:t xml:space="preserve">https://ies.ed.gov/funding/datasharing_implementation.asp</w:t>
        </w:r>
      </w:hyperlink>
      <w:r>
        <w:t xml:space="preserve">.</w:t>
      </w:r>
    </w:p>
  </w:footnote>
  <w:footnote w:id="201">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2">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3">
        <w:r>
          <w:rPr>
            <w:rStyle w:val="Hyperlink"/>
          </w:rPr>
          <w:t xml:space="preserve">https://nij.ojp.gov/funding/data-archiving</w:t>
        </w:r>
      </w:hyperlink>
      <w:r>
        <w:t xml:space="preserve">.</w:t>
      </w:r>
    </w:p>
  </w:footnote>
  <w:footnote w:id="204">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5">
        <w:r>
          <w:rPr>
            <w:rStyle w:val="Hyperlink"/>
          </w:rPr>
          <w:t xml:space="preserve">https://www.nsf.gov/bfa/dias/policy/dmpdocs/ehr.pdf</w:t>
        </w:r>
      </w:hyperlink>
      <w:r>
        <w:t xml:space="preserve">.</w:t>
      </w:r>
    </w:p>
  </w:footnote>
  <w:footnote w:id="208">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09">
        <w:r>
          <w:rPr>
            <w:rStyle w:val="Hyperlink"/>
          </w:rPr>
          <w:t xml:space="preserve">https://dmptool.org/public_templates?page=1&amp;search=&amp;sort_direction=asc&amp;sort_field=templates.title</w:t>
        </w:r>
      </w:hyperlink>
      <w:r>
        <w:t xml:space="preserve">.</w:t>
      </w:r>
    </w:p>
  </w:footnote>
  <w:footnote w:id="210">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1">
        <w:r>
          <w:rPr>
            <w:rStyle w:val="Hyperlink"/>
          </w:rPr>
          <w:t xml:space="preserve">https://doi.org/10.6084/m9.figshare.13218743.v1</w:t>
        </w:r>
      </w:hyperlink>
      <w:r>
        <w:t xml:space="preserve">.</w:t>
      </w:r>
    </w:p>
  </w:footnote>
  <w:footnote w:id="212">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3">
        <w:r>
          <w:rPr>
            <w:rStyle w:val="Hyperlink"/>
          </w:rPr>
          <w:t xml:space="preserve">https://www.lib.umn.edu/services/data/dmp-examples</w:t>
        </w:r>
      </w:hyperlink>
      <w:r>
        <w:t xml:space="preserve">.</w:t>
      </w:r>
    </w:p>
  </w:footnote>
  <w:footnote w:id="215">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6">
        <w:r>
          <w:rPr>
            <w:rStyle w:val="Hyperlink"/>
          </w:rPr>
          <w:t xml:space="preserve">https://ukdataservice.ac.uk/learning-hub/research-data-management/plan-to-share/costing/</w:t>
        </w:r>
      </w:hyperlink>
      <w:r>
        <w:t xml:space="preserve">.</w:t>
      </w:r>
    </w:p>
  </w:footnote>
  <w:footnote w:id="217">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18">
        <w:r>
          <w:rPr>
            <w:rStyle w:val="Hyperlink"/>
          </w:rPr>
          <w:t xml:space="preserve">https://library.weill.cornell.edu/research-support/research-data-management-retention-and-sharing</w:t>
        </w:r>
      </w:hyperlink>
      <w:r>
        <w:t xml:space="preserve">.</w:t>
      </w:r>
    </w:p>
  </w:footnote>
  <w:footnote w:id="219">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0">
        <w:r>
          <w:rPr>
            <w:rStyle w:val="Hyperlink"/>
          </w:rPr>
          <w:t xml:space="preserve">https://sharing.nih.gov/data-management-and-sharing-policy/planning-and-budgeting-for-data-management-and-sharing/budgeting-for-data-management-sharing#after</w:t>
        </w:r>
      </w:hyperlink>
      <w:r>
        <w:t xml:space="preserve">.</w:t>
      </w:r>
    </w:p>
  </w:footnote>
  <w:footnote w:id="221">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22">
        <w:r>
          <w:rPr>
            <w:rStyle w:val="Hyperlink"/>
          </w:rPr>
          <w:t xml:space="preserve">https://ukdataservice.ac.uk//app/uploads/costingtool.pdf</w:t>
        </w:r>
      </w:hyperlink>
      <w:r>
        <w:t xml:space="preserve">.</w:t>
      </w:r>
    </w:p>
  </w:footnote>
  <w:footnote w:id="223">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24">
        <w:r>
          <w:rPr>
            <w:rStyle w:val="Hyperlink"/>
          </w:rPr>
          <w:t xml:space="preserve">https://www.utwente.nl/en/service-portal/services/lisa/resources/files/library-public/dcc-rdm-costs-estimation.pdf</w:t>
        </w:r>
      </w:hyperlink>
      <w:r>
        <w:t xml:space="preserve">.</w:t>
      </w:r>
    </w:p>
  </w:footnote>
  <w:footnote w:id="225">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26">
        <w:r>
          <w:rPr>
            <w:rStyle w:val="Hyperlink"/>
          </w:rPr>
          <w:t xml:space="preserve">https://www.uu.nl/en/research/research-data-management/guides/costs-of-data-management</w:t>
        </w:r>
      </w:hyperlink>
      <w:r>
        <w:t xml:space="preserve">.</w:t>
      </w:r>
    </w:p>
  </w:footnote>
  <w:footnote w:id="227">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8">
        <w:r>
          <w:rPr>
            <w:rStyle w:val="Hyperlink"/>
          </w:rPr>
          <w:t xml:space="preserve">https://dataoneorg.github.io/Education/bestpractices/provide-budget-information</w:t>
        </w:r>
      </w:hyperlink>
      <w:r>
        <w:t xml:space="preserve">.</w:t>
      </w:r>
    </w:p>
  </w:footnote>
  <w:footnote w:id="234">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5">
        <w:r>
          <w:rPr>
            <w:rStyle w:val="Hyperlink"/>
          </w:rPr>
          <w:t xml:space="preserve">https://doi.org/10.5334/dsj-2021-009</w:t>
        </w:r>
      </w:hyperlink>
      <w:r>
        <w:t xml:space="preserve">.</w:t>
      </w:r>
    </w:p>
  </w:footnote>
  <w:footnote w:id="236">
    <w:p>
      <w:pPr>
        <w:pStyle w:val="FootnoteText"/>
      </w:pPr>
      <w:r>
        <w:rPr>
          <w:rStyle w:val="FootnoteReference"/>
        </w:rPr>
        <w:footnoteRef/>
      </w:r>
      <w:r>
        <w:t xml:space="preserve"> </w:t>
      </w:r>
      <w:r>
        <w:t xml:space="preserve">Strand,</w:t>
      </w:r>
      <w:r>
        <w:t xml:space="preserve"> </w:t>
      </w:r>
      <w:r>
        <w:t xml:space="preserve">“Error Tight.”</w:t>
      </w:r>
    </w:p>
  </w:footnote>
  <w:footnote w:id="237">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38">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41">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42">
        <w:r>
          <w:rPr>
            <w:rStyle w:val="Hyperlink"/>
          </w:rPr>
          <w:t xml:space="preserve">https://cghlewis.github.io/mpsi-data-training/randr.html</w:t>
        </w:r>
      </w:hyperlink>
      <w:r>
        <w:t xml:space="preserve">.</w:t>
      </w:r>
    </w:p>
  </w:footnote>
  <w:footnote w:id="243">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44">
        <w:r>
          <w:rPr>
            <w:rStyle w:val="Hyperlink"/>
          </w:rPr>
          <w:t xml:space="preserve">https://cghlewis.github.io/mpsi-data-training/taskmgmt.html</w:t>
        </w:r>
      </w:hyperlink>
      <w:r>
        <w:t xml:space="preserve">.</w:t>
      </w:r>
    </w:p>
  </w:footnote>
  <w:footnote w:id="245">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46">
        <w:r>
          <w:rPr>
            <w:rStyle w:val="Hyperlink"/>
          </w:rPr>
          <w:t xml:space="preserve">https://cghlewis.github.io/mpsi-data-training/document.html</w:t>
        </w:r>
      </w:hyperlink>
      <w:r>
        <w:t xml:space="preserve">.</w:t>
      </w:r>
    </w:p>
  </w:footnote>
  <w:footnote w:id="247">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48">
        <w:r>
          <w:rPr>
            <w:rStyle w:val="Hyperlink"/>
          </w:rPr>
          <w:t xml:space="preserve">https://cghlewis.github.io/mpsi-data-training/collection.html</w:t>
        </w:r>
      </w:hyperlink>
      <w:r>
        <w:t xml:space="preserve">.</w:t>
      </w:r>
    </w:p>
  </w:footnote>
  <w:footnote w:id="249">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50">
        <w:r>
          <w:rPr>
            <w:rStyle w:val="Hyperlink"/>
          </w:rPr>
          <w:t xml:space="preserve">https://cghlewis.github.io/mpsi-data-training/tracking.html</w:t>
        </w:r>
      </w:hyperlink>
      <w:r>
        <w:t xml:space="preserve">.</w:t>
      </w:r>
    </w:p>
  </w:footnote>
  <w:footnote w:id="251">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52">
        <w:r>
          <w:rPr>
            <w:rStyle w:val="Hyperlink"/>
          </w:rPr>
          <w:t xml:space="preserve">https://cghlewis.github.io/mpsi-data-training/capture.html</w:t>
        </w:r>
      </w:hyperlink>
      <w:r>
        <w:t xml:space="preserve">.</w:t>
      </w:r>
    </w:p>
  </w:footnote>
  <w:footnote w:id="253">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54">
        <w:r>
          <w:rPr>
            <w:rStyle w:val="Hyperlink"/>
          </w:rPr>
          <w:t xml:space="preserve">https://cghlewis.github.io/mpsi-data-training/storage.html</w:t>
        </w:r>
      </w:hyperlink>
      <w:r>
        <w:t xml:space="preserve">.</w:t>
      </w:r>
    </w:p>
  </w:footnote>
  <w:footnote w:id="255">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56">
        <w:r>
          <w:rPr>
            <w:rStyle w:val="Hyperlink"/>
          </w:rPr>
          <w:t xml:space="preserve">https://cghlewis.github.io/mpsi-data-training/clean.html</w:t>
        </w:r>
      </w:hyperlink>
      <w:r>
        <w:t xml:space="preserve">.</w:t>
      </w:r>
    </w:p>
  </w:footnote>
  <w:footnote w:id="257">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58">
        <w:r>
          <w:rPr>
            <w:rStyle w:val="Hyperlink"/>
          </w:rPr>
          <w:t xml:space="preserve">https://cghlewis.github.io/mpsi-data-training/share.html</w:t>
        </w:r>
      </w:hyperlink>
      <w:r>
        <w:t xml:space="preserve">.</w:t>
      </w:r>
    </w:p>
  </w:footnote>
  <w:footnote w:id="259">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0">
    <w:p>
      <w:pPr>
        <w:pStyle w:val="FootnoteText"/>
      </w:pPr>
      <w:r>
        <w:rPr>
          <w:rStyle w:val="FootnoteReference"/>
        </w:rPr>
        <w:footnoteRef/>
      </w:r>
      <w:r>
        <w:t xml:space="preserve"> </w:t>
      </w:r>
      <w:r>
        <w:t xml:space="preserve">Borghi and Van Gulick.</w:t>
      </w:r>
    </w:p>
  </w:footnote>
  <w:footnote w:id="267">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8">
        <w:r>
          <w:rPr>
            <w:rStyle w:val="Hyperlink"/>
          </w:rPr>
          <w:t xml:space="preserve">https://library.csp.edu/Zotero/workflow</w:t>
        </w:r>
      </w:hyperlink>
      <w:r>
        <w:t xml:space="preserve">.</w:t>
      </w:r>
    </w:p>
  </w:footnote>
  <w:footnote w:id="269">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79">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0">
        <w:r>
          <w:rPr>
            <w:rStyle w:val="Hyperlink"/>
          </w:rPr>
          <w:t xml:space="preserve">https://www.povertyactionlab.org/sites/default/files/research-resources/rr_grantprop_Template_Gantt_Chart.pdf</w:t>
        </w:r>
      </w:hyperlink>
      <w:r>
        <w:t xml:space="preserve">.</w:t>
      </w:r>
    </w:p>
  </w:footnote>
  <w:footnote w:id="284">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85">
        <w:r>
          <w:rPr>
            <w:rStyle w:val="Hyperlink"/>
          </w:rPr>
          <w:t xml:space="preserve">https://doi.org/10.3897/rio.6.e56508</w:t>
        </w:r>
      </w:hyperlink>
      <w:r>
        <w:t xml:space="preserve">.</w:t>
      </w:r>
    </w:p>
  </w:footnote>
  <w:footnote w:id="2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88">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89">
        <w:r>
          <w:rPr>
            <w:rStyle w:val="Hyperlink"/>
          </w:rPr>
          <w:t xml:space="preserve">https://doi.org/10.5278/16k4-4n24</w:t>
        </w:r>
      </w:hyperlink>
      <w:r>
        <w:t xml:space="preserve">.</w:t>
      </w:r>
    </w:p>
  </w:footnote>
  <w:footnote w:id="292">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93">
        <w:r>
          <w:rPr>
            <w:rStyle w:val="Hyperlink"/>
          </w:rPr>
          <w:t xml:space="preserve">https://web.stanford.edu/~gentzkow/research/CodeAndData.pdf</w:t>
        </w:r>
      </w:hyperlink>
      <w:r>
        <w:t xml:space="preserve">.</w:t>
      </w:r>
    </w:p>
  </w:footnote>
  <w:footnote w:id="299">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0">
        <w:r>
          <w:rPr>
            <w:rStyle w:val="Hyperlink"/>
          </w:rPr>
          <w:t xml:space="preserve">https://ukdataservice.ac.uk/learning-hub/research-data-management/plan-to-share/roles-and-responsibilities/</w:t>
        </w:r>
      </w:hyperlink>
      <w:r>
        <w:t xml:space="preserve">.</w:t>
      </w:r>
    </w:p>
  </w:footnote>
  <w:footnote w:id="310">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1">
        <w:r>
          <w:rPr>
            <w:rStyle w:val="Hyperlink"/>
          </w:rPr>
          <w:t xml:space="preserve">https://dataoneorg.github.io/Education/bestpractices/define-roles-and</w:t>
        </w:r>
      </w:hyperlink>
      <w:r>
        <w:t xml:space="preserve">.</w:t>
      </w:r>
    </w:p>
  </w:footnote>
  <w:footnote w:id="314">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15">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16">
        <w:r>
          <w:rPr>
            <w:rStyle w:val="Hyperlink"/>
          </w:rPr>
          <w:t xml:space="preserve">https://libguides.mines.edu/ld.php?content_id=49061255</w:t>
        </w:r>
      </w:hyperlink>
      <w:r>
        <w:t xml:space="preserve">.</w:t>
      </w:r>
    </w:p>
  </w:footnote>
  <w:footnote w:id="332">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3">
        <w:r>
          <w:rPr>
            <w:rStyle w:val="Hyperlink"/>
          </w:rPr>
          <w:t xml:space="preserve">https://www.rsb.org.uk//biologist-features/how-to-write-a-lab-handbook</w:t>
        </w:r>
      </w:hyperlink>
      <w:r>
        <w:t xml:space="preserve">.</w:t>
      </w:r>
    </w:p>
  </w:footnote>
  <w:footnote w:id="334">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35">
        <w:r>
          <w:rPr>
            <w:rStyle w:val="Hyperlink"/>
          </w:rPr>
          <w:t xml:space="preserve">https://docs.google.com/document/d/1LqGdtHg0dMbj9lsCnC1QOoWzIsnSNRTSek6i3Kls2Ik/edit?usp=embed_facebook</w:t>
        </w:r>
      </w:hyperlink>
      <w:r>
        <w:t xml:space="preserve">.</w:t>
      </w:r>
    </w:p>
  </w:footnote>
  <w:footnote w:id="336">
    <w:p>
      <w:pPr>
        <w:pStyle w:val="FootnoteText"/>
      </w:pPr>
      <w:r>
        <w:rPr>
          <w:rStyle w:val="FootnoteReference"/>
        </w:rPr>
        <w:footnoteRef/>
      </w:r>
      <w:r>
        <w:t xml:space="preserve"> </w:t>
      </w:r>
      <w:r>
        <w:t xml:space="preserve">Balazs.</w:t>
      </w:r>
    </w:p>
  </w:footnote>
  <w:footnote w:id="337">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38">
        <w:r>
          <w:rPr>
            <w:rStyle w:val="Hyperlink"/>
          </w:rPr>
          <w:t xml:space="preserve">https://thefaylab.github.io/lab-manual/</w:t>
        </w:r>
      </w:hyperlink>
      <w:r>
        <w:t xml:space="preserve">.</w:t>
      </w:r>
    </w:p>
  </w:footnote>
  <w:footnote w:id="339">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0">
        <w:r>
          <w:rPr>
            <w:rStyle w:val="Hyperlink"/>
          </w:rPr>
          <w:t xml:space="preserve">https://uploads.strikinglycdn.com/files/f3dfcf89-32f2-48cb-94cd-3070f733c53d/RAISE%20Lab%20Guidelines_Final.pdf</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42">
        <w:r>
          <w:rPr>
            <w:rStyle w:val="Hyperlink"/>
          </w:rPr>
          <w:t xml:space="preserve">https://www.rsb.org.uk/images/biologist/2020/Apr_May_2020_67-2/67.2_Handbook.pdf</w:t>
        </w:r>
      </w:hyperlink>
      <w:r>
        <w:t xml:space="preserve">.</w:t>
      </w:r>
    </w:p>
  </w:footnote>
  <w:footnote w:id="347">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48">
        <w:r>
          <w:rPr>
            <w:rStyle w:val="Hyperlink"/>
          </w:rPr>
          <w:t xml:space="preserve">https://osf.io/mdh87/</w:t>
        </w:r>
      </w:hyperlink>
      <w:r>
        <w:t xml:space="preserve">.</w:t>
      </w:r>
    </w:p>
  </w:footnote>
  <w:footnote w:id="349">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0">
        <w:r>
          <w:rPr>
            <w:rStyle w:val="Hyperlink"/>
          </w:rPr>
          <w:t xml:space="preserve">https://eur-synclab.github.io/</w:t>
        </w:r>
      </w:hyperlink>
      <w:r>
        <w:t xml:space="preserve">.</w:t>
      </w:r>
    </w:p>
  </w:footnote>
  <w:footnote w:id="356">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57">
        <w:r>
          <w:rPr>
            <w:rStyle w:val="Hyperlink"/>
          </w:rPr>
          <w:t xml:space="preserve">https://www.povertyactionlab.org/resource/formalize-research-partnership-and-establish-roles-and-expectations</w:t>
        </w:r>
      </w:hyperlink>
      <w:r>
        <w:t xml:space="preserve">.</w:t>
      </w:r>
    </w:p>
  </w:footnote>
  <w:footnote w:id="358">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59">
        <w:r>
          <w:rPr>
            <w:rStyle w:val="Hyperlink"/>
          </w:rPr>
          <w:t xml:space="preserve">https://dmeg.cessda.eu/Data-Management-Expert-Guide/3.-Process/Data-authenticity</w:t>
        </w:r>
      </w:hyperlink>
      <w:r>
        <w:t xml:space="preserve">.</w:t>
      </w:r>
    </w:p>
  </w:footnote>
  <w:footnote w:id="364">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65">
        <w:r>
          <w:rPr>
            <w:rStyle w:val="Hyperlink"/>
          </w:rPr>
          <w:t xml:space="preserve">https://en.wikipedia.org/w/index.php?title=Style_guide&amp;oldid=1131556370</w:t>
        </w:r>
      </w:hyperlink>
      <w:r>
        <w:t xml:space="preserve">.</w:t>
      </w:r>
    </w:p>
  </w:footnote>
  <w:footnote w:id="370">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71">
        <w:r>
          <w:rPr>
            <w:rStyle w:val="Hyperlink"/>
          </w:rPr>
          <w:t xml:space="preserve">https://ictrweb.johnshopkins.edu/ictr/dmig/Best_Practice/home.html?v=65849</w:t>
        </w:r>
      </w:hyperlink>
      <w:r>
        <w:t xml:space="preserve">.</w:t>
      </w:r>
    </w:p>
  </w:footnote>
  <w:footnote w:id="376">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77">
        <w:r>
          <w:rPr>
            <w:rStyle w:val="Hyperlink"/>
          </w:rPr>
          <w:t xml:space="preserve">https://depts.washington.edu/wildfire/resources/protckl.pdf</w:t>
        </w:r>
      </w:hyperlink>
      <w:r>
        <w:t xml:space="preserve">.</w:t>
      </w:r>
    </w:p>
  </w:footnote>
  <w:footnote w:id="378">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79">
        <w:r>
          <w:rPr>
            <w:rStyle w:val="Hyperlink"/>
          </w:rPr>
          <w:t xml:space="preserve">http://orrp.osu.edu/files/2011/10/GuidelinesforWritingaResearchProtocol.pdf</w:t>
        </w:r>
      </w:hyperlink>
      <w:r>
        <w:t xml:space="preserve">.</w:t>
      </w:r>
    </w:p>
  </w:footnote>
  <w:footnote w:id="380">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81">
        <w:r>
          <w:rPr>
            <w:rStyle w:val="Hyperlink"/>
          </w:rPr>
          <w:t xml:space="preserve">https://research.missouri.edu/human-subjects-research/researcher-resources</w:t>
        </w:r>
      </w:hyperlink>
      <w:r>
        <w:t xml:space="preserve">.</w:t>
      </w:r>
    </w:p>
  </w:footnote>
  <w:footnote w:id="382">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383">
        <w:r>
          <w:rPr>
            <w:rStyle w:val="Hyperlink"/>
          </w:rPr>
          <w:t xml:space="preserve">https://doi.org/10.3886/ICPSR38290.V1</w:t>
        </w:r>
      </w:hyperlink>
      <w:r>
        <w:t xml:space="preserve">.</w:t>
      </w:r>
    </w:p>
  </w:footnote>
  <w:footnote w:id="388">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89">
        <w:r>
          <w:rPr>
            <w:rStyle w:val="Hyperlink"/>
          </w:rPr>
          <w:t xml:space="preserve">https://www.consort-statement.org/consort-statement/flow-diagram</w:t>
        </w:r>
      </w:hyperlink>
      <w:r>
        <w:t xml:space="preserve">.</w:t>
      </w:r>
    </w:p>
  </w:footnote>
  <w:footnote w:id="393">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94">
        <w:r>
          <w:rPr>
            <w:rStyle w:val="Hyperlink"/>
          </w:rPr>
          <w:t xml:space="preserve">https://nces.ed.gov/pubs2015/2015074.pdf</w:t>
        </w:r>
      </w:hyperlink>
      <w:r>
        <w:t xml:space="preserve">.</w:t>
      </w:r>
    </w:p>
  </w:footnote>
  <w:footnote w:id="399">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00">
        <w:r>
          <w:rPr>
            <w:rStyle w:val="Hyperlink"/>
          </w:rPr>
          <w:t xml:space="preserve">https://www.nucats.northwestern.edu/docs/cecd/overview-of-sops.pdf</w:t>
        </w:r>
      </w:hyperlink>
      <w:r>
        <w:t xml:space="preserve">.</w:t>
      </w:r>
    </w:p>
  </w:footnote>
  <w:footnote w:id="407">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08">
        <w:r>
          <w:rPr>
            <w:rStyle w:val="Hyperlink"/>
          </w:rPr>
          <w:t xml:space="preserve">https://www.nucats.northwestern.edu/docs/cecd/writing-sops-and-templates.pdf</w:t>
        </w:r>
      </w:hyperlink>
      <w:r>
        <w:t xml:space="preserve">.</w:t>
      </w:r>
    </w:p>
  </w:footnote>
  <w:footnote w:id="409">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10">
        <w:r>
          <w:rPr>
            <w:rStyle w:val="Hyperlink"/>
          </w:rPr>
          <w:t xml:space="preserve">https://www.uts.edu.au/sites/default/files/2020-07/5.5.5%20Allocation%20of%20Participant%20ID%20Numbers%20V2.5_20200520.pdf</w:t>
        </w:r>
      </w:hyperlink>
      <w:r>
        <w:t xml:space="preserve">.</w:t>
      </w:r>
    </w:p>
  </w:footnote>
  <w:footnote w:id="411">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12">
        <w:r>
          <w:rPr>
            <w:rStyle w:val="Hyperlink"/>
          </w:rPr>
          <w:t xml:space="preserve">https://cghlewis.github.io/mpsi-data-training/img/sample_sop.pdf</w:t>
        </w:r>
      </w:hyperlink>
      <w:r>
        <w:t xml:space="preserve">.</w:t>
      </w:r>
    </w:p>
  </w:footnote>
  <w:footnote w:id="415">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16">
        <w:r>
          <w:rPr>
            <w:rStyle w:val="Hyperlink"/>
          </w:rPr>
          <w:t xml:space="preserve">https://ukdataservice.ac.uk/learning-hub/research-data-management/format-your-data/quality/</w:t>
        </w:r>
      </w:hyperlink>
      <w:r>
        <w:t xml:space="preserve">.</w:t>
      </w:r>
    </w:p>
  </w:footnote>
  <w:footnote w:id="417">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22">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23">
        <w:r>
          <w:rPr>
            <w:rStyle w:val="Hyperlink"/>
          </w:rPr>
          <w:t xml:space="preserve">https://ukdataservice.ac.uk/learning-hub/research-data-management/format-your-data/versioning/</w:t>
        </w:r>
      </w:hyperlink>
      <w:r>
        <w:t xml:space="preserve">.</w:t>
      </w:r>
    </w:p>
  </w:footnote>
  <w:footnote w:id="433">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34">
        <w:r>
          <w:rPr>
            <w:rStyle w:val="Hyperlink"/>
          </w:rPr>
          <w:t xml:space="preserve">https://cghlewis.com/blog/data_dictionary/</w:t>
        </w:r>
      </w:hyperlink>
      <w:r>
        <w:t xml:space="preserve">.</w:t>
      </w:r>
    </w:p>
  </w:footnote>
  <w:footnote w:id="435">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36">
        <w:r>
          <w:rPr>
            <w:rStyle w:val="Hyperlink"/>
          </w:rPr>
          <w:t xml:space="preserve">https://library.ucmerced.edu/data-dictionaries</w:t>
        </w:r>
      </w:hyperlink>
      <w:r>
        <w:t xml:space="preserve">.</w:t>
      </w:r>
    </w:p>
  </w:footnote>
  <w:footnote w:id="437">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38">
        <w:r>
          <w:rPr>
            <w:rStyle w:val="Hyperlink"/>
          </w:rPr>
          <w:t xml:space="preserve">https://ictrweb.johnshopkins.edu/ictr/dmig/Best_Practice/a8376318-ebd6-421f-be63-acf8c88376a1_6342a1c3-1a5d-4287-a46e-374824e3780e.html?v=65849&amp;ip=hpdkvlttuiyioooqhw</w:t>
        </w:r>
      </w:hyperlink>
      <w:r>
        <w:t xml:space="preserve">.</w:t>
      </w:r>
    </w:p>
  </w:footnote>
  <w:footnote w:id="442">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43">
        <w:r>
          <w:rPr>
            <w:rStyle w:val="Hyperlink"/>
          </w:rPr>
          <w:t xml:space="preserve">http://websites.umich.edu/~pals/PALS%202000_V13Word97.pdf</w:t>
        </w:r>
      </w:hyperlink>
      <w:r>
        <w:t xml:space="preserve">.</w:t>
      </w:r>
    </w:p>
  </w:footnote>
  <w:footnote w:id="449">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50">
        <w:r>
          <w:rPr>
            <w:rStyle w:val="Hyperlink"/>
          </w:rPr>
          <w:t xml:space="preserve">https://data.nal.usda.gov/data-dictionary-blank-template</w:t>
        </w:r>
      </w:hyperlink>
      <w:r>
        <w:t xml:space="preserve">.</w:t>
      </w:r>
    </w:p>
  </w:footnote>
  <w:footnote w:id="451">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52">
        <w:r>
          <w:rPr>
            <w:rStyle w:val="Hyperlink"/>
          </w:rPr>
          <w:t xml:space="preserve">https://help.osf.io/article/217-how-to-make-a-data-dictionary</w:t>
        </w:r>
      </w:hyperlink>
      <w:r>
        <w:t xml:space="preserve">.</w:t>
      </w:r>
    </w:p>
  </w:footnote>
  <w:footnote w:id="455">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56">
        <w:r>
          <w:rPr>
            <w:rStyle w:val="Hyperlink"/>
          </w:rPr>
          <w:t xml:space="preserve">https://www.icpsr.umich.edu/files/deposit/Guide-to-Codebooks_v1.pdf</w:t>
        </w:r>
      </w:hyperlink>
      <w:r>
        <w:t xml:space="preserve">.</w:t>
      </w:r>
    </w:p>
  </w:footnote>
  <w:footnote w:id="460">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64">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65">
        <w:r>
          <w:rPr>
            <w:rStyle w:val="Hyperlink"/>
          </w:rPr>
          <w:t xml:space="preserve">https://github.com/Cghlewis/codebook-pkg-comparison</w:t>
        </w:r>
      </w:hyperlink>
      <w:r>
        <w:t xml:space="preserve">.</w:t>
      </w:r>
    </w:p>
  </w:footnote>
  <w:footnote w:id="466">
    <w:p>
      <w:pPr>
        <w:pStyle w:val="FootnoteText"/>
      </w:pPr>
      <w:r>
        <w:rPr>
          <w:rStyle w:val="FootnoteReference"/>
        </w:rPr>
        <w:footnoteRef/>
      </w:r>
      <w:r>
        <w:t xml:space="preserve"> </w:t>
      </w:r>
      <w:r>
        <w:t xml:space="preserve">ICPSR,</w:t>
      </w:r>
      <w:r>
        <w:t xml:space="preserve"> </w:t>
      </w:r>
      <w:r>
        <w:t xml:space="preserve">“Guide to Codebooks 1st Edition.”</w:t>
      </w:r>
    </w:p>
  </w:footnote>
  <w:footnote w:id="467">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70">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71">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72">
        <w:r>
          <w:rPr>
            <w:rStyle w:val="Hyperlink"/>
          </w:rPr>
          <w:t xml:space="preserve">https://howtofair.dk/how-to-fair/metadata/</w:t>
        </w:r>
      </w:hyperlink>
      <w:r>
        <w:t xml:space="preserve">.</w:t>
      </w:r>
    </w:p>
  </w:footnote>
  <w:footnote w:id="473">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74">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75">
        <w:r>
          <w:rPr>
            <w:rStyle w:val="Hyperlink"/>
          </w:rPr>
          <w:t xml:space="preserve">https://doi.org/10.1177/23328584211006475</w:t>
        </w:r>
      </w:hyperlink>
      <w:r>
        <w:t xml:space="preserve">.</w:t>
      </w:r>
    </w:p>
  </w:footnote>
  <w:footnote w:id="476">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77">
        <w:r>
          <w:rPr>
            <w:rStyle w:val="Hyperlink"/>
          </w:rPr>
          <w:t xml:space="preserve">https://www.lib.uiowa.edu/</w:t>
        </w:r>
      </w:hyperlink>
      <w:r>
        <w:t xml:space="preserve">.</w:t>
      </w:r>
    </w:p>
  </w:footnote>
  <w:footnote w:id="478">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79">
        <w:r>
          <w:rPr>
            <w:rStyle w:val="Hyperlink"/>
          </w:rPr>
          <w:t xml:space="preserve">https://guides.lib.utexas.edu/metadata-basics/key-concepts</w:t>
        </w:r>
      </w:hyperlink>
      <w:r>
        <w:t xml:space="preserve">.</w:t>
      </w:r>
    </w:p>
  </w:footnote>
  <w:footnote w:id="480">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481">
        <w:r>
          <w:rPr>
            <w:rStyle w:val="Hyperlink"/>
          </w:rPr>
          <w:t xml:space="preserve">https://figshare.com/</w:t>
        </w:r>
      </w:hyperlink>
      <w:r>
        <w:t xml:space="preserve">.</w:t>
      </w:r>
    </w:p>
  </w:footnote>
  <w:footnote w:id="485">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486">
        <w:r>
          <w:rPr>
            <w:rStyle w:val="Hyperlink"/>
          </w:rPr>
          <w:t xml:space="preserve">https://guides.lib.uci.edu/datamanagement/describe</w:t>
        </w:r>
      </w:hyperlink>
      <w:r>
        <w:t xml:space="preserve">.</w:t>
      </w:r>
    </w:p>
  </w:footnote>
  <w:footnote w:id="490">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491">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492">
        <w:r>
          <w:rPr>
            <w:rStyle w:val="Hyperlink"/>
          </w:rPr>
          <w:t xml:space="preserve">https://www.icpsr.umich.edu/web/pages/datamanagement/lifecycle/metadata.html</w:t>
        </w:r>
      </w:hyperlink>
      <w:r>
        <w:t xml:space="preserve">.</w:t>
      </w:r>
    </w:p>
  </w:footnote>
  <w:footnote w:id="493">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494">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495">
        <w:r>
          <w:rPr>
            <w:rStyle w:val="Hyperlink"/>
          </w:rPr>
          <w:t xml:space="preserve">https://doi.org/10.3886/E121381V1</w:t>
        </w:r>
      </w:hyperlink>
      <w:r>
        <w:t xml:space="preserve">.</w:t>
      </w:r>
    </w:p>
  </w:footnote>
  <w:footnote w:id="499">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00">
    <w:p>
      <w:pPr>
        <w:pStyle w:val="FootnoteText"/>
      </w:pPr>
      <w:r>
        <w:rPr>
          <w:rStyle w:val="FootnoteReference"/>
        </w:rPr>
        <w:footnoteRef/>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01">
        <w:r>
          <w:rPr>
            <w:rStyle w:val="Hyperlink"/>
          </w:rPr>
          <w:t xml:space="preserve">https://doi.org/10.31234/osf.io/5qc6h</w:t>
        </w:r>
      </w:hyperlink>
      <w:r>
        <w:t xml:space="preserve">.</w:t>
      </w:r>
    </w:p>
  </w:footnote>
  <w:footnote w:id="502">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03">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04">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05">
        <w:r>
          <w:rPr>
            <w:rStyle w:val="Hyperlink"/>
          </w:rPr>
          <w:t xml:space="preserve">https://ddialliance.org/controlled-vocabularies</w:t>
        </w:r>
      </w:hyperlink>
      <w:r>
        <w:t xml:space="preserve">.</w:t>
      </w:r>
    </w:p>
  </w:footnote>
  <w:footnote w:id="506">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07">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08">
        <w:r>
          <w:rPr>
            <w:rStyle w:val="Hyperlink"/>
          </w:rPr>
          <w:t xml:space="preserve">https://www.schema.org/</w:t>
        </w:r>
      </w:hyperlink>
      <w:r>
        <w:t xml:space="preserve">.</w:t>
      </w:r>
    </w:p>
  </w:footnote>
  <w:footnote w:id="509">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13">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14">
        <w:r>
          <w:rPr>
            <w:rStyle w:val="Hyperlink"/>
          </w:rPr>
          <w:t xml:space="preserve">https://ddialliance.org/resources/ddi-profiles/dc</w:t>
        </w:r>
      </w:hyperlink>
      <w:r>
        <w:t xml:space="preserve">.</w:t>
      </w:r>
    </w:p>
  </w:footnote>
  <w:footnote w:id="518">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22">
    <w:p>
      <w:pPr>
        <w:pStyle w:val="FootnoteText"/>
      </w:pPr>
      <w:r>
        <w:rPr>
          <w:rStyle w:val="FootnoteReference"/>
        </w:rPr>
        <w:footnoteRef/>
      </w:r>
      <w:r>
        <w:t xml:space="preserve"> </w:t>
      </w:r>
      <w:r>
        <w:t xml:space="preserve">Lamar Soutter Library,</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23">
        <w:r>
          <w:rPr>
            <w:rStyle w:val="Hyperlink"/>
          </w:rPr>
          <w:t xml:space="preserve">https://library.umassmed.edu/resources/necdmc/modules</w:t>
        </w:r>
      </w:hyperlink>
      <w:r>
        <w:t xml:space="preserve">.</w:t>
      </w:r>
    </w:p>
  </w:footnote>
  <w:footnote w:id="524">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5">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2">
    <w:abstractNumId w:val="991"/>
  </w:num>
  <w:num w:numId="107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424" Target="media/rId424.png" /><Relationship Type="http://schemas.openxmlformats.org/officeDocument/2006/relationships/image" Id="rId121" Target="media/rId121.png" /><Relationship Type="http://schemas.openxmlformats.org/officeDocument/2006/relationships/image" Id="rId457" Target="media/rId457.png" /><Relationship Type="http://schemas.openxmlformats.org/officeDocument/2006/relationships/image" Id="rId461" Target="media/rId461.png" /><Relationship Type="http://schemas.openxmlformats.org/officeDocument/2006/relationships/image" Id="rId390" Target="media/rId390.png" /><Relationship Type="http://schemas.openxmlformats.org/officeDocument/2006/relationships/image" Id="rId428" Target="media/rId428.png" /><Relationship Type="http://schemas.openxmlformats.org/officeDocument/2006/relationships/image" Id="rId261" Target="media/rId261.png" /><Relationship Type="http://schemas.openxmlformats.org/officeDocument/2006/relationships/image" Id="rId439" Target="media/rId439.png" /><Relationship Type="http://schemas.openxmlformats.org/officeDocument/2006/relationships/image" Id="rId444" Target="media/rId444.png" /><Relationship Type="http://schemas.openxmlformats.org/officeDocument/2006/relationships/image" Id="rId360" Target="media/rId360.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395" Target="media/rId395.png" /><Relationship Type="http://schemas.openxmlformats.org/officeDocument/2006/relationships/image" Id="rId281" Target="media/rId281.png" /><Relationship Type="http://schemas.openxmlformats.org/officeDocument/2006/relationships/image" Id="rId184" Target="media/rId184.png" /><Relationship Type="http://schemas.openxmlformats.org/officeDocument/2006/relationships/image" Id="rId326" Target="media/rId326.png" /><Relationship Type="http://schemas.openxmlformats.org/officeDocument/2006/relationships/image" Id="rId305" Target="media/rId305.png" /><Relationship Type="http://schemas.openxmlformats.org/officeDocument/2006/relationships/image" Id="rId231" Target="media/rId231.png" /><Relationship Type="http://schemas.openxmlformats.org/officeDocument/2006/relationships/image" Id="rId296" Target="media/rId296.png" /><Relationship Type="http://schemas.openxmlformats.org/officeDocument/2006/relationships/image" Id="rId329" Target="media/rId32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5" Target="media/rId175.png" /><Relationship Type="http://schemas.openxmlformats.org/officeDocument/2006/relationships/image" Id="rId487" Target="media/rId487.png" /><Relationship Type="http://schemas.openxmlformats.org/officeDocument/2006/relationships/image" Id="rId482" Target="media/rId482.png" /><Relationship Type="http://schemas.openxmlformats.org/officeDocument/2006/relationships/image" Id="rId515" Target="media/rId515.png" /><Relationship Type="http://schemas.openxmlformats.org/officeDocument/2006/relationships/image" Id="rId496" Target="media/rId496.png" /><Relationship Type="http://schemas.openxmlformats.org/officeDocument/2006/relationships/image" Id="rId510" Target="media/rId510.png" /><Relationship Type="http://schemas.openxmlformats.org/officeDocument/2006/relationships/image" Id="rId352" Target="media/rId352.png" /><Relationship Type="http://schemas.openxmlformats.org/officeDocument/2006/relationships/image" Id="rId373" Target="media/rId373.png" /><Relationship Type="http://schemas.openxmlformats.org/officeDocument/2006/relationships/image" Id="rId418" Target="media/rId418.png" /><Relationship Type="http://schemas.openxmlformats.org/officeDocument/2006/relationships/image" Id="rId128" Target="media/rId128.png" /><Relationship Type="http://schemas.openxmlformats.org/officeDocument/2006/relationships/image" Id="rId142" Target="media/rId142.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404" Target="media/rId404.png" /><Relationship Type="http://schemas.openxmlformats.org/officeDocument/2006/relationships/image" Id="rId401" Target="media/rId401.png" /><Relationship Type="http://schemas.openxmlformats.org/officeDocument/2006/relationships/image" Id="rId519" Target="media/rId519.png" /><Relationship Type="http://schemas.openxmlformats.org/officeDocument/2006/relationships/image" Id="rId276" Target="media/rId276.png" /><Relationship Type="http://schemas.openxmlformats.org/officeDocument/2006/relationships/image" Id="rId385" Target="media/rId385.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image" Id="rId172" Target="media/rId172.png" /><Relationship Type="http://schemas.openxmlformats.org/officeDocument/2006/relationships/image" Id="rId344" Target="media/rId344.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hyperlink" Id="rId379" Target="http://orrp.osu.edu/files/2011/10/GuidelinesforWritingaResearchProtocol.pdf" TargetMode="External" /><Relationship Type="http://schemas.openxmlformats.org/officeDocument/2006/relationships/hyperlink" Id="rId443" Target="http://websites.umich.edu/~pals/PALS%202000_V13Word97.pdf" TargetMode="External" /><Relationship Type="http://schemas.openxmlformats.org/officeDocument/2006/relationships/hyperlink" Id="rId434"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2" Target="https://cghlewis.github.io/mpsi-data-training/capture.html" TargetMode="External" /><Relationship Type="http://schemas.openxmlformats.org/officeDocument/2006/relationships/hyperlink" Id="rId256" Target="https://cghlewis.github.io/mpsi-data-training/clean.html" TargetMode="External" /><Relationship Type="http://schemas.openxmlformats.org/officeDocument/2006/relationships/hyperlink" Id="rId248" Target="https://cghlewis.github.io/mpsi-data-training/collection.html" TargetMode="External" /><Relationship Type="http://schemas.openxmlformats.org/officeDocument/2006/relationships/hyperlink" Id="rId246" Target="https://cghlewis.github.io/mpsi-data-training/document.html" TargetMode="External" /><Relationship Type="http://schemas.openxmlformats.org/officeDocument/2006/relationships/hyperlink" Id="rId412" Target="https://cghlewis.github.io/mpsi-data-training/img/sample_sop.pdf" TargetMode="External" /><Relationship Type="http://schemas.openxmlformats.org/officeDocument/2006/relationships/hyperlink" Id="rId242" Target="https://cghlewis.github.io/mpsi-data-training/randr.html" TargetMode="External" /><Relationship Type="http://schemas.openxmlformats.org/officeDocument/2006/relationships/hyperlink" Id="rId258" Target="https://cghlewis.github.io/mpsi-data-training/share.html" TargetMode="External" /><Relationship Type="http://schemas.openxmlformats.org/officeDocument/2006/relationships/hyperlink" Id="rId254" Target="https://cghlewis.github.io/mpsi-data-training/storage.html" TargetMode="External" /><Relationship Type="http://schemas.openxmlformats.org/officeDocument/2006/relationships/hyperlink" Id="rId244" Target="https://cghlewis.github.io/mpsi-data-training/taskmgmt.html" TargetMode="External" /><Relationship Type="http://schemas.openxmlformats.org/officeDocument/2006/relationships/hyperlink" Id="rId250" Target="https://cghlewis.github.io/mpsi-data-training/tracking.html" TargetMode="External" /><Relationship Type="http://schemas.openxmlformats.org/officeDocument/2006/relationships/hyperlink" Id="rId450" Target="https://data.nal.usda.gov/data-dictionary-blank-template" TargetMode="External" /><Relationship Type="http://schemas.openxmlformats.org/officeDocument/2006/relationships/hyperlink" Id="rId311" Target="https://dataoneorg.github.io/Education/bestpractices/define-roles-and" TargetMode="External" /><Relationship Type="http://schemas.openxmlformats.org/officeDocument/2006/relationships/hyperlink" Id="rId228" Target="https://dataoneorg.github.io/Education/bestpractices/provide-budget-information" TargetMode="External" /><Relationship Type="http://schemas.openxmlformats.org/officeDocument/2006/relationships/hyperlink" Id="rId505" Target="https://ddialliance.org/controlled-vocabularies" TargetMode="External" /><Relationship Type="http://schemas.openxmlformats.org/officeDocument/2006/relationships/hyperlink" Id="rId514" Target="https://ddialliance.org/resources/ddi-profiles/dc" TargetMode="External" /><Relationship Type="http://schemas.openxmlformats.org/officeDocument/2006/relationships/hyperlink" Id="rId377" Target="https://depts.washington.edu/wildfire/resources/protckl.pdf" TargetMode="External" /><Relationship Type="http://schemas.openxmlformats.org/officeDocument/2006/relationships/hyperlink" Id="rId471" Target="https://dmeg.cessda.eu/Data-Management-Expert-Guide/2.-Organise-Document/Documentation-and-metadata" TargetMode="External" /><Relationship Type="http://schemas.openxmlformats.org/officeDocument/2006/relationships/hyperlink" Id="rId359" Target="https://dmeg.cessda.eu/Data-Management-Expert-Guide/3.-Process/Data-authenticity" TargetMode="External" /><Relationship Type="http://schemas.openxmlformats.org/officeDocument/2006/relationships/hyperlink" Id="rId209"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35"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1"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75" Target="https://doi.org/10.1177/23328584211006475" TargetMode="External" /><Relationship Type="http://schemas.openxmlformats.org/officeDocument/2006/relationships/hyperlink" Id="rId588"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01" Target="https://doi.org/10.31234/osf.io/5qc6h" TargetMode="External" /><Relationship Type="http://schemas.openxmlformats.org/officeDocument/2006/relationships/hyperlink" Id="rId82" Target="https://doi.org/10.35542/osf.io/xqfwb" TargetMode="External" /><Relationship Type="http://schemas.openxmlformats.org/officeDocument/2006/relationships/hyperlink" Id="rId495" Target="https://doi.org/10.3886/E121381V1" TargetMode="External" /><Relationship Type="http://schemas.openxmlformats.org/officeDocument/2006/relationships/hyperlink" Id="rId383" Target="https://doi.org/10.3886/ICPSR38290.V1" TargetMode="External" /><Relationship Type="http://schemas.openxmlformats.org/officeDocument/2006/relationships/hyperlink" Id="rId285"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9" Target="https://doi.org/10.5278/16k4-4n24" TargetMode="External" /><Relationship Type="http://schemas.openxmlformats.org/officeDocument/2006/relationships/hyperlink" Id="rId235"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1"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365" Target="https://en.wikipedia.org/w/index.php?title=Style_guide&amp;oldid=1131556370" TargetMode="External" /><Relationship Type="http://schemas.openxmlformats.org/officeDocument/2006/relationships/hyperlink" Id="rId22" Target="https://eric.ed.gov/?id=ED583982" TargetMode="External" /><Relationship Type="http://schemas.openxmlformats.org/officeDocument/2006/relationships/hyperlink" Id="rId350" Target="https://eur-synclab.github.io/" TargetMode="External" /><Relationship Type="http://schemas.openxmlformats.org/officeDocument/2006/relationships/hyperlink" Id="rId481" Target="https://figshare.com/" TargetMode="External" /><Relationship Type="http://schemas.openxmlformats.org/officeDocument/2006/relationships/hyperlink" Id="rId465" Target="https://github.com/Cghlewis/codebook-pkg-comparison" TargetMode="External" /><Relationship Type="http://schemas.openxmlformats.org/officeDocument/2006/relationships/hyperlink" Id="rId486" Target="https://guides.lib.uci.edu/datamanagement/describe" TargetMode="External" /><Relationship Type="http://schemas.openxmlformats.org/officeDocument/2006/relationships/hyperlink" Id="rId479" Target="https://guides.lib.utexas.edu/metadata-basics/key-concepts"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452" Target="https://help.osf.io/article/217-how-to-make-a-data-dictionary" TargetMode="External" /><Relationship Type="http://schemas.openxmlformats.org/officeDocument/2006/relationships/hyperlink" Id="rId472" Target="https://howtofair.dk/how-to-fair/metadata/" TargetMode="External" /><Relationship Type="http://schemas.openxmlformats.org/officeDocument/2006/relationships/hyperlink" Id="rId438" Target="https://ictrweb.johnshopkins.edu/ictr/dmig/Best_Practice/a8376318-ebd6-421f-be63-acf8c88376a1_6342a1c3-1a5d-4287-a46e-374824e3780e.html?v=65849&amp;ip=hpdkvlttuiyioooqhw" TargetMode="External" /><Relationship Type="http://schemas.openxmlformats.org/officeDocument/2006/relationships/hyperlink" Id="rId371" Target="https://ictrweb.johnshopkins.edu/ictr/dmig/Best_Practice/home.html?v=65849" TargetMode="External" /><Relationship Type="http://schemas.openxmlformats.org/officeDocument/2006/relationships/hyperlink" Id="rId117"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0"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16"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8" Target="https://library.csp.edu/Zotero/workflow" TargetMode="External" /><Relationship Type="http://schemas.openxmlformats.org/officeDocument/2006/relationships/hyperlink" Id="rId436" Target="https://library.ucmerced.edu/data-dictionaries" TargetMode="External" /><Relationship Type="http://schemas.openxmlformats.org/officeDocument/2006/relationships/hyperlink" Id="rId523" Target="https://library.umassmed.edu/resources/necdmc/modules" TargetMode="External" /><Relationship Type="http://schemas.openxmlformats.org/officeDocument/2006/relationships/hyperlink" Id="rId218" Target="https://library.weill.cornell.edu/research-support/research-data-management-retention-and-sharing" TargetMode="External" /><Relationship Type="http://schemas.openxmlformats.org/officeDocument/2006/relationships/hyperlink" Id="rId394" Target="https://nces.ed.gov/pubs2015/2015074.pdf" TargetMode="External" /><Relationship Type="http://schemas.openxmlformats.org/officeDocument/2006/relationships/hyperlink" Id="rId203"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8" Target="https://osf.io/mdh87/" TargetMode="External" /><Relationship Type="http://schemas.openxmlformats.org/officeDocument/2006/relationships/hyperlink" Id="rId58" Target="https://pitt.libguides.com/managedata/understanding" TargetMode="External" /><Relationship Type="http://schemas.openxmlformats.org/officeDocument/2006/relationships/hyperlink" Id="rId504" Target="https://pitt.libguides.com/metadatadiscovery/metadata-standards" TargetMode="External" /><Relationship Type="http://schemas.openxmlformats.org/officeDocument/2006/relationships/hyperlink" Id="rId97" Target="https://psyarxiv.com/rsn5y/" TargetMode="External" /><Relationship Type="http://schemas.openxmlformats.org/officeDocument/2006/relationships/hyperlink" Id="rId381"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20" Target="https://sharing.nih.gov/data-management-and-sharing-policy/planning-and-budgeting-for-data-management-and-sharing/budgeting-for-data-management-sharing#after" TargetMode="External" /><Relationship Type="http://schemas.openxmlformats.org/officeDocument/2006/relationships/hyperlink" Id="rId338" Target="https://thefaylab.github.io/lab-manual/" TargetMode="External" /><Relationship Type="http://schemas.openxmlformats.org/officeDocument/2006/relationships/hyperlink" Id="rId315" Target="https://tinyurl.com/nhba9mhc"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22" Target="https://ukdataservice.ac.uk//app/uploads/costingtool.pdf" TargetMode="External" /><Relationship Type="http://schemas.openxmlformats.org/officeDocument/2006/relationships/hyperlink" Id="rId474" Target="https://ukdataservice.ac.uk/learning-hub/research-data-management/document-your-data/metadata/" TargetMode="External" /><Relationship Type="http://schemas.openxmlformats.org/officeDocument/2006/relationships/hyperlink" Id="rId416" Target="https://ukdataservice.ac.uk/learning-hub/research-data-management/format-your-data/quality/" TargetMode="External" /><Relationship Type="http://schemas.openxmlformats.org/officeDocument/2006/relationships/hyperlink" Id="rId423" Target="https://ukdataservice.ac.uk/learning-hub/research-data-management/format-your-data/versioning/" TargetMode="External" /><Relationship Type="http://schemas.openxmlformats.org/officeDocument/2006/relationships/hyperlink" Id="rId216" Target="https://ukdataservice.ac.uk/learning-hub/research-data-management/plan-to-share/costing/" TargetMode="External" /><Relationship Type="http://schemas.openxmlformats.org/officeDocument/2006/relationships/hyperlink" Id="rId300" Target="https://ukdataservice.ac.uk/learning-hub/research-data-management/plan-to-share/roles-and-responsibilities/" TargetMode="External" /><Relationship Type="http://schemas.openxmlformats.org/officeDocument/2006/relationships/hyperlink" Id="rId340" Target="https://uploads.strikinglycdn.com/files/f3dfcf89-32f2-48cb-94cd-3070f733c53d/RAISE%20Lab%20Guidelines_Final.pdf" TargetMode="External" /><Relationship Type="http://schemas.openxmlformats.org/officeDocument/2006/relationships/hyperlink" Id="rId293"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89"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456" Target="https://www.icpsr.umich.edu/files/deposit/Guide-to-Codebooks_v1.pdf" TargetMode="External" /><Relationship Type="http://schemas.openxmlformats.org/officeDocument/2006/relationships/hyperlink" Id="rId492" Target="https://www.icpsr.umich.edu/web/pages/datamanagement/lifecycle/metadata.html" TargetMode="External" /><Relationship Type="http://schemas.openxmlformats.org/officeDocument/2006/relationships/hyperlink" Id="rId198" Target="https://www.icpsr.umich.edu/web/pages/deposit/guide/" TargetMode="External" /><Relationship Type="http://schemas.openxmlformats.org/officeDocument/2006/relationships/hyperlink" Id="rId491" Target="https://www.ldbase.org/resources/user-guide/information-to-gather" TargetMode="External" /><Relationship Type="http://schemas.openxmlformats.org/officeDocument/2006/relationships/hyperlink" Id="rId477" Target="https://www.lib.uiowa.edu/" TargetMode="External" /><Relationship Type="http://schemas.openxmlformats.org/officeDocument/2006/relationships/hyperlink" Id="rId213"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5" Target="https://www.nsf.gov/bfa/dias/policy/dmpdocs/ehr.pdf" TargetMode="External" /><Relationship Type="http://schemas.openxmlformats.org/officeDocument/2006/relationships/hyperlink" Id="rId400" Target="https://www.nucats.northwestern.edu/docs/cecd/overview-of-sops.pdf" TargetMode="External" /><Relationship Type="http://schemas.openxmlformats.org/officeDocument/2006/relationships/hyperlink" Id="rId408" Target="https://www.nucats.northwestern.edu/docs/cecd/writing-sops-and-templates.pdf" TargetMode="External" /><Relationship Type="http://schemas.openxmlformats.org/officeDocument/2006/relationships/hyperlink" Id="rId357" Target="https://www.povertyactionlab.org/resource/formalize-research-partnership-and-establish-roles-and-expectations" TargetMode="External" /><Relationship Type="http://schemas.openxmlformats.org/officeDocument/2006/relationships/hyperlink" Id="rId280" Target="https://www.povertyactionlab.org/sites/default/files/research-resources/rr_grantprop_Template_Gantt_Chart.pdf" TargetMode="External" /><Relationship Type="http://schemas.openxmlformats.org/officeDocument/2006/relationships/hyperlink" Id="rId333" Target="https://www.rsb.org.uk//biologist-features/how-to-write-a-lab-handbook" TargetMode="External" /><Relationship Type="http://schemas.openxmlformats.org/officeDocument/2006/relationships/hyperlink" Id="rId342" Target="https://www.rsb.org.uk/images/biologist/2020/Apr_May_2020_67-2/67.2_Handbook.pdf" TargetMode="External" /><Relationship Type="http://schemas.openxmlformats.org/officeDocument/2006/relationships/hyperlink" Id="rId508" Target="https://www.schema.org/" TargetMode="External" /><Relationship Type="http://schemas.openxmlformats.org/officeDocument/2006/relationships/hyperlink" Id="rId179" Target="https://www.theanalysisfactor.com/wide-and-long-data/" TargetMode="External" /><Relationship Type="http://schemas.openxmlformats.org/officeDocument/2006/relationships/hyperlink" Id="rId694" Target="https://www.usgs.gov/data-management/metadata-creation#tools"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410" Target="https://www.uts.edu.au/sites/default/files/2020-07/5.5.5%20Allocation%20of%20Participant%20ID%20Numbers%20V2.5_20200520.pdf" TargetMode="External" /><Relationship Type="http://schemas.openxmlformats.org/officeDocument/2006/relationships/hyperlink" Id="rId224" Target="https://www.utwente.nl/en/service-portal/services/lisa/resources/files/library-public/dcc-rdm-costs-estimation.pdf" TargetMode="External" /><Relationship Type="http://schemas.openxmlformats.org/officeDocument/2006/relationships/hyperlink" Id="rId226" Target="https://www.uu.nl/en/research/research-data-management/guides/costs-of-data-management" TargetMode="External" /><Relationship Type="http://schemas.openxmlformats.org/officeDocument/2006/relationships/hyperlink" Id="rId25" Target="https://www.whitehouse.gov/ostp/news-updates/2022/08/25/ostp-issues-guidance-to-make-federally-funded-research-freely-available-without-delay/" TargetMode="External" /></Relationships>
</file>

<file path=word/_rels/footnotes.xml.rels><?xml version="1.0" encoding="UTF-8"?><Relationships xmlns="http://schemas.openxmlformats.org/package/2006/relationships"><Relationship Type="http://schemas.openxmlformats.org/officeDocument/2006/relationships/hyperlink" Id="rId379" Target="http://orrp.osu.edu/files/2011/10/GuidelinesforWritingaResearchProtocol.pdf" TargetMode="External" /><Relationship Type="http://schemas.openxmlformats.org/officeDocument/2006/relationships/hyperlink" Id="rId443" Target="http://websites.umich.edu/~pals/PALS%202000_V13Word97.pdf" TargetMode="External" /><Relationship Type="http://schemas.openxmlformats.org/officeDocument/2006/relationships/hyperlink" Id="rId434"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2" Target="https://cghlewis.github.io/mpsi-data-training/capture.html" TargetMode="External" /><Relationship Type="http://schemas.openxmlformats.org/officeDocument/2006/relationships/hyperlink" Id="rId256" Target="https://cghlewis.github.io/mpsi-data-training/clean.html" TargetMode="External" /><Relationship Type="http://schemas.openxmlformats.org/officeDocument/2006/relationships/hyperlink" Id="rId248" Target="https://cghlewis.github.io/mpsi-data-training/collection.html" TargetMode="External" /><Relationship Type="http://schemas.openxmlformats.org/officeDocument/2006/relationships/hyperlink" Id="rId246" Target="https://cghlewis.github.io/mpsi-data-training/document.html" TargetMode="External" /><Relationship Type="http://schemas.openxmlformats.org/officeDocument/2006/relationships/hyperlink" Id="rId412" Target="https://cghlewis.github.io/mpsi-data-training/img/sample_sop.pdf" TargetMode="External" /><Relationship Type="http://schemas.openxmlformats.org/officeDocument/2006/relationships/hyperlink" Id="rId242" Target="https://cghlewis.github.io/mpsi-data-training/randr.html" TargetMode="External" /><Relationship Type="http://schemas.openxmlformats.org/officeDocument/2006/relationships/hyperlink" Id="rId258" Target="https://cghlewis.github.io/mpsi-data-training/share.html" TargetMode="External" /><Relationship Type="http://schemas.openxmlformats.org/officeDocument/2006/relationships/hyperlink" Id="rId254" Target="https://cghlewis.github.io/mpsi-data-training/storage.html" TargetMode="External" /><Relationship Type="http://schemas.openxmlformats.org/officeDocument/2006/relationships/hyperlink" Id="rId244" Target="https://cghlewis.github.io/mpsi-data-training/taskmgmt.html" TargetMode="External" /><Relationship Type="http://schemas.openxmlformats.org/officeDocument/2006/relationships/hyperlink" Id="rId250" Target="https://cghlewis.github.io/mpsi-data-training/tracking.html" TargetMode="External" /><Relationship Type="http://schemas.openxmlformats.org/officeDocument/2006/relationships/hyperlink" Id="rId450" Target="https://data.nal.usda.gov/data-dictionary-blank-template" TargetMode="External" /><Relationship Type="http://schemas.openxmlformats.org/officeDocument/2006/relationships/hyperlink" Id="rId311" Target="https://dataoneorg.github.io/Education/bestpractices/define-roles-and" TargetMode="External" /><Relationship Type="http://schemas.openxmlformats.org/officeDocument/2006/relationships/hyperlink" Id="rId228" Target="https://dataoneorg.github.io/Education/bestpractices/provide-budget-information" TargetMode="External" /><Relationship Type="http://schemas.openxmlformats.org/officeDocument/2006/relationships/hyperlink" Id="rId505" Target="https://ddialliance.org/controlled-vocabularies" TargetMode="External" /><Relationship Type="http://schemas.openxmlformats.org/officeDocument/2006/relationships/hyperlink" Id="rId514" Target="https://ddialliance.org/resources/ddi-profiles/dc" TargetMode="External" /><Relationship Type="http://schemas.openxmlformats.org/officeDocument/2006/relationships/hyperlink" Id="rId377" Target="https://depts.washington.edu/wildfire/resources/protckl.pdf" TargetMode="External" /><Relationship Type="http://schemas.openxmlformats.org/officeDocument/2006/relationships/hyperlink" Id="rId471" Target="https://dmeg.cessda.eu/Data-Management-Expert-Guide/2.-Organise-Document/Documentation-and-metadata" TargetMode="External" /><Relationship Type="http://schemas.openxmlformats.org/officeDocument/2006/relationships/hyperlink" Id="rId359" Target="https://dmeg.cessda.eu/Data-Management-Expert-Guide/3.-Process/Data-authenticity" TargetMode="External" /><Relationship Type="http://schemas.openxmlformats.org/officeDocument/2006/relationships/hyperlink" Id="rId209"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35"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1"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75" Target="https://doi.org/10.1177/23328584211006475" TargetMode="External" /><Relationship Type="http://schemas.openxmlformats.org/officeDocument/2006/relationships/hyperlink" Id="rId588"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01" Target="https://doi.org/10.31234/osf.io/5qc6h" TargetMode="External" /><Relationship Type="http://schemas.openxmlformats.org/officeDocument/2006/relationships/hyperlink" Id="rId82" Target="https://doi.org/10.35542/osf.io/xqfwb" TargetMode="External" /><Relationship Type="http://schemas.openxmlformats.org/officeDocument/2006/relationships/hyperlink" Id="rId495" Target="https://doi.org/10.3886/E121381V1" TargetMode="External" /><Relationship Type="http://schemas.openxmlformats.org/officeDocument/2006/relationships/hyperlink" Id="rId383" Target="https://doi.org/10.3886/ICPSR38290.V1" TargetMode="External" /><Relationship Type="http://schemas.openxmlformats.org/officeDocument/2006/relationships/hyperlink" Id="rId285"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9" Target="https://doi.org/10.5278/16k4-4n24" TargetMode="External" /><Relationship Type="http://schemas.openxmlformats.org/officeDocument/2006/relationships/hyperlink" Id="rId235"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1"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365" Target="https://en.wikipedia.org/w/index.php?title=Style_guide&amp;oldid=1131556370" TargetMode="External" /><Relationship Type="http://schemas.openxmlformats.org/officeDocument/2006/relationships/hyperlink" Id="rId22" Target="https://eric.ed.gov/?id=ED583982" TargetMode="External" /><Relationship Type="http://schemas.openxmlformats.org/officeDocument/2006/relationships/hyperlink" Id="rId350" Target="https://eur-synclab.github.io/" TargetMode="External" /><Relationship Type="http://schemas.openxmlformats.org/officeDocument/2006/relationships/hyperlink" Id="rId481" Target="https://figshare.com/" TargetMode="External" /><Relationship Type="http://schemas.openxmlformats.org/officeDocument/2006/relationships/hyperlink" Id="rId465" Target="https://github.com/Cghlewis/codebook-pkg-comparison" TargetMode="External" /><Relationship Type="http://schemas.openxmlformats.org/officeDocument/2006/relationships/hyperlink" Id="rId486" Target="https://guides.lib.uci.edu/datamanagement/describe" TargetMode="External" /><Relationship Type="http://schemas.openxmlformats.org/officeDocument/2006/relationships/hyperlink" Id="rId479" Target="https://guides.lib.utexas.edu/metadata-basics/key-concepts"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452" Target="https://help.osf.io/article/217-how-to-make-a-data-dictionary" TargetMode="External" /><Relationship Type="http://schemas.openxmlformats.org/officeDocument/2006/relationships/hyperlink" Id="rId472" Target="https://howtofair.dk/how-to-fair/metadata/" TargetMode="External" /><Relationship Type="http://schemas.openxmlformats.org/officeDocument/2006/relationships/hyperlink" Id="rId438" Target="https://ictrweb.johnshopkins.edu/ictr/dmig/Best_Practice/a8376318-ebd6-421f-be63-acf8c88376a1_6342a1c3-1a5d-4287-a46e-374824e3780e.html?v=65849&amp;ip=hpdkvlttuiyioooqhw" TargetMode="External" /><Relationship Type="http://schemas.openxmlformats.org/officeDocument/2006/relationships/hyperlink" Id="rId371" Target="https://ictrweb.johnshopkins.edu/ictr/dmig/Best_Practice/home.html?v=65849" TargetMode="External" /><Relationship Type="http://schemas.openxmlformats.org/officeDocument/2006/relationships/hyperlink" Id="rId117"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0"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16"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8" Target="https://library.csp.edu/Zotero/workflow" TargetMode="External" /><Relationship Type="http://schemas.openxmlformats.org/officeDocument/2006/relationships/hyperlink" Id="rId436" Target="https://library.ucmerced.edu/data-dictionaries" TargetMode="External" /><Relationship Type="http://schemas.openxmlformats.org/officeDocument/2006/relationships/hyperlink" Id="rId523" Target="https://library.umassmed.edu/resources/necdmc/modules" TargetMode="External" /><Relationship Type="http://schemas.openxmlformats.org/officeDocument/2006/relationships/hyperlink" Id="rId218" Target="https://library.weill.cornell.edu/research-support/research-data-management-retention-and-sharing" TargetMode="External" /><Relationship Type="http://schemas.openxmlformats.org/officeDocument/2006/relationships/hyperlink" Id="rId394" Target="https://nces.ed.gov/pubs2015/2015074.pdf" TargetMode="External" /><Relationship Type="http://schemas.openxmlformats.org/officeDocument/2006/relationships/hyperlink" Id="rId203"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8" Target="https://osf.io/mdh87/" TargetMode="External" /><Relationship Type="http://schemas.openxmlformats.org/officeDocument/2006/relationships/hyperlink" Id="rId58" Target="https://pitt.libguides.com/managedata/understanding" TargetMode="External" /><Relationship Type="http://schemas.openxmlformats.org/officeDocument/2006/relationships/hyperlink" Id="rId504" Target="https://pitt.libguides.com/metadatadiscovery/metadata-standards" TargetMode="External" /><Relationship Type="http://schemas.openxmlformats.org/officeDocument/2006/relationships/hyperlink" Id="rId97" Target="https://psyarxiv.com/rsn5y/" TargetMode="External" /><Relationship Type="http://schemas.openxmlformats.org/officeDocument/2006/relationships/hyperlink" Id="rId381"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20" Target="https://sharing.nih.gov/data-management-and-sharing-policy/planning-and-budgeting-for-data-management-and-sharing/budgeting-for-data-management-sharing#after" TargetMode="External" /><Relationship Type="http://schemas.openxmlformats.org/officeDocument/2006/relationships/hyperlink" Id="rId338" Target="https://thefaylab.github.io/lab-manual/" TargetMode="External" /><Relationship Type="http://schemas.openxmlformats.org/officeDocument/2006/relationships/hyperlink" Id="rId315" Target="https://tinyurl.com/nhba9mhc"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22" Target="https://ukdataservice.ac.uk//app/uploads/costingtool.pdf" TargetMode="External" /><Relationship Type="http://schemas.openxmlformats.org/officeDocument/2006/relationships/hyperlink" Id="rId474" Target="https://ukdataservice.ac.uk/learning-hub/research-data-management/document-your-data/metadata/" TargetMode="External" /><Relationship Type="http://schemas.openxmlformats.org/officeDocument/2006/relationships/hyperlink" Id="rId416" Target="https://ukdataservice.ac.uk/learning-hub/research-data-management/format-your-data/quality/" TargetMode="External" /><Relationship Type="http://schemas.openxmlformats.org/officeDocument/2006/relationships/hyperlink" Id="rId423" Target="https://ukdataservice.ac.uk/learning-hub/research-data-management/format-your-data/versioning/" TargetMode="External" /><Relationship Type="http://schemas.openxmlformats.org/officeDocument/2006/relationships/hyperlink" Id="rId216" Target="https://ukdataservice.ac.uk/learning-hub/research-data-management/plan-to-share/costing/" TargetMode="External" /><Relationship Type="http://schemas.openxmlformats.org/officeDocument/2006/relationships/hyperlink" Id="rId300" Target="https://ukdataservice.ac.uk/learning-hub/research-data-management/plan-to-share/roles-and-responsibilities/" TargetMode="External" /><Relationship Type="http://schemas.openxmlformats.org/officeDocument/2006/relationships/hyperlink" Id="rId340" Target="https://uploads.strikinglycdn.com/files/f3dfcf89-32f2-48cb-94cd-3070f733c53d/RAISE%20Lab%20Guidelines_Final.pdf" TargetMode="External" /><Relationship Type="http://schemas.openxmlformats.org/officeDocument/2006/relationships/hyperlink" Id="rId293"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89"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456" Target="https://www.icpsr.umich.edu/files/deposit/Guide-to-Codebooks_v1.pdf" TargetMode="External" /><Relationship Type="http://schemas.openxmlformats.org/officeDocument/2006/relationships/hyperlink" Id="rId492" Target="https://www.icpsr.umich.edu/web/pages/datamanagement/lifecycle/metadata.html" TargetMode="External" /><Relationship Type="http://schemas.openxmlformats.org/officeDocument/2006/relationships/hyperlink" Id="rId198" Target="https://www.icpsr.umich.edu/web/pages/deposit/guide/" TargetMode="External" /><Relationship Type="http://schemas.openxmlformats.org/officeDocument/2006/relationships/hyperlink" Id="rId491" Target="https://www.ldbase.org/resources/user-guide/information-to-gather" TargetMode="External" /><Relationship Type="http://schemas.openxmlformats.org/officeDocument/2006/relationships/hyperlink" Id="rId477" Target="https://www.lib.uiowa.edu/" TargetMode="External" /><Relationship Type="http://schemas.openxmlformats.org/officeDocument/2006/relationships/hyperlink" Id="rId213"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5" Target="https://www.nsf.gov/bfa/dias/policy/dmpdocs/ehr.pdf" TargetMode="External" /><Relationship Type="http://schemas.openxmlformats.org/officeDocument/2006/relationships/hyperlink" Id="rId400" Target="https://www.nucats.northwestern.edu/docs/cecd/overview-of-sops.pdf" TargetMode="External" /><Relationship Type="http://schemas.openxmlformats.org/officeDocument/2006/relationships/hyperlink" Id="rId408" Target="https://www.nucats.northwestern.edu/docs/cecd/writing-sops-and-templates.pdf" TargetMode="External" /><Relationship Type="http://schemas.openxmlformats.org/officeDocument/2006/relationships/hyperlink" Id="rId357" Target="https://www.povertyactionlab.org/resource/formalize-research-partnership-and-establish-roles-and-expectations" TargetMode="External" /><Relationship Type="http://schemas.openxmlformats.org/officeDocument/2006/relationships/hyperlink" Id="rId280" Target="https://www.povertyactionlab.org/sites/default/files/research-resources/rr_grantprop_Template_Gantt_Chart.pdf" TargetMode="External" /><Relationship Type="http://schemas.openxmlformats.org/officeDocument/2006/relationships/hyperlink" Id="rId333" Target="https://www.rsb.org.uk//biologist-features/how-to-write-a-lab-handbook" TargetMode="External" /><Relationship Type="http://schemas.openxmlformats.org/officeDocument/2006/relationships/hyperlink" Id="rId342" Target="https://www.rsb.org.uk/images/biologist/2020/Apr_May_2020_67-2/67.2_Handbook.pdf" TargetMode="External" /><Relationship Type="http://schemas.openxmlformats.org/officeDocument/2006/relationships/hyperlink" Id="rId508" Target="https://www.schema.org/" TargetMode="External" /><Relationship Type="http://schemas.openxmlformats.org/officeDocument/2006/relationships/hyperlink" Id="rId179" Target="https://www.theanalysisfactor.com/wide-and-long-data/" TargetMode="External" /><Relationship Type="http://schemas.openxmlformats.org/officeDocument/2006/relationships/hyperlink" Id="rId694" Target="https://www.usgs.gov/data-management/metadata-creation#tools"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410" Target="https://www.uts.edu.au/sites/default/files/2020-07/5.5.5%20Allocation%20of%20Participant%20ID%20Numbers%20V2.5_20200520.pdf" TargetMode="External" /><Relationship Type="http://schemas.openxmlformats.org/officeDocument/2006/relationships/hyperlink" Id="rId224" Target="https://www.utwente.nl/en/service-portal/services/lisa/resources/files/library-public/dcc-rdm-costs-estimation.pdf" TargetMode="External" /><Relationship Type="http://schemas.openxmlformats.org/officeDocument/2006/relationships/hyperlink" Id="rId226" Target="https://www.uu.nl/en/research/research-data-management/guides/costs-of-data-management" TargetMode="External" /><Relationship Type="http://schemas.openxmlformats.org/officeDocument/2006/relationships/hyperlink" Id="rId25" Target="https://www.whitehouse.gov/ostp/news-updates/2022/08/25/ostp-issues-guidance-to-make-federally-funded-research-freely-available-without-dela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2023-02-10T19:37:47Z</dcterms:created>
  <dcterms:modified xsi:type="dcterms:W3CDTF">2023-02-10T19:37:47Z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2023-02-10</vt:lpwstr>
  </property>
  <property fmtid="{D5CDD505-2E9C-101B-9397-08002B2CF9AE}" pid="8" name="documentclass">
    <vt:lpwstr>book</vt:lpwstr>
  </property>
  <property fmtid="{D5CDD505-2E9C-101B-9397-08002B2CF9AE}" pid="9" name="site">
    <vt:lpwstr>bookdown::bookdown_site</vt:lpwstr>
  </property>
</Properties>
</file>