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1.png" ContentType="image/png"/>
  <Override PartName="/word/media/rId417.png" ContentType="image/png"/>
  <Override PartName="/word/media/rId73.png" ContentType="image/png"/>
  <Override PartName="/word/media/rId56.png" ContentType="image/png"/>
  <Override PartName="/word/media/rId300.png" ContentType="image/png"/>
  <Override PartName="/word/media/rId46.png" ContentType="image/png"/>
  <Override PartName="/word/media/rId321.png" ContentType="image/png"/>
  <Override PartName="/word/media/rId324.png" ContentType="image/png"/>
  <Override PartName="/word/media/rId424.png" ContentType="image/png"/>
  <Override PartName="/word/media/rId275.png" ContentType="image/png"/>
  <Override PartName="/word/media/rId304.png" ContentType="image/png"/>
  <Override PartName="/word/media/rId399.png" ContentType="image/png"/>
  <Override PartName="/word/media/rId165.png" ContentType="image/png"/>
  <Override PartName="/word/media/rId309.png" ContentType="image/png"/>
  <Override PartName="/word/media/rId312.png" ContentType="image/png"/>
  <Override PartName="/word/media/rId408.png" ContentType="image/png"/>
  <Override PartName="/word/media/rId76.png" ContentType="image/png"/>
  <Override PartName="/word/media/rId70.png" ContentType="image/png"/>
  <Override PartName="/word/media/rId278.png" ContentType="image/png"/>
  <Override PartName="/word/media/rId403.png" ContentType="image/png"/>
  <Override PartName="/word/media/rId180.png" ContentType="image/png"/>
  <Override PartName="/word/media/rId414.png" ContentType="image/png"/>
  <Override PartName="/word/media/rId103.png" ContentType="image/png"/>
  <Override PartName="/word/media/rId211.png" ContentType="image/png"/>
  <Override PartName="/word/media/rId195.png" ContentType="image/png"/>
  <Override PartName="/word/media/rId142.png" ContentType="image/png"/>
  <Override PartName="/word/media/rId188.png" ContentType="image/png"/>
  <Override PartName="/word/media/rId357.png" ContentType="image/png"/>
  <Override PartName="/word/media/rId214.png" ContentType="image/png"/>
  <Override PartName="/word/media/rId375.png" ContentType="image/png"/>
  <Override PartName="/word/media/rId80.png" ContentType="image/png"/>
  <Override PartName="/word/media/rId83.png" ContentType="image/png"/>
  <Override PartName="/word/media/rId86.png" ContentType="image/png"/>
  <Override PartName="/word/media/rId94.png" ContentType="image/png"/>
  <Override PartName="/word/media/rId338.png" ContentType="image/png"/>
  <Override PartName="/word/media/rId335.png" ContentType="image/png"/>
  <Override PartName="/word/media/rId347.png" ContentType="image/png"/>
  <Override PartName="/word/media/rId341.png" ContentType="image/png"/>
  <Override PartName="/word/media/rId344.png" ContentType="image/png"/>
  <Override PartName="/word/media/rId369.png" ContentType="image/png"/>
  <Override PartName="/word/media/rId234.png" ContentType="image/png"/>
  <Override PartName="/word/media/rId379.png" ContentType="image/png"/>
  <Override PartName="/word/media/rId383.png" ContentType="image/png"/>
  <Override PartName="/word/media/rId388.png" ContentType="image/png"/>
  <Override PartName="/word/media/rId391.png" ContentType="image/png"/>
  <Override PartName="/word/media/rId258.png" ContentType="image/png"/>
  <Override PartName="/word/media/rId292.png" ContentType="image/png"/>
  <Override PartName="/word/media/rId51.png" ContentType="image/png"/>
  <Override PartName="/word/media/rId61.png" ContentType="image/png"/>
  <Override PartName="/word/media/rId202.png" ContentType="image/png"/>
  <Override PartName="/word/media/rId205.png" ContentType="image/png"/>
  <Override PartName="/word/media/rId285.png" ContentType="image/png"/>
  <Override PartName="/word/media/rId282.png" ContentType="image/png"/>
  <Override PartName="/word/media/rId350.png" ContentType="image/png"/>
  <Override PartName="/word/media/rId177.png" ContentType="image/png"/>
  <Override PartName="/word/media/rId272.png" ContentType="image/png"/>
  <Override PartName="/word/media/rId67.png" ContentType="image/png"/>
  <Override PartName="/word/media/rId64.png" ContentType="image/png"/>
  <Override PartName="/word/media/rId90.png" ContentType="image/png"/>
  <Override PartName="/word/media/rId224.png" ContentType="image/png"/>
  <Override PartName="/word/media/rId171.png" ContentType="image/png"/>
  <Override PartName="/word/media/rId174.png" ContentType="image/png"/>
  <Override PartName="/word/media/rId3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2023-05-03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1"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w:t>
      </w:r>
      <w:r>
        <w:rPr>
          <w:iCs/>
          <w:i/>
        </w:rPr>
        <w:t xml:space="preserve"> </w:t>
      </w:r>
      <w:r>
        <w:rPr>
          <w:iCs/>
          <w:i/>
        </w:rPr>
        <w:t xml:space="preserve">Hubbard (</w:t>
      </w:r>
      <w:hyperlink w:anchor="ref-hubbard_data_2017">
        <w:r>
          <w:rPr>
            <w:rStyle w:val="Hyperlink"/>
            <w:iCs/>
            <w:i/>
          </w:rPr>
          <w:t xml:space="preserve">2017</w:t>
        </w:r>
      </w:hyperlink>
      <w:r>
        <w:rPr>
          <w:iCs/>
          <w:i/>
        </w:rPr>
        <w:t xml:space="preserve">)</w:t>
      </w:r>
    </w:p>
    <w:bookmarkStart w:id="21"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position with a prevention science research center. My job was to coordinate the collection and management of data for federally funded randomized controlled trial efficacy studies taking place in K-12 schools, along with a team of investigators, other full-time staff, part-time data collectors, and graduate students. While I had some experience analyzing and working with education data, i.e. ECLS-K,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capture tools, organize and document data inputs, and produce usable data outputs; but I didn’t learn to do these things through any formal training. There were no books, courses, or workshops that I learned from. I learned from colleagues and a large amount of trial and error. Since then, as I have met more PIs, data managers, and project coordinators in education research, I realize that this is a common method for learning data management (mentoring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1"/>
    <w:bookmarkStart w:id="24"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t xml:space="preserve"> </w:t>
      </w:r>
      <w:r>
        <w:t xml:space="preserve">(</w:t>
      </w:r>
      <w:hyperlink w:anchor="ref-briney_data_2015">
        <w:r>
          <w:rPr>
            <w:rStyle w:val="Hyperlink"/>
          </w:rPr>
          <w:t xml:space="preserve">Briney 2015</w:t>
        </w:r>
      </w:hyperlink>
      <w:r>
        <w:t xml:space="preserve">;</w:t>
      </w:r>
      <w:r>
        <w:t xml:space="preserve"> </w:t>
      </w:r>
      <w:hyperlink w:anchor="ref-nelson_ostp_2022">
        <w:r>
          <w:rPr>
            <w:rStyle w:val="Hyperlink"/>
          </w:rPr>
          <w:t xml:space="preserve">Nelson 2022</w:t>
        </w:r>
      </w:hyperlink>
      <w:r>
        <w:t xml:space="preserve">)</w:t>
      </w:r>
      <w:r>
        <w:t xml:space="preserve">. Ad hoc data management practices may have worked for us in the past, but now others need to understand our processes as well, requiring researchers to be more thoughtful in planning their data management routines.</w:t>
      </w:r>
    </w:p>
    <w:bookmarkStart w:id="22"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w:t>
      </w:r>
      <w:r>
        <w:t xml:space="preserve"> </w:t>
      </w:r>
      <w:r>
        <w:t xml:space="preserve">Borghi and Van Gulick (</w:t>
      </w:r>
      <w:hyperlink w:anchor="ref-borghi_data_2021">
        <w:r>
          <w:rPr>
            <w:rStyle w:val="Hyperlink"/>
          </w:rPr>
          <w:t xml:space="preserve">2021</w:t>
        </w:r>
      </w:hyperlink>
      <w:r>
        <w:t xml:space="preserve">)</w:t>
      </w:r>
      <w:r>
        <w:t xml:space="preserve"> </w:t>
      </w:r>
      <w:r>
        <w:t xml:space="preserve">found that only 33% of respondents learned data management from college level coursework, while 64% learned from collaborators, and 52% learned from self-education. In their survey of 202 education researchers (PIs and Co-PIs),</w:t>
      </w:r>
      <w:r>
        <w:t xml:space="preserve"> </w:t>
      </w:r>
      <w:r>
        <w:t xml:space="preserve">Ceviren and Logan (</w:t>
      </w:r>
      <w:hyperlink w:anchor="X5bae659f86833a38d74a2eed52821ad689afee8">
        <w:r>
          <w:rPr>
            <w:rStyle w:val="Hyperlink"/>
          </w:rPr>
          <w:t xml:space="preserve">2022</w:t>
        </w:r>
      </w:hyperlink>
      <w:r>
        <w:t xml:space="preserve">)</w:t>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 Similarly, in a survey of 150 graduate students in a school of education, when asked if they needed more training in research data management, the average overall score on a scale from 1 to 100 was 80, while the overall confidence in managing data score was only 40</w:t>
      </w:r>
      <w:r>
        <w:t xml:space="preserve"> </w:t>
      </w:r>
      <w:r>
        <w:t xml:space="preserve">(</w:t>
      </w:r>
      <w:hyperlink w:anchor="ref-zhou_research_2023">
        <w:r>
          <w:rPr>
            <w:rStyle w:val="Hyperlink"/>
          </w:rPr>
          <w:t xml:space="preserve">Zhou, Xu, and Kogut 2023</w:t>
        </w:r>
      </w:hyperlink>
      <w:r>
        <w:t xml:space="preserve">)</w:t>
      </w:r>
      <w:r>
        <w:t xml:space="preserve">. Furthermore, of the training that does exist, usually provided through university library systems, most material is either discipline agnostic or STEM focused, leaving a gap in training on how to apply skills to the field of education which has unique issues, particularly around working with human subjects data</w:t>
      </w:r>
      <w:r>
        <w:t xml:space="preserve"> </w:t>
      </w:r>
      <w:r>
        <w:t xml:space="preserve">(</w:t>
      </w:r>
      <w:hyperlink w:anchor="ref-nichols_hess_advancing_2017">
        <w:r>
          <w:rPr>
            <w:rStyle w:val="Hyperlink"/>
          </w:rPr>
          <w:t xml:space="preserve">Nichols Hess and Thielen 2017</w:t>
        </w:r>
      </w:hyperlink>
      <w:r>
        <w:t xml:space="preserve">)</w:t>
      </w:r>
      <w:r>
        <w:t xml:space="preserve">.</w:t>
      </w:r>
    </w:p>
    <w:p>
      <w:pPr>
        <w:pStyle w:val="BodyText"/>
      </w:pPr>
      <w:r>
        <w:t xml:space="preserve">Without training, resources and formal support systems are the next best option for learning best practices. Within university systems, in addition to providing periodic training, research data librarians provide data management planning consultation for researchers and their teams. There is also a wealth of existing research data management books and manuals written for broad audiences which I will link to in this book. However, while education researchers are starting to put out some excellent resources</w:t>
      </w:r>
      <w:r>
        <w:t xml:space="preserve"> </w:t>
      </w:r>
      <w:r>
        <w:t xml:space="preserve">(</w:t>
      </w:r>
      <w:hyperlink w:anchor="ref-neild_sharing_2022">
        <w:r>
          <w:rPr>
            <w:rStyle w:val="Hyperlink"/>
          </w:rPr>
          <w:t xml:space="preserve">Neild, Robinson, and Agufa 2022</w:t>
        </w:r>
      </w:hyperlink>
      <w:r>
        <w:t xml:space="preserve">;</w:t>
      </w:r>
      <w:r>
        <w:t xml:space="preserve"> </w:t>
      </w:r>
      <w:hyperlink w:anchor="ref-reynolds_basics_2022">
        <w:r>
          <w:rPr>
            <w:rStyle w:val="Hyperlink"/>
          </w:rPr>
          <w:t xml:space="preserve">Reynolds, Schatschneider, and Logan 2022</w:t>
        </w:r>
      </w:hyperlink>
      <w:r>
        <w:t xml:space="preserve">)</w:t>
      </w:r>
      <w:r>
        <w:t xml:space="preserve">, I still find there is a dearth of practical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t xml:space="preserve"> </w:t>
      </w:r>
      <w:r>
        <w:t xml:space="preserve">(</w:t>
      </w:r>
      <w:hyperlink w:anchor="ref-kline_technical_2018">
        <w:r>
          <w:rPr>
            <w:rStyle w:val="Hyperlink"/>
          </w:rPr>
          <w:t xml:space="preserve">Kline 2018</w:t>
        </w:r>
      </w:hyperlink>
      <w:r>
        <w:t xml:space="preserve">)</w:t>
      </w:r>
      <w:r>
        <w:t xml:space="preserve">, the field of education has yet to develop agreed upon rules for things such as data documentation or data formats. This lack of standards leads to inconsistencies in the quality and usability of data products across the field</w:t>
      </w:r>
      <w:r>
        <w:t xml:space="preserve"> </w:t>
      </w:r>
      <w:r>
        <w:t xml:space="preserve">(</w:t>
      </w:r>
      <w:hyperlink w:anchor="ref-borghi_promoting_2022">
        <w:r>
          <w:rPr>
            <w:rStyle w:val="Hyperlink"/>
          </w:rPr>
          <w:t xml:space="preserve">Borghi and Van Gulick 2022</w:t>
        </w:r>
      </w:hyperlink>
      <w:r>
        <w:t xml:space="preserve">)</w:t>
      </w:r>
      <w:r>
        <w:t xml:space="preserve">.</w:t>
      </w:r>
    </w:p>
    <w:bookmarkEnd w:id="22"/>
    <w:bookmarkStart w:id="23"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subpar and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t xml:space="preserve"> </w:t>
      </w:r>
      <w:r>
        <w:t xml:space="preserve">(</w:t>
      </w:r>
      <w:hyperlink w:anchor="ref-campos-varela_misconduct_2019">
        <w:r>
          <w:rPr>
            <w:rStyle w:val="Hyperlink"/>
          </w:rPr>
          <w:t xml:space="preserve">Campos-Varela and Ruano-Raviña 2019</w:t>
        </w:r>
      </w:hyperlink>
      <w:r>
        <w:t xml:space="preserve">)</w:t>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t xml:space="preserve"> </w:t>
      </w:r>
      <w:r>
        <w:t xml:space="preserve">(</w:t>
      </w:r>
      <w:hyperlink w:anchor="ref-doucette_drowning_2013">
        <w:r>
          <w:rPr>
            <w:rStyle w:val="Hyperlink"/>
          </w:rPr>
          <w:t xml:space="preserve">Doucette and Fyfe 2013</w:t>
        </w:r>
      </w:hyperlink>
      <w:r>
        <w:t xml:space="preserve">)</w:t>
      </w:r>
      <w:r>
        <w:t xml:space="preserve">. In their study of 488 researchers who had published in a psychology journal between 2010 and 2018, Kovacs, et al.</w:t>
      </w:r>
      <w:r>
        <w:t xml:space="preserve"> </w:t>
      </w:r>
      <w:r>
        <w:t xml:space="preserve">(</w:t>
      </w:r>
      <w:hyperlink w:anchor="ref-kovacs_role_2021">
        <w:r>
          <w:rPr>
            <w:rStyle w:val="Hyperlink"/>
          </w:rPr>
          <w:t xml:space="preserve">2021</w:t>
        </w:r>
      </w:hyperlink>
      <w:r>
        <w:t xml:space="preserve">)</w:t>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w:t>
      </w:r>
      <w:r>
        <w:t xml:space="preserve"> </w:t>
      </w:r>
      <w:r>
        <w:t xml:space="preserve">Center for Open Science (</w:t>
      </w:r>
      <w:hyperlink w:anchor="ref-center_for_open_science_cos_2022">
        <w:r>
          <w:rPr>
            <w:rStyle w:val="Hyperlink"/>
          </w:rPr>
          <w:t xml:space="preserve">2022</w:t>
        </w:r>
      </w:hyperlink>
      <w:r>
        <w:t xml:space="preserve">)</w:t>
      </w:r>
      <w:r>
        <w:t xml:space="preserv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 Similarly, when surveying 780 researchers in the field of psychology, researchers found that 38% of respondents agreed that a</w:t>
      </w:r>
      <w:r>
        <w:t xml:space="preserve"> </w:t>
      </w:r>
      <w:r>
        <w:t xml:space="preserve">“</w:t>
      </w:r>
      <w:r>
        <w:t xml:space="preserve">fear of discovery of errors in the data</w:t>
      </w:r>
      <w:r>
        <w:t xml:space="preserve">”</w:t>
      </w:r>
      <w:r>
        <w:t xml:space="preserve"> </w:t>
      </w:r>
      <w:r>
        <w:t xml:space="preserve">posed a barrier to data sharing</w:t>
      </w:r>
      <w:r>
        <w:t xml:space="preserve"> </w:t>
      </w:r>
      <w:r>
        <w:t xml:space="preserve">(</w:t>
      </w:r>
      <w:hyperlink w:anchor="ref-houtkoop_data_2018">
        <w:r>
          <w:rPr>
            <w:rStyle w:val="Hyperlink"/>
          </w:rPr>
          <w:t xml:space="preserve">Houtkoop et al. 2018</w:t>
        </w:r>
      </w:hyperlink>
      <w:r>
        <w:t xml:space="preserve">)</w:t>
      </w:r>
      <w:r>
        <w:t xml:space="preserve">.</w:t>
      </w:r>
    </w:p>
    <w:p>
      <w:pPr>
        <w:pStyle w:val="BodyText"/>
      </w:pPr>
      <w:r>
        <w:t xml:space="preserve">The well 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t xml:space="preserve"> </w:t>
      </w:r>
      <w:r>
        <w:t xml:space="preserve">(</w:t>
      </w:r>
      <w:hyperlink w:anchor="ref-baker_1500_2016">
        <w:r>
          <w:rPr>
            <w:rStyle w:val="Hyperlink"/>
          </w:rPr>
          <w:t xml:space="preserve">Baker 2016</w:t>
        </w:r>
      </w:hyperlink>
      <w:r>
        <w:t xml:space="preserve">)</w:t>
      </w:r>
      <w:r>
        <w:t xml:space="preserve">.</w:t>
      </w:r>
    </w:p>
    <w:bookmarkEnd w:id="23"/>
    <w:bookmarkEnd w:id="24"/>
    <w:bookmarkStart w:id="27"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25"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25"/>
    <w:bookmarkStart w:id="26"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This book is written from the perspective of a data manager, and that perspective is to build datasets for general data sharing. This means we will cover practices that keep data in its most complete and true, but usable form, for any future researcher to analyze in a way that works best for them.</w:t>
      </w:r>
    </w:p>
    <w:bookmarkEnd w:id="26"/>
    <w:bookmarkEnd w:id="27"/>
    <w:bookmarkStart w:id="28"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This book in particular focuses on quantitative, observational data collection, while I do think that many of the practices covered can also apply to qualitative data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28"/>
    <w:bookmarkStart w:id="29"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29"/>
    <w:bookmarkStart w:id="30"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There were many people who graciously allowed me to interview them about their current data management practices. They are Mary McCraken, Ryan Estrellado, Kim Manturuk, Beth Chance, Jessica Logan, Rebecca Schmidt, Sara Hart, and Kerry Shea. These interviews were integral to supplementing my personal knowledge with the broader experience of others in the field. Yet, they affirmed that yes, data management is hard, especially in the context of some of the complicated study designs we work with in education research, and that everyone who works in this field wishes that better training, support systems, and standards existed. Thank you to everyone who gave me an hour of their time to share their experiences and knowledge! I also have to give a special thank you to Jessica Logan for being the first person I met who appreciates all things data management as much as I do, and since having our interview, has provided invaluable support while working on this book.</w:t>
      </w:r>
    </w:p>
    <w:p>
      <w:pPr>
        <w:pStyle w:val="BodyText"/>
      </w:pPr>
      <w:r>
        <w:t xml:space="preserve">I also want to thank everyone who took the time to read and provide feedback on chapters of this book for me. This includes Meghan Harris, Tara Reynolds, Alexis Swanz, and Allyson Hanson. Your revisions and insight helped make this a more cohesive and useful book!</w:t>
      </w:r>
    </w:p>
    <w:p>
      <w:pPr>
        <w:pStyle w:val="BodyText"/>
      </w:pPr>
      <w:r>
        <w:t xml:space="preserve">A special thank you to Keith Herman as well. Many years ago he suggested I write a book titled Data Management in Large-Scale Education Research, based on everything I’ve learned in my experience as a data manager. At the time I considered his suggestion a fun but impossible idea. Yet after sitting with that idea in the back of my head for several years, I realized his idea was actually not so far-fetched. Thank you to Keith for believing I could do something I didn’t even know was possible.</w:t>
      </w:r>
    </w:p>
    <w:p>
      <w:pPr>
        <w:pStyle w:val="BodyText"/>
      </w:pPr>
      <w:r>
        <w:t xml:space="preserve">Much appreciation to Wendy Reinke as well. Although she may not know it, she is the first person I learned research data management practices from. Joining a project where she had already created documentation and tracking systems was my first glimpse into building tools that help you manage data and my love of research data management grew out of this experience.</w:t>
      </w:r>
    </w:p>
    <w:p>
      <w:pPr>
        <w:pStyle w:val="BodyText"/>
      </w:pPr>
      <w:r>
        <w:t xml:space="preserve">I want to say thank you to the POWER Data Management Issues in Education Research Hub. Regularly meeting with this group of data managers, researchers, students, and professors over the last two years has been an amazing source of both support and learning and has greatly increased my understanding of data management.</w:t>
      </w:r>
    </w:p>
    <w:p>
      <w:pPr>
        <w:pStyle w:val="BodyText"/>
      </w:pPr>
      <w:r>
        <w:t xml:space="preserve">Last, thank you to Josh for fully supporting me in the decision to write this book and to Fox for being the reason I remember to step away from my computer from time to time and have fun.</w:t>
      </w:r>
    </w:p>
    <w:bookmarkEnd w:id="30"/>
    <w:bookmarkEnd w:id="31"/>
    <w:bookmarkStart w:id="50" w:name="research-data-management"/>
    <w:p>
      <w:pPr>
        <w:pStyle w:val="Heading1"/>
      </w:pPr>
      <w:r>
        <w:rPr>
          <w:rStyle w:val="SectionNumber"/>
        </w:rPr>
        <w:t xml:space="preserve">2</w:t>
      </w:r>
      <w:r>
        <w:tab/>
      </w:r>
      <w:r>
        <w:t xml:space="preserve">Research Data Management</w:t>
      </w:r>
    </w:p>
    <w:bookmarkStart w:id="32"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t xml:space="preserve"> </w:t>
      </w:r>
      <w:r>
        <w:t xml:space="preserve">(</w:t>
      </w:r>
      <w:hyperlink w:anchor="ref-bordelon_guides_nodate">
        <w:r>
          <w:rPr>
            <w:rStyle w:val="Hyperlink"/>
          </w:rPr>
          <w:t xml:space="preserve">Bordelon n.d.b</w:t>
        </w:r>
      </w:hyperlink>
      <w:r>
        <w:t xml:space="preserve">)</w:t>
      </w:r>
      <w:r>
        <w:t xml:space="preserve">. Research study data includes materials generated or collected throughout a research process</w:t>
      </w:r>
      <w:r>
        <w:t xml:space="preserve"> </w:t>
      </w:r>
      <w:r>
        <w:t xml:space="preserve">(</w:t>
      </w:r>
      <w:hyperlink w:anchor="X1cb4205e5746fef71f91a14f0ad11dbdf9b12b7">
        <w:r>
          <w:rPr>
            <w:rStyle w:val="Hyperlink"/>
          </w:rPr>
          <w:t xml:space="preserve">National Endowment for the Humanities 2018</w:t>
        </w:r>
      </w:hyperlink>
      <w:r>
        <w:t xml:space="preserve">)</w:t>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32"/>
    <w:bookmarkStart w:id="33"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collected, formatted, described, and shared</w:t>
      </w:r>
      <w:r>
        <w:t xml:space="preserve"> </w:t>
      </w:r>
      <w:r>
        <w:t xml:space="preserve">(</w:t>
      </w:r>
      <w:hyperlink w:anchor="ref-borghi_promoting_2022">
        <w:r>
          <w:rPr>
            <w:rStyle w:val="Hyperlink"/>
          </w:rPr>
          <w:t xml:space="preserve">Borghi and Van Gulick 2022</w:t>
        </w:r>
      </w:hyperlink>
      <w:r>
        <w:t xml:space="preserve">;</w:t>
      </w:r>
      <w:r>
        <w:t xml:space="preserve"> </w:t>
      </w:r>
      <w:hyperlink w:anchor="ref-koos_research_nodate">
        <w:r>
          <w:rPr>
            <w:rStyle w:val="Hyperlink"/>
          </w:rPr>
          <w:t xml:space="preserve">Koos n.d.</w:t>
        </w:r>
      </w:hyperlink>
      <w:r>
        <w:t xml:space="preserve">)</w:t>
      </w:r>
      <w:r>
        <w:t xml:space="preserve">. Implementing standards for how variables should collected and named, which items from common measures should be shared, and how data should be formatted and documented, leads to more findable and usable data within fields and provides the added benefit of allowing researchers to integrate datasets without painstaking work to normalize the data.</w:t>
      </w:r>
    </w:p>
    <w:p>
      <w:pPr>
        <w:pStyle w:val="BodyText"/>
      </w:pPr>
      <w:r>
        <w:t xml:space="preserve">Some fields have adopted standards across the research life cycle, such as CDISC standards used by clinical researchers</w:t>
      </w:r>
      <w:r>
        <w:t xml:space="preserve"> </w:t>
      </w:r>
      <w:r>
        <w:t xml:space="preserve">(</w:t>
      </w:r>
      <w:hyperlink w:anchor="ref-cdisc_cdisc_nodate">
        <w:r>
          <w:rPr>
            <w:rStyle w:val="Hyperlink"/>
          </w:rPr>
          <w:t xml:space="preserve">CDISC n.d.</w:t>
        </w:r>
      </w:hyperlink>
      <w:r>
        <w:t xml:space="preserve">)</w:t>
      </w:r>
      <w:r>
        <w:t xml:space="preserve">, other fields have adopted standards specifically around metadata, such as the TEI standards used in digital humanities</w:t>
      </w:r>
      <w:r>
        <w:t xml:space="preserve"> </w:t>
      </w:r>
      <w:r>
        <w:t xml:space="preserve">(</w:t>
      </w:r>
      <w:hyperlink w:anchor="ref-burnard_what_2014">
        <w:r>
          <w:rPr>
            <w:rStyle w:val="Hyperlink"/>
          </w:rPr>
          <w:t xml:space="preserve">Burnard 2014</w:t>
        </w:r>
      </w:hyperlink>
      <w:r>
        <w:t xml:space="preserve">)</w:t>
      </w:r>
      <w:r>
        <w:t xml:space="preserve"> </w:t>
      </w:r>
      <w:r>
        <w:t xml:space="preserve">or the ISO 19115 used for geospatial data</w:t>
      </w:r>
      <w:r>
        <w:t xml:space="preserve">(</w:t>
      </w:r>
      <w:hyperlink w:anchor="ref-michener_ten_2015">
        <w:r>
          <w:rPr>
            <w:rStyle w:val="Hyperlink"/>
          </w:rPr>
          <w:t xml:space="preserve">Michener 2015</w:t>
        </w:r>
      </w:hyperlink>
      <w:r>
        <w:t xml:space="preserve">)</w:t>
      </w:r>
      <w:r>
        <w:t xml:space="preserve">, and through grassroots efforts, other fields such as psychology are developing their own standards for things such as data formatting and documentation</w:t>
      </w:r>
      <w:r>
        <w:t xml:space="preserve"> </w:t>
      </w:r>
      <w:r>
        <w:t xml:space="preserve">(</w:t>
      </w:r>
      <w:hyperlink w:anchor="ref-kline_technical_2018">
        <w:r>
          <w:rPr>
            <w:rStyle w:val="Hyperlink"/>
          </w:rPr>
          <w:t xml:space="preserve">Kline 2018</w:t>
        </w:r>
      </w:hyperlink>
      <w:r>
        <w:t xml:space="preserve">)</w:t>
      </w:r>
      <w:r>
        <w:t xml:space="preserve"> </w:t>
      </w:r>
      <w:r>
        <w:t xml:space="preserve">based on the FAIR principles and inspired by the BIDS standard</w:t>
      </w:r>
      <w:r>
        <w:t xml:space="preserve"> </w:t>
      </w:r>
      <w:r>
        <w:t xml:space="preserve">(</w:t>
      </w:r>
      <w:hyperlink w:anchor="ref-bids-contributors_brain_2022">
        <w:r>
          <w:rPr>
            <w:rStyle w:val="Hyperlink"/>
          </w:rPr>
          <w:t xml:space="preserve">BIDS-Contributors 2022</w:t>
        </w:r>
      </w:hyperlink>
      <w:r>
        <w:t xml:space="preserve">)</w:t>
      </w:r>
      <w:r>
        <w:t xml:space="preserve">. Yet, it is common knowledge that there are currently no agreed-upon norms in the field of education research</w:t>
      </w:r>
      <w:r>
        <w:t xml:space="preserve"> </w:t>
      </w:r>
      <w:r>
        <w:t xml:space="preserve">(</w:t>
      </w:r>
      <w:hyperlink w:anchor="X2009c37f8a3691fc61520716d6c51727ddbeca2">
        <w:r>
          <w:rPr>
            <w:rStyle w:val="Hyperlink"/>
          </w:rPr>
          <w:t xml:space="preserve">Institute of Education Sciences n.d.a</w:t>
        </w:r>
      </w:hyperlink>
      <w:r>
        <w:t xml:space="preserve">;</w:t>
      </w:r>
      <w:r>
        <w:t xml:space="preserve"> </w:t>
      </w:r>
      <w:hyperlink w:anchor="ref-logan_within_2023">
        <w:r>
          <w:rPr>
            <w:rStyle w:val="Hyperlink"/>
          </w:rPr>
          <w:t xml:space="preserve">Logan and Hart 2023</w:t>
        </w:r>
      </w:hyperlink>
      <w:r>
        <w:t xml:space="preserve">)</w:t>
      </w:r>
      <w:r>
        <w:t xml:space="preserve">. The rules for how to collect, format, and document data is often left up to each individual team, as long as external compliance requirements are met</w:t>
      </w:r>
      <w:r>
        <w:t xml:space="preserve"> </w:t>
      </w:r>
      <w:r>
        <w:t xml:space="preserve">(</w:t>
      </w:r>
      <w:hyperlink w:anchor="ref-tenopir_data_2016">
        <w:r>
          <w:rPr>
            <w:rStyle w:val="Hyperlink"/>
          </w:rPr>
          <w:t xml:space="preserve">Tenopir et al. 2016</w:t>
        </w:r>
      </w:hyperlink>
      <w:r>
        <w:t xml:space="preserve">)</w:t>
      </w:r>
      <w:r>
        <w:t xml:space="preserve">. However, with a growing interest in open science practices and expanding requirements for federally funded research to make data publicly available</w:t>
      </w:r>
      <w:r>
        <w:t xml:space="preserve"> </w:t>
      </w:r>
      <w:r>
        <w:t xml:space="preserve">(</w:t>
      </w:r>
      <w:hyperlink w:anchor="ref-holdren_ostp_2013">
        <w:r>
          <w:rPr>
            <w:rStyle w:val="Hyperlink"/>
          </w:rPr>
          <w:t xml:space="preserve">Holdren 2013</w:t>
        </w:r>
      </w:hyperlink>
      <w:r>
        <w:t xml:space="preserve">)</w:t>
      </w:r>
      <w:r>
        <w:t xml:space="preserve">, data repositories will most likely begin to play a stronger role in promoting standards around data formats and documentation</w:t>
      </w:r>
      <w:r>
        <w:t xml:space="preserve"> </w:t>
      </w:r>
      <w:r>
        <w:t xml:space="preserve">(</w:t>
      </w:r>
      <w:hyperlink w:anchor="ref-borghi_promoting_2022">
        <w:r>
          <w:rPr>
            <w:rStyle w:val="Hyperlink"/>
          </w:rPr>
          <w:t xml:space="preserve">Borghi and Van Gulick 2022</w:t>
        </w:r>
      </w:hyperlink>
      <w:r>
        <w:t xml:space="preserve">)</w:t>
      </w:r>
      <w:r>
        <w:t xml:space="preserve">.</w:t>
      </w:r>
    </w:p>
    <w:bookmarkEnd w:id="33"/>
    <w:bookmarkStart w:id="39"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allows practices to be implemented consistently and with fidelity. There are both external pressures and personal reasons to care about developing research data management standards for your projects.</w:t>
      </w:r>
    </w:p>
    <w:bookmarkStart w:id="36"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w:t>
      </w:r>
      <w:hyperlink w:anchor="dmp">
        <w:r>
          <w:rPr>
            <w:rStyle w:val="Hyperlink"/>
          </w:rPr>
          <w:t xml:space="preserve">DMP</w:t>
        </w:r>
      </w:hyperlink>
      <w:r>
        <w:t xml:space="preserve">) along with their grant proposal</w:t>
      </w:r>
      <w:r>
        <w:t xml:space="preserve"> </w:t>
      </w:r>
      <w:r>
        <w:t xml:space="preserve">(</w:t>
      </w:r>
      <w:hyperlink w:anchor="ref-holdren_ostp_2013">
        <w:r>
          <w:rPr>
            <w:rStyle w:val="Hyperlink"/>
          </w:rPr>
          <w:t xml:space="preserve">Holdren 2013</w:t>
        </w:r>
      </w:hyperlink>
      <w:r>
        <w:t xml:space="preserve">;</w:t>
      </w:r>
      <w:r>
        <w:t xml:space="preserve"> </w:t>
      </w:r>
      <w:hyperlink w:anchor="ref-nelson_ostp_2022">
        <w:r>
          <w:rPr>
            <w:rStyle w:val="Hyperlink"/>
          </w:rPr>
          <w:t xml:space="preserve">Nelson 2022</w:t>
        </w:r>
      </w:hyperlink>
      <w:r>
        <w:t xml:space="preserve">)</w:t>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t xml:space="preserve"> </w:t>
      </w:r>
      <w:r>
        <w:t xml:space="preserve">(</w:t>
      </w:r>
      <w:hyperlink w:anchor="ref-borghi_promoting_2022">
        <w:r>
          <w:rPr>
            <w:rStyle w:val="Hyperlink"/>
          </w:rPr>
          <w:t xml:space="preserve">Borghi and Van Gulick 2022</w:t>
        </w:r>
      </w:hyperlink>
      <w:r>
        <w:t xml:space="preserve">)</w:t>
      </w:r>
      <w:r>
        <w:t xml:space="preserve">.</w:t>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 (</w:t>
      </w:r>
      <w:hyperlink r:id="rId34">
        <w:r>
          <w:rPr>
            <w:rStyle w:val="Hyperlink"/>
          </w:rPr>
          <w:t xml:space="preserve">https://journals.plos.org/plosone/</w:t>
        </w:r>
      </w:hyperlink>
      <w:r>
        <w:t xml:space="preserve">) and AMPPS (</w:t>
      </w:r>
      <w:hyperlink r:id="rId35">
        <w:r>
          <w:rPr>
            <w:rStyle w:val="Hyperlink"/>
          </w:rPr>
          <w:t xml:space="preserve">https://www.psychologicalscience.org/publications/ampps</w:t>
        </w:r>
      </w:hyperlink>
      <w:r>
        <w:t xml:space="preserve">) as examples). Again, along with data sharing, comes the incentive to manage your data in a thoughtful, responsible, and organized way.</w:t>
      </w:r>
    </w:p>
    <w:p>
      <w:pPr>
        <w:numPr>
          <w:ilvl w:val="0"/>
          <w:numId w:val="1001"/>
        </w:numPr>
      </w:pPr>
      <w:r>
        <w:rPr>
          <w:bCs/>
          <w:b/>
        </w:rPr>
        <w:t xml:space="preserve">Compliance with legal and ethical mandates</w:t>
      </w:r>
      <w:r>
        <w:t xml:space="preserve">: If you are required to submit your research project to the Institutional Review Board (IRB), the board will review and monitor your data management practices. Concerned with the welfare, rights, and privacy of research participants, your IRB will have rules for how data is managed and stored securely</w:t>
      </w:r>
      <w:r>
        <w:t xml:space="preserve"> </w:t>
      </w:r>
      <w:r>
        <w:t xml:space="preserve">(</w:t>
      </w:r>
      <w:hyperlink w:anchor="ref-filip_san_nodate">
        <w:r>
          <w:rPr>
            <w:rStyle w:val="Hyperlink"/>
          </w:rPr>
          <w:t xml:space="preserve">Filip, n.d.</w:t>
        </w:r>
      </w:hyperlink>
      <w:r>
        <w:t xml:space="preserve">)</w:t>
      </w:r>
      <w:r>
        <w:t xml:space="preserve">. Data sharing and other legal agreements with research partners will also need to be monitored and honored. Additionally, your organization may have their own institutional data policies that mandate how data must be cared for and secured.</w:t>
      </w:r>
    </w:p>
    <w:p>
      <w:pPr>
        <w:numPr>
          <w:ilvl w:val="0"/>
          <w:numId w:val="1001"/>
        </w:numPr>
      </w:pPr>
      <w:r>
        <w:rPr>
          <w:bCs/>
          <w:b/>
        </w:rPr>
        <w:t xml:space="preserve">Open science practices</w:t>
      </w:r>
      <w:r>
        <w:t xml:space="preserve">: With a growing interest in open science practices, sharing well-managed and documented data helps to build trust in the research process</w:t>
      </w:r>
      <w:r>
        <w:t xml:space="preserve"> </w:t>
      </w:r>
      <w:r>
        <w:t xml:space="preserve">(</w:t>
      </w:r>
      <w:hyperlink w:anchor="ref-renbarger_champions_2022">
        <w:r>
          <w:rPr>
            <w:rStyle w:val="Hyperlink"/>
          </w:rPr>
          <w:t xml:space="preserve">Renbarger et al. 2022</w:t>
        </w:r>
      </w:hyperlink>
      <w:r>
        <w:t xml:space="preserve">)</w:t>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w:t>
      </w:r>
      <w:r>
        <w:t xml:space="preserve">Alston and Rick (</w:t>
      </w:r>
      <w:hyperlink w:anchor="ref-alston_beginners_2021">
        <w:r>
          <w:rPr>
            <w:rStyle w:val="Hyperlink"/>
          </w:rPr>
          <w:t xml:space="preserve">2021</w:t>
        </w:r>
      </w:hyperlink>
      <w:r>
        <w:t xml:space="preserve">)</w:t>
      </w:r>
      <w:r>
        <w:t xml:space="preserve">, p.2). It also allows others to replicate and learn from your work, validate your results to strengthen evidence, as well as potentially catch errors in your work, preventing decisions being made based on incorrect data</w:t>
      </w:r>
      <w:r>
        <w:t xml:space="preserve"> </w:t>
      </w:r>
      <w:r>
        <w:t xml:space="preserve">(</w:t>
      </w:r>
      <w:hyperlink w:anchor="ref-alston_beginners_2021">
        <w:r>
          <w:rPr>
            <w:rStyle w:val="Hyperlink"/>
          </w:rPr>
          <w:t xml:space="preserve">Alston and Rick 2021</w:t>
        </w:r>
      </w:hyperlink>
      <w:r>
        <w:t xml:space="preserve">)</w:t>
      </w:r>
      <w:r>
        <w:t xml:space="preserve">. Sharing your data with sufficient documentation and standardized metadata can also lead to more collaboration and greater impact as collaborators are able to access and understand your data with ease</w:t>
      </w:r>
      <w:r>
        <w:t xml:space="preserve"> </w:t>
      </w:r>
      <w:r>
        <w:t xml:space="preserve">(</w:t>
      </w:r>
      <w:hyperlink w:anchor="ref-borghi_promoting_2022">
        <w:r>
          <w:rPr>
            <w:rStyle w:val="Hyperlink"/>
          </w:rPr>
          <w:t xml:space="preserve">Borghi and Van Gulick 2022</w:t>
        </w:r>
      </w:hyperlink>
      <w:r>
        <w:t xml:space="preserve">;</w:t>
      </w:r>
      <w:r>
        <w:t xml:space="preserve"> </w:t>
      </w:r>
      <w:hyperlink w:anchor="ref-cowles_research_nodate">
        <w:r>
          <w:rPr>
            <w:rStyle w:val="Hyperlink"/>
          </w:rPr>
          <w:t xml:space="preserve">Cowles n.d.</w:t>
        </w:r>
      </w:hyperlink>
      <w:r>
        <w:t xml:space="preserve">;</w:t>
      </w:r>
      <w:r>
        <w:t xml:space="preserve"> </w:t>
      </w:r>
      <w:hyperlink w:anchor="ref-eaker_what_2016">
        <w:r>
          <w:rPr>
            <w:rStyle w:val="Hyperlink"/>
          </w:rPr>
          <w:t xml:space="preserve">Eaker 2016</w:t>
        </w:r>
      </w:hyperlink>
      <w:r>
        <w:t xml:space="preserve">)</w:t>
      </w:r>
      <w:r>
        <w:t xml:space="preserve">.</w:t>
      </w:r>
    </w:p>
    <w:p>
      <w:pPr>
        <w:numPr>
          <w:ilvl w:val="0"/>
          <w:numId w:val="1001"/>
        </w:numPr>
      </w:pPr>
      <w:r>
        <w:rPr>
          <w:bCs/>
          <w:b/>
        </w:rPr>
        <w:t xml:space="preserve">Data management is a matter of ethics</w:t>
      </w:r>
      <w:r>
        <w:t xml:space="preserve">: In education research we are often collecting data from human participants, and as a result, data management is an ethical issue. It is important to consider the environmental, social, cultural, historical, and political context of the data we are collecting</w:t>
      </w:r>
      <w:r>
        <w:t xml:space="preserve"> </w:t>
      </w:r>
      <w:r>
        <w:t xml:space="preserve">(</w:t>
      </w:r>
      <w:hyperlink w:anchor="ref-alexander_telling_2023">
        <w:r>
          <w:rPr>
            <w:rStyle w:val="Hyperlink"/>
          </w:rPr>
          <w:t xml:space="preserve">Alexander 2023</w:t>
        </w:r>
      </w:hyperlink>
      <w:r>
        <w:t xml:space="preserve">)</w:t>
      </w:r>
      <w:r>
        <w:t xml:space="preserve">. In managing data, we are often making human decisions about how to collect, organize, and clean data, and in this process we need to be aware of our biases that may affect equitable representation in our datasets. For instance, how we choose to collect the categories of family relationships, or how we choose to recode or collapse categories of race or gender are all ways we may potentially bias our datasets based on our personal lenses.</w:t>
      </w:r>
      <w:r>
        <w:t xml:space="preserve"> </w:t>
      </w:r>
      <w:r>
        <w:t xml:space="preserve"> </w:t>
      </w:r>
      <w:r>
        <w:t xml:space="preserve"> </w:t>
      </w:r>
      <w:r>
        <w:t xml:space="preserve"> </w:t>
      </w:r>
      <w:r>
        <w:br/>
      </w:r>
      <w:r>
        <w:t xml:space="preserve">The process of de-identifying data for data sharing also becomes an ethical issue. Protection of participant identities is not always equally distributed across a dataset. While it may be easy to scrub identifying information for the majority of participants, individuals that represent smaller numbers in the data may still be identifiable and it is important to consider security implications for all participants</w:t>
      </w:r>
      <w:r>
        <w:t xml:space="preserve"> </w:t>
      </w:r>
      <w:r>
        <w:t xml:space="preserve">(</w:t>
      </w:r>
      <w:hyperlink w:anchor="ref-mckay_bowen_no_2023">
        <w:r>
          <w:rPr>
            <w:rStyle w:val="Hyperlink"/>
          </w:rPr>
          <w:t xml:space="preserve">McKay Bowen and Snoke 2023</w:t>
        </w:r>
      </w:hyperlink>
      <w:r>
        <w:t xml:space="preserve">)</w:t>
      </w:r>
      <w:r>
        <w:t xml:space="preserve">.</w:t>
      </w:r>
      <w:r>
        <w:t xml:space="preserve"> </w:t>
      </w:r>
      <w:r>
        <w:t xml:space="preserve"> </w:t>
      </w:r>
      <w:r>
        <w:br/>
      </w:r>
      <w:r>
        <w:br/>
      </w:r>
      <w:r>
        <w:t xml:space="preserve">Last, collecting data from human participants means people are giving their time and energy and entrusting us with their information. Implementing poor data management that leads to irrelevant, unusable, or lost data is a huge disservice to research participants and erodes trust in the research process. It is our responsibility to have well-designed research studies with quality data management and data sharing practices that ensure that participant data remains secure, usable, and true so that their efforts lead to maximum societal benefits.</w:t>
      </w:r>
    </w:p>
    <w:bookmarkEnd w:id="36"/>
    <w:bookmarkStart w:id="38"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Reduces data curation debt</w:t>
      </w:r>
      <w:r>
        <w:t xml:space="preserve">: Taking the time to plan and implement quality data management through the entire research study reduces data curation debt caused by suboptimal data management practices</w:t>
      </w:r>
      <w:r>
        <w:t xml:space="preserve"> </w:t>
      </w:r>
      <w:r>
        <w:t xml:space="preserve">(</w:t>
      </w:r>
      <w:hyperlink w:anchor="ref-butters_recognizing_2020">
        <w:r>
          <w:rPr>
            <w:rStyle w:val="Hyperlink"/>
          </w:rPr>
          <w:t xml:space="preserve">Butters, Wilson, and Burton 2020</w:t>
        </w:r>
      </w:hyperlink>
      <w:r>
        <w:t xml:space="preserve">)</w:t>
      </w:r>
      <w:r>
        <w:t xml:space="preserve">. Having poorly collected,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Facilitates use of your data</w:t>
      </w:r>
      <w:r>
        <w:t xml:space="preserve">: Every member of your research team being able to find and understand your project data and documentation is a huge benefit. It allows for the easy use and re-use of your data, and hastens efforts like the publication process</w:t>
      </w:r>
      <w:r>
        <w:t xml:space="preserve"> </w:t>
      </w:r>
      <w:r>
        <w:t xml:space="preserve">(</w:t>
      </w:r>
      <w:hyperlink w:anchor="ref-markowetz_five_2015">
        <w:r>
          <w:rPr>
            <w:rStyle w:val="Hyperlink"/>
          </w:rPr>
          <w:t xml:space="preserve">Markowetz 2015</w:t>
        </w:r>
      </w:hyperlink>
      <w:r>
        <w:t xml:space="preserve">)</w:t>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fidelity of implementation during your project. This includes implementing practices consistently during a longitudinal project, or consistently across sites. It also improves project continuity through staff turnover. Having thoroughly documented procedures allows new staff to pick up right where the former staff member left off and implement the project with fidelity</w:t>
      </w:r>
      <w:r>
        <w:t xml:space="preserve"> </w:t>
      </w:r>
      <w:r>
        <w:t xml:space="preserve">(</w:t>
      </w:r>
      <w:hyperlink w:anchor="ref-borghi_data_2021">
        <w:r>
          <w:rPr>
            <w:rStyle w:val="Hyperlink"/>
          </w:rPr>
          <w:t xml:space="preserve">Borghi and Van Gulick 2021</w:t>
        </w:r>
      </w:hyperlink>
      <w:r>
        <w:t xml:space="preserve">;</w:t>
      </w:r>
      <w:r>
        <w:t xml:space="preserve"> </w:t>
      </w:r>
      <w:hyperlink w:anchor="ref-cowles_research_nodate">
        <w:r>
          <w:rPr>
            <w:rStyle w:val="Hyperlink"/>
          </w:rPr>
          <w:t xml:space="preserve">Cowles n.d.</w:t>
        </w:r>
      </w:hyperlink>
      <w:r>
        <w:t xml:space="preserve">)</w:t>
      </w:r>
      <w:r>
        <w:t xml:space="preserve">. Furthermore, good data management enables continuity when handing off projects to collaborators or when picking up your own projects after a long hiatus</w:t>
      </w:r>
      <w:r>
        <w:t xml:space="preserve"> </w:t>
      </w:r>
      <w:r>
        <w:t xml:space="preserve">(</w:t>
      </w:r>
      <w:hyperlink w:anchor="ref-markowetz_five_2015">
        <w:r>
          <w:rPr>
            <w:rStyle w:val="Hyperlink"/>
          </w:rPr>
          <w:t xml:space="preserve">Markowetz 2015</w:t>
        </w:r>
      </w:hyperlink>
      <w:r>
        <w:t xml:space="preserve">)</w:t>
      </w:r>
      <w:r>
        <w:t xml:space="preserve">.</w:t>
      </w:r>
    </w:p>
    <w:p>
      <w:pPr>
        <w:numPr>
          <w:ilvl w:val="0"/>
          <w:numId w:val="1002"/>
        </w:numPr>
      </w:pPr>
      <w:r>
        <w:rPr>
          <w:bCs/>
          <w:b/>
        </w:rPr>
        <w:t xml:space="preserve">Increases efficiency</w:t>
      </w:r>
      <w:r>
        <w:t xml:space="preserve">: Documenting and automating data management tasks reduces duplication of efforts for repeating tasks, especially in longitudinal studies.</w:t>
      </w:r>
    </w:p>
    <w:p>
      <w:pPr>
        <w:numPr>
          <w:ilvl w:val="0"/>
          <w:numId w:val="1002"/>
        </w:numPr>
      </w:pPr>
      <w:r>
        <w:rPr>
          <w:bCs/>
          <w:b/>
        </w:rPr>
        <w:t xml:space="preserve">Upholds research integrity</w:t>
      </w:r>
      <w:r>
        <w:t xml:space="preserve">: Errors come in many forms, from both humans and technology</w:t>
      </w:r>
      <w:r>
        <w:t xml:space="preserve">(</w:t>
      </w:r>
      <w:hyperlink w:anchor="ref-kovacs_role_2021">
        <w:r>
          <w:rPr>
            <w:rStyle w:val="Hyperlink"/>
          </w:rPr>
          <w:t xml:space="preserve">Kovacs, Hoekstra, and Aczel 2021</w:t>
        </w:r>
      </w:hyperlink>
      <w:r>
        <w:t xml:space="preserve">;</w:t>
      </w:r>
      <w:r>
        <w:t xml:space="preserve"> </w:t>
      </w:r>
      <w:hyperlink w:anchor="ref-strand_error_nodate">
        <w:r>
          <w:rPr>
            <w:rStyle w:val="Hyperlink"/>
          </w:rPr>
          <w:t xml:space="preserve">Strand n.d.</w:t>
        </w:r>
      </w:hyperlink>
      <w:r>
        <w:t xml:space="preserve">)</w:t>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 (</w:t>
      </w:r>
      <w:hyperlink r:id="rId37">
        <w:r>
          <w:rPr>
            <w:rStyle w:val="Hyperlink"/>
          </w:rPr>
          <w:t xml:space="preserve">https://retractionwatch.com/</w:t>
        </w:r>
      </w:hyperlink>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38"/>
    <w:bookmarkEnd w:id="39"/>
    <w:bookmarkStart w:id="44"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40" w:name="fair"/>
    <w:p>
      <w:pPr>
        <w:pStyle w:val="Heading3"/>
      </w:pPr>
      <w:r>
        <w:rPr>
          <w:rStyle w:val="SectionNumber"/>
        </w:rPr>
        <w:t xml:space="preserve">2.4.1</w:t>
      </w:r>
      <w:r>
        <w:tab/>
      </w:r>
      <w:r>
        <w:t xml:space="preserve">FAIR</w:t>
      </w:r>
    </w:p>
    <w:p>
      <w:pPr>
        <w:pStyle w:val="FirstParagraph"/>
      </w:pPr>
      <w:r>
        <w:t xml:space="preserve">In 2016, the FAIR Principles</w:t>
      </w:r>
      <w:r>
        <w:t xml:space="preserve"> </w:t>
      </w:r>
      <w:r>
        <w:t xml:space="preserve">(</w:t>
      </w:r>
      <w:hyperlink w:anchor="ref-go_fair_fair_nodate">
        <w:r>
          <w:rPr>
            <w:rStyle w:val="Hyperlink"/>
          </w:rPr>
          <w:t xml:space="preserve">GO FAIR n.d.</w:t>
        </w:r>
      </w:hyperlink>
      <w:r>
        <w:t xml:space="preserve">)</w:t>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t xml:space="preserve"> </w:t>
      </w:r>
      <w:r>
        <w:t xml:space="preserve">(</w:t>
      </w:r>
      <w:hyperlink w:anchor="ref-wilkinson_fair_2016">
        <w:r>
          <w:rPr>
            <w:rStyle w:val="Hyperlink"/>
          </w:rPr>
          <w:t xml:space="preserve">Wilkinson et al. 2016</w:t>
        </w:r>
      </w:hyperlink>
      <w:r>
        <w:t xml:space="preserve">)</w:t>
      </w:r>
      <w:r>
        <w:t xml:space="preserve">. The principles are:</w:t>
      </w:r>
    </w:p>
    <w:p>
      <w:pPr>
        <w:pStyle w:val="BodyText"/>
      </w:pPr>
      <w:r>
        <w:t xml:space="preserve">F: Findable</w:t>
      </w:r>
    </w:p>
    <w:p>
      <w:pPr>
        <w:pStyle w:val="BodyText"/>
      </w:pPr>
      <w:r>
        <w:t xml:space="preserve">All data should be findable through a persistent identifier and have thorough, searchable metadata. These practices aid in the long-term discovery of information and provide registered citations.</w:t>
      </w:r>
    </w:p>
    <w:p>
      <w:pPr>
        <w:pStyle w:val="BodyText"/>
      </w:pPr>
      <w:r>
        <w:t xml:space="preserve">A: Accessible</w:t>
      </w:r>
    </w:p>
    <w:p>
      <w:pPr>
        <w:pStyle w:val="BodyText"/>
      </w:pPr>
      <w:r>
        <w:t xml:space="preserve">Users should be able to access your data. This can mean your data is available in a repository or through a request system. At minimum, a user should be able to access the metadata, even if the actual data are not available.</w:t>
      </w:r>
    </w:p>
    <w:p>
      <w:pPr>
        <w:pStyle w:val="BodyText"/>
      </w:pPr>
      <w:r>
        <w:t xml:space="preserve">I: Interoperable</w:t>
      </w:r>
    </w:p>
    <w:p>
      <w:pPr>
        <w:pStyle w:val="BodyText"/>
      </w:pPr>
      <w:r>
        <w:t xml:space="preserve">Your data and metadata should use standardized vocabularies as well as formats. Both humans and machines should be able to read and interpret your data. Software licenses should not pose a barrier to usage. Data should be available in open formats that can be accessed by any software (e.g., .csv, .txt, .dat).</w:t>
      </w:r>
    </w:p>
    <w:p>
      <w:pPr>
        <w:pStyle w:val="BodyText"/>
      </w:pPr>
      <w:r>
        <w:t xml:space="preserve">R: Reusable</w:t>
      </w:r>
    </w:p>
    <w:p>
      <w:pPr>
        <w:pStyle w:val="BodyText"/>
      </w:pPr>
      <w:r>
        <w:t xml:space="preserve">In order to provide context for the reuse of your data, your metadata should give insight into data provenance, providing a project description, an overview of the data workflow, as well what authors to cite for appropriate attribution. You should also have clear licensing for data use.</w:t>
      </w:r>
    </w:p>
    <w:bookmarkEnd w:id="40"/>
    <w:bookmarkStart w:id="41"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t xml:space="preserve"> </w:t>
      </w:r>
      <w:r>
        <w:t xml:space="preserve">(</w:t>
      </w:r>
      <w:hyperlink w:anchor="Xd7e4c32bc9f81dd6b4cc9c6405e1332232d4ef5">
        <w:r>
          <w:rPr>
            <w:rStyle w:val="Hyperlink"/>
          </w:rPr>
          <w:t xml:space="preserve">Institute of Education Sciences n.d.c</w:t>
        </w:r>
      </w:hyperlink>
      <w:r>
        <w:t xml:space="preserve">)</w:t>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41"/>
    <w:bookmarkStart w:id="43"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t xml:space="preserve"> </w:t>
      </w:r>
      <w:r>
        <w:t xml:space="preserve">(</w:t>
      </w:r>
      <w:hyperlink w:anchor="ref-van_dijk_open_2021">
        <w:r>
          <w:rPr>
            <w:rStyle w:val="Hyperlink"/>
          </w:rPr>
          <w:t xml:space="preserve">Dijk, Schatschneider, and Hart 2021</w:t>
        </w:r>
      </w:hyperlink>
      <w:r>
        <w:t xml:space="preserve">)</w:t>
      </w:r>
      <w:r>
        <w:t xml:space="preserve">. Organizations such as the Center for Open Science (</w:t>
      </w:r>
      <w:hyperlink r:id="rId42">
        <w:r>
          <w:rPr>
            <w:rStyle w:val="Hyperlink"/>
          </w:rPr>
          <w:t xml:space="preserve">https://www.cos.io/</w:t>
        </w:r>
      </w:hyperlink>
      <w:r>
        <w:t xml:space="preserve">), have become a well-known proponents of open science, offering the open science framework (OSF)</w:t>
      </w:r>
      <w:r>
        <w:t xml:space="preserve"> </w:t>
      </w:r>
      <w:r>
        <w:t xml:space="preserve">(</w:t>
      </w:r>
      <w:hyperlink w:anchor="ref-foster_open_2017">
        <w:r>
          <w:rPr>
            <w:rStyle w:val="Hyperlink"/>
          </w:rPr>
          <w:t xml:space="preserve">Foster and Deardorff 2017</w:t>
        </w:r>
      </w:hyperlink>
      <w:r>
        <w:t xml:space="preserve">)</w:t>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t xml:space="preserve"> </w:t>
      </w:r>
      <w:r>
        <w:t xml:space="preserve">(</w:t>
      </w:r>
      <w:hyperlink w:anchor="X3f7ae7e9e6ef410c34e10cd81d53580f02818f2">
        <w:r>
          <w:rPr>
            <w:rStyle w:val="Hyperlink"/>
          </w:rPr>
          <w:t xml:space="preserve">Institute of Education Sciences n.d.b</w:t>
        </w:r>
      </w:hyperlink>
      <w:r>
        <w:t xml:space="preserve">)</w:t>
      </w:r>
      <w:r>
        <w:t xml:space="preserve">.</w:t>
      </w:r>
    </w:p>
    <w:bookmarkEnd w:id="43"/>
    <w:bookmarkEnd w:id="44"/>
    <w:bookmarkStart w:id="45" w:name="terminology"/>
    <w:p>
      <w:pPr>
        <w:pStyle w:val="Heading2"/>
      </w:pPr>
      <w:r>
        <w:rPr>
          <w:rStyle w:val="SectionNumber"/>
        </w:rPr>
        <w:t xml:space="preserve">2.5</w:t>
      </w:r>
      <w:r>
        <w:tab/>
      </w:r>
      <w:r>
        <w:t xml:space="preserve">Terminology</w:t>
      </w:r>
    </w:p>
    <w:p>
      <w:pPr>
        <w:pStyle w:val="FirstParagraph"/>
      </w:pPr>
      <w:r>
        <w:t xml:space="preserve">Before moving forward in this book it is important to have a shared understanding of terminology used. Many concepts in education research have multiple terms and can be used interchangeably. Across different institutions, researchers may use all or some of these terms.</w:t>
      </w:r>
    </w:p>
    <w:p>
      <w:pPr>
        <w:pStyle w:val="BodyText"/>
      </w:pPr>
      <w:r>
        <w:rPr>
          <w:bCs/>
          <w:b/>
        </w:rPr>
        <w:t xml:space="preserve">Commonly used data management terms</w:t>
      </w:r>
    </w:p>
    <w:tbl>
      <w:tblPr>
        <w:tblStyle w:val="Table"/>
        <w:tblW w:type="pct" w:w="5000"/>
        <w:tblLook w:firstRow="1" w:lastRow="0" w:firstColumn="0" w:lastColumn="0" w:noHBand="0" w:noVBand="0" w:val="0020"/>
      </w:tblPr>
      <w:tblGrid>
        <w:gridCol w:w="3520"/>
        <w:gridCol w:w="4400"/>
      </w:tblGrid>
      <w:tr>
        <w:trPr>
          <w:tblHeader w:val="true"/>
        </w:trPr>
        <w:tc>
          <w:tcPr/>
          <w:p>
            <w:pPr>
              <w:pStyle w:val="Compact"/>
              <w:jc w:val="left"/>
            </w:pPr>
            <w:r>
              <w:t xml:space="preserve">Terms (Other Terms)</w:t>
            </w:r>
          </w:p>
        </w:tc>
        <w:tc>
          <w:tcPr/>
          <w:p>
            <w:pPr>
              <w:pStyle w:val="Compact"/>
              <w:jc w:val="left"/>
            </w:pPr>
            <w:r>
              <w:t xml:space="preserve">Definitions</w:t>
            </w:r>
          </w:p>
        </w:tc>
      </w:tr>
      <w:tr>
        <w:tc>
          <w:tcPr/>
          <w:p>
            <w:pPr>
              <w:pStyle w:val="Compact"/>
              <w:jc w:val="left"/>
            </w:pPr>
            <w:r>
              <w:t xml:space="preserve">Anonymous Data</w:t>
            </w:r>
          </w:p>
        </w:tc>
        <w:tc>
          <w:tcPr/>
          <w:p>
            <w:pPr>
              <w:pStyle w:val="Compact"/>
              <w:jc w:val="left"/>
            </w:pPr>
            <w:r>
              <w:t xml:space="preserve">Identifying information that was never collected. This data can not be linked across time or measures.</w:t>
            </w:r>
          </w:p>
        </w:tc>
      </w:tr>
      <w:tr>
        <w:tc>
          <w:tcPr/>
          <w:p>
            <w:pPr>
              <w:pStyle w:val="Compact"/>
              <w:jc w:val="left"/>
            </w:pPr>
            <w:r>
              <w:t xml:space="preserve">Append</w:t>
            </w:r>
          </w:p>
        </w:tc>
        <w:tc>
          <w:tcPr/>
          <w:p>
            <w:pPr>
              <w:pStyle w:val="Compact"/>
              <w:jc w:val="left"/>
            </w:pPr>
            <w:r>
              <w:t xml:space="preserve">Stacking datasets on top of each other (matching variables).</w:t>
            </w:r>
          </w:p>
        </w:tc>
      </w:tr>
      <w:tr>
        <w:tc>
          <w:tcPr/>
          <w:p>
            <w:pPr>
              <w:pStyle w:val="Compact"/>
              <w:jc w:val="left"/>
            </w:pPr>
            <w:r>
              <w:t xml:space="preserve">Archive</w:t>
            </w:r>
          </w:p>
        </w:tc>
        <w:tc>
          <w:tcPr/>
          <w:p>
            <w:pPr>
              <w:pStyle w:val="Compact"/>
              <w:jc w:val="left"/>
            </w:pPr>
            <w:r>
              <w:t xml:space="preserve">The transfer of data to a facility, such as a repository, that preserves and stores data long-term.</w:t>
            </w:r>
          </w:p>
        </w:tc>
      </w:tr>
      <w:tr>
        <w:tc>
          <w:tcPr/>
          <w:p>
            <w:pPr>
              <w:pStyle w:val="Compact"/>
              <w:jc w:val="left"/>
            </w:pPr>
            <w:r>
              <w:t xml:space="preserve">Attrition</w:t>
            </w:r>
          </w:p>
        </w:tc>
        <w:tc>
          <w:tcPr/>
          <w:p>
            <w:pPr>
              <w:pStyle w:val="Compact"/>
              <w:jc w:val="left"/>
            </w:pPr>
            <w:r>
              <w:t xml:space="preserve">The loss of study units from the sample, often seen in longitudinal studies</w:t>
            </w:r>
          </w:p>
        </w:tc>
      </w:tr>
      <w:tr>
        <w:tc>
          <w:tcPr/>
          <w:p>
            <w:pPr>
              <w:pStyle w:val="Compact"/>
              <w:jc w:val="left"/>
            </w:pPr>
            <w:r>
              <w:t xml:space="preserve">Clean data (processed data)</w:t>
            </w:r>
          </w:p>
        </w:tc>
        <w:tc>
          <w:tcPr/>
          <w:p>
            <w:pPr>
              <w:pStyle w:val="Compact"/>
              <w:jc w:val="left"/>
            </w:pPr>
            <w:r>
              <w:t xml:space="preserve">Data that has been manipulated or modified.</w:t>
            </w:r>
          </w:p>
        </w:tc>
      </w:tr>
      <w:tr>
        <w:tc>
          <w:tcPr/>
          <w:p>
            <w:pPr>
              <w:pStyle w:val="Compact"/>
              <w:jc w:val="left"/>
            </w:pPr>
            <w:r>
              <w:t xml:space="preserve">Cohort</w:t>
            </w:r>
          </w:p>
        </w:tc>
        <w:tc>
          <w:tcPr/>
          <w:p>
            <w:pPr>
              <w:pStyle w:val="Compact"/>
              <w:jc w:val="left"/>
            </w:pPr>
            <w:r>
              <w:t xml:space="preserve">A group of participants recruited into a study at the same time.</w:t>
            </w:r>
          </w:p>
        </w:tc>
      </w:tr>
      <w:tr>
        <w:tc>
          <w:tcPr/>
          <w:p>
            <w:pPr>
              <w:pStyle w:val="Compact"/>
              <w:jc w:val="left"/>
            </w:pPr>
            <w:r>
              <w:t xml:space="preserve">Confidential data (pseuodonymization, coded data, indirectly identifiable)</w:t>
            </w:r>
          </w:p>
        </w:tc>
        <w:tc>
          <w:tcPr/>
          <w:p>
            <w:pPr>
              <w:pStyle w:val="Compact"/>
              <w:jc w:val="left"/>
            </w:pPr>
            <w:r>
              <w:t xml:space="preserve">Personally identifiable information (PII) in your data has been removed and names are replaced with a code and the only way to link the data back to an individual is through that code. The identifying code file (linking key) is stored separate from the research data.</w:t>
            </w:r>
          </w:p>
        </w:tc>
      </w:tr>
      <w:tr>
        <w:tc>
          <w:tcPr/>
          <w:p>
            <w:pPr>
              <w:pStyle w:val="Compact"/>
              <w:jc w:val="left"/>
            </w:pPr>
            <w:r>
              <w:t xml:space="preserve">Confidentiality</w:t>
            </w:r>
          </w:p>
        </w:tc>
        <w:tc>
          <w:tcPr/>
          <w:p>
            <w:pPr>
              <w:pStyle w:val="Compact"/>
              <w:jc w:val="left"/>
            </w:pPr>
            <w:r>
              <w:t xml:space="preserve">Confidentiality concerns data, ensuring participants agree to how their private and identifable information will be managed and disseminated.</w:t>
            </w:r>
          </w:p>
        </w:tc>
      </w:tr>
      <w:tr>
        <w:tc>
          <w:tcPr/>
          <w:p>
            <w:pPr>
              <w:pStyle w:val="Compact"/>
              <w:jc w:val="left"/>
            </w:pPr>
            <w:r>
              <w:t xml:space="preserve">Control (business as usual)</w:t>
            </w:r>
          </w:p>
        </w:tc>
        <w:tc>
          <w:tcPr/>
          <w:p>
            <w:pPr>
              <w:pStyle w:val="Compact"/>
              <w:jc w:val="left"/>
            </w:pPr>
            <w:r>
              <w:t xml:space="preserve">The individual or group does not receive the intervention.</w:t>
            </w:r>
          </w:p>
        </w:tc>
      </w:tr>
      <w:tr>
        <w:tc>
          <w:tcPr/>
          <w:p>
            <w:pPr>
              <w:pStyle w:val="Compact"/>
              <w:jc w:val="left"/>
            </w:pPr>
            <w:r>
              <w:t xml:space="preserve">Cross-sectional</w:t>
            </w:r>
          </w:p>
        </w:tc>
        <w:tc>
          <w:tcPr/>
          <w:p>
            <w:pPr>
              <w:pStyle w:val="Compact"/>
              <w:jc w:val="left"/>
            </w:pPr>
            <w:r>
              <w:t xml:space="preserve">Data is collected on participants for a single time point.</w:t>
            </w:r>
          </w:p>
        </w:tc>
      </w:tr>
      <w:tr>
        <w:tc>
          <w:tcPr/>
          <w:p>
            <w:pPr>
              <w:pStyle w:val="Compact"/>
              <w:jc w:val="left"/>
            </w:pPr>
            <w:r>
              <w:t xml:space="preserve">Data (research data)</w:t>
            </w:r>
          </w:p>
        </w:tc>
        <w:tc>
          <w:tcPr/>
          <w:p>
            <w:pPr>
              <w:pStyle w:val="Compact"/>
              <w:jc w:val="left"/>
            </w:pPr>
            <w:r>
              <w:t xml:space="preserve">The recorded factual material commonly accepted in the scientific community as necessary to validate research findings. (OMB Circular A-110)</w:t>
            </w:r>
          </w:p>
        </w:tc>
      </w:tr>
      <w:tr>
        <w:tc>
          <w:tcPr/>
          <w:p>
            <w:pPr>
              <w:pStyle w:val="Compact"/>
              <w:jc w:val="left"/>
            </w:pPr>
            <w:r>
              <w:t xml:space="preserve">Data Type (measurement unit, variable format, variable class)</w:t>
            </w:r>
          </w:p>
        </w:tc>
        <w:tc>
          <w:tcPr/>
          <w:p>
            <w:pPr>
              <w:pStyle w:val="Compact"/>
              <w:jc w:val="left"/>
            </w:pPr>
            <w:r>
              <w:t xml:space="preserve">A classification that specifies what types of values are contained in a variable and what kinds of operations can be performed on that variable. Examples of types include numeric, character, logical, or datetime.</w:t>
            </w:r>
          </w:p>
        </w:tc>
      </w:tr>
      <w:tr>
        <w:tc>
          <w:tcPr/>
          <w:p>
            <w:pPr>
              <w:pStyle w:val="Compact"/>
              <w:jc w:val="left"/>
            </w:pPr>
            <w:r>
              <w:t xml:space="preserve">Database (relational database)</w:t>
            </w:r>
          </w:p>
        </w:tc>
        <w:tc>
          <w:tcPr/>
          <w:p>
            <w:pPr>
              <w:pStyle w:val="Compact"/>
              <w:jc w:val="left"/>
            </w:pPr>
            <w:r>
              <w:t xml:space="preserve">An organized collection of related data stored in tables that can be linked together by a common identifier.</w:t>
            </w:r>
          </w:p>
        </w:tc>
      </w:tr>
      <w:tr>
        <w:tc>
          <w:tcPr/>
          <w:p>
            <w:pPr>
              <w:pStyle w:val="Compact"/>
              <w:jc w:val="left"/>
            </w:pPr>
            <w:r>
              <w:t xml:space="preserve">Dataset (dataframe, spreadsheet)</w:t>
            </w:r>
          </w:p>
        </w:tc>
        <w:tc>
          <w:tcPr/>
          <w:p>
            <w:pPr>
              <w:pStyle w:val="Compact"/>
              <w:jc w:val="left"/>
            </w:pPr>
            <w:r>
              <w:t xml:space="preserve">A structured collection of data usually stored in tabular form. A research study usually produces one final dataset per entity/unit (ex: teacher dataset, student dataset).</w:t>
            </w:r>
          </w:p>
        </w:tc>
      </w:tr>
      <w:tr>
        <w:tc>
          <w:tcPr/>
          <w:p>
            <w:pPr>
              <w:pStyle w:val="Compact"/>
              <w:jc w:val="left"/>
            </w:pPr>
            <w:r>
              <w:t xml:space="preserve">De-identified data (anonymized data)</w:t>
            </w:r>
          </w:p>
        </w:tc>
        <w:tc>
          <w:tcPr/>
          <w:p>
            <w:pPr>
              <w:pStyle w:val="Compact"/>
              <w:jc w:val="left"/>
            </w:pPr>
            <w:r>
              <w:t xml:space="preserve">Identifying information has been removed or distorted and the data can no longer be re-associated with the underlying individual (the linking key no longer exists).</w:t>
            </w:r>
          </w:p>
        </w:tc>
      </w:tr>
      <w:tr>
        <w:tc>
          <w:tcPr/>
          <w:p>
            <w:pPr>
              <w:pStyle w:val="Compact"/>
              <w:jc w:val="left"/>
            </w:pPr>
            <w:r>
              <w:t xml:space="preserve">Derived data</w:t>
            </w:r>
          </w:p>
        </w:tc>
        <w:tc>
          <w:tcPr/>
          <w:p>
            <w:pPr>
              <w:pStyle w:val="Compact"/>
              <w:jc w:val="left"/>
            </w:pPr>
            <w:r>
              <w:t xml:space="preserve">Data created through transformations of existing data.</w:t>
            </w:r>
          </w:p>
        </w:tc>
      </w:tr>
      <w:tr>
        <w:tc>
          <w:tcPr/>
          <w:p>
            <w:pPr>
              <w:pStyle w:val="Compact"/>
              <w:jc w:val="left"/>
            </w:pPr>
            <w:r>
              <w:t xml:space="preserve">Directory (file structure)</w:t>
            </w:r>
          </w:p>
        </w:tc>
        <w:tc>
          <w:tcPr/>
          <w:p>
            <w:pPr>
              <w:pStyle w:val="Compact"/>
              <w:jc w:val="left"/>
            </w:pPr>
            <w:r>
              <w:t xml:space="preserve">A cataloging structure for files and folders on your computer.</w:t>
            </w:r>
          </w:p>
        </w:tc>
      </w:tr>
      <w:tr>
        <w:tc>
          <w:tcPr/>
          <w:p>
            <w:pPr>
              <w:pStyle w:val="Compact"/>
              <w:jc w:val="left"/>
            </w:pPr>
            <w:r>
              <w:t xml:space="preserve">Experimental data</w:t>
            </w:r>
          </w:p>
        </w:tc>
        <w:tc>
          <w:tcPr/>
          <w:p>
            <w:pPr>
              <w:pStyle w:val="Compact"/>
              <w:jc w:val="left"/>
            </w:pPr>
            <w:r>
              <w:t xml:space="preserve">Data collected from a study where researchers randomly introduce an intervention and study the effects.</w:t>
            </w:r>
          </w:p>
        </w:tc>
      </w:tr>
      <w:tr>
        <w:tc>
          <w:tcPr/>
          <w:p>
            <w:pPr>
              <w:pStyle w:val="Compact"/>
              <w:jc w:val="left"/>
            </w:pPr>
            <w:r>
              <w:t xml:space="preserve">Extant data</w:t>
            </w:r>
          </w:p>
        </w:tc>
        <w:tc>
          <w:tcPr/>
          <w:p>
            <w:pPr>
              <w:pStyle w:val="Compact"/>
              <w:jc w:val="left"/>
            </w:pPr>
            <w:r>
              <w:t xml:space="preserve">Existing data sources created from external to the research team/study.</w:t>
            </w:r>
          </w:p>
        </w:tc>
      </w:tr>
      <w:tr>
        <w:tc>
          <w:tcPr/>
          <w:p>
            <w:pPr>
              <w:pStyle w:val="Compact"/>
              <w:jc w:val="left"/>
            </w:pPr>
            <w:r>
              <w:t xml:space="preserve">File formats</w:t>
            </w:r>
          </w:p>
        </w:tc>
        <w:tc>
          <w:tcPr/>
          <w:p>
            <w:pPr>
              <w:pStyle w:val="Compact"/>
              <w:jc w:val="left"/>
            </w:pPr>
            <w:r>
              <w:t xml:space="preserve">Education research data is typically collected in one of three file formats: text( .txt, .pdf, .docx), tabular (.xlsx, .csv, .sav) , multimedia (.mpeg, .wav).</w:t>
            </w:r>
          </w:p>
        </w:tc>
      </w:tr>
      <w:tr>
        <w:tc>
          <w:tcPr/>
          <w:p>
            <w:pPr>
              <w:pStyle w:val="Compact"/>
              <w:jc w:val="left"/>
            </w:pPr>
            <w:r>
              <w:t xml:space="preserve">Identifiable data</w:t>
            </w:r>
          </w:p>
        </w:tc>
        <w:tc>
          <w:tcPr/>
          <w:p>
            <w:pPr>
              <w:pStyle w:val="Compact"/>
              <w:jc w:val="left"/>
            </w:pPr>
            <w:r>
              <w:t xml:space="preserve">Data that includes personally identifiable information.</w:t>
            </w:r>
          </w:p>
        </w:tc>
      </w:tr>
      <w:tr>
        <w:tc>
          <w:tcPr/>
          <w:p>
            <w:pPr>
              <w:pStyle w:val="Compact"/>
              <w:jc w:val="left"/>
            </w:pPr>
            <w:r>
              <w:t xml:space="preserve">Longitudinal</w:t>
            </w:r>
          </w:p>
        </w:tc>
        <w:tc>
          <w:tcPr/>
          <w:p>
            <w:pPr>
              <w:pStyle w:val="Compact"/>
              <w:jc w:val="left"/>
            </w:pPr>
            <w:r>
              <w:t xml:space="preserve">Data is collected on participants over a period of time.</w:t>
            </w:r>
          </w:p>
        </w:tc>
      </w:tr>
      <w:tr>
        <w:tc>
          <w:tcPr/>
          <w:p>
            <w:pPr>
              <w:pStyle w:val="Compact"/>
              <w:jc w:val="left"/>
            </w:pPr>
            <w:r>
              <w:t xml:space="preserve">Merge (join, link)</w:t>
            </w:r>
          </w:p>
        </w:tc>
        <w:tc>
          <w:tcPr/>
          <w:p>
            <w:pPr>
              <w:pStyle w:val="Compact"/>
              <w:jc w:val="left"/>
            </w:pPr>
            <w:r>
              <w:t xml:space="preserve">Combining datasets together in a side by side manner (matching on an identifier).</w:t>
            </w:r>
          </w:p>
        </w:tc>
      </w:tr>
      <w:tr>
        <w:tc>
          <w:tcPr/>
          <w:p>
            <w:pPr>
              <w:pStyle w:val="Compact"/>
              <w:jc w:val="left"/>
            </w:pPr>
            <w:r>
              <w:t xml:space="preserve">Missing data</w:t>
            </w:r>
          </w:p>
        </w:tc>
        <w:tc>
          <w:tcPr/>
          <w:p>
            <w:pPr>
              <w:pStyle w:val="Compact"/>
              <w:jc w:val="left"/>
            </w:pPr>
            <w:r>
              <w:t xml:space="preserve">Occurs when there is no data stored in a variable for a particular observation/respondent.</w:t>
            </w:r>
          </w:p>
        </w:tc>
      </w:tr>
      <w:tr>
        <w:tc>
          <w:tcPr/>
          <w:p>
            <w:pPr>
              <w:pStyle w:val="Compact"/>
              <w:jc w:val="left"/>
            </w:pPr>
            <w:r>
              <w:t xml:space="preserve">Observational data</w:t>
            </w:r>
          </w:p>
        </w:tc>
        <w:tc>
          <w:tcPr/>
          <w:p>
            <w:pPr>
              <w:pStyle w:val="Compact"/>
              <w:jc w:val="left"/>
            </w:pPr>
            <w:r>
              <w:t xml:space="preserve">Data collected from a study where researchers are observing the effect of an intervention without manipulating who is exposed to the intervention. This includes many formats that education researchers collect data with (ex: survey, observation, assessment).</w:t>
            </w:r>
          </w:p>
        </w:tc>
      </w:tr>
      <w:tr>
        <w:tc>
          <w:tcPr/>
          <w:p>
            <w:pPr>
              <w:pStyle w:val="Compact"/>
              <w:jc w:val="left"/>
            </w:pPr>
            <w:r>
              <w:t xml:space="preserve">Participant database (study roster, master list, master key, linking key, code key, key code, main list, identifiers dataset, crosswalk, record keeping, tracking, participant tracking</w:t>
            </w:r>
          </w:p>
        </w:tc>
        <w:tc>
          <w:tcPr/>
          <w:p>
            <w:pPr>
              <w:pStyle w:val="Compact"/>
            </w:pPr>
          </w:p>
        </w:tc>
      </w:tr>
      <w:tr>
        <w:tc>
          <w:tcPr/>
          <w:p>
            <w:pPr>
              <w:pStyle w:val="Compact"/>
              <w:jc w:val="left"/>
            </w:pPr>
            <w:r>
              <w:t xml:space="preserve">)</w:t>
            </w:r>
          </w:p>
        </w:tc>
        <w:tc>
          <w:tcPr/>
          <w:p>
            <w:pPr>
              <w:pStyle w:val="Compact"/>
              <w:jc w:val="left"/>
            </w:pPr>
            <w:r>
              <w:t xml:space="preserve">This database, or spreadsheet, includes any identifiable information on your participants as well as their assigned study ID. It is your only own means of linking your confidential research study data to a participant’s true identity. It is also used to track data collected across time and measures as well as participant attrition.</w:t>
            </w:r>
          </w:p>
        </w:tc>
      </w:tr>
      <w:tr>
        <w:tc>
          <w:tcPr/>
          <w:p>
            <w:pPr>
              <w:pStyle w:val="Compact"/>
              <w:jc w:val="left"/>
            </w:pPr>
            <w:r>
              <w:t xml:space="preserve">Path (file path)</w:t>
            </w:r>
          </w:p>
        </w:tc>
        <w:tc>
          <w:tcPr/>
          <w:p>
            <w:pPr>
              <w:pStyle w:val="Compact"/>
              <w:jc w:val="left"/>
            </w:pPr>
            <w:r>
              <w:t xml:space="preserve">A string of characters used to locate files in your directory system.</w:t>
            </w:r>
          </w:p>
        </w:tc>
      </w:tr>
      <w:tr>
        <w:tc>
          <w:tcPr/>
          <w:p>
            <w:pPr>
              <w:pStyle w:val="Compact"/>
              <w:jc w:val="left"/>
            </w:pPr>
            <w:r>
              <w:t xml:space="preserve">PII</w:t>
            </w:r>
          </w:p>
        </w:tc>
        <w:tc>
          <w:tcPr/>
          <w:p>
            <w:pPr>
              <w:pStyle w:val="Compact"/>
              <w:jc w:val="left"/>
            </w:pPr>
            <w:r>
              <w:t xml:space="preserve">Personally identifiable information is protected information that can directly or indirectly identify a study participant. It includes but is not limited to name, social security number, email, birthdate, district or school name.</w:t>
            </w:r>
          </w:p>
        </w:tc>
      </w:tr>
      <w:tr>
        <w:tc>
          <w:tcPr/>
          <w:p>
            <w:pPr>
              <w:pStyle w:val="Compact"/>
              <w:jc w:val="left"/>
            </w:pPr>
            <w:r>
              <w:t xml:space="preserve">Primary data (original data)</w:t>
            </w:r>
          </w:p>
        </w:tc>
        <w:tc>
          <w:tcPr/>
          <w:p>
            <w:pPr>
              <w:pStyle w:val="Compact"/>
              <w:jc w:val="left"/>
            </w:pPr>
            <w:r>
              <w:t xml:space="preserve">First hand data that is generated/collected by the research team as part of the research study.</w:t>
            </w:r>
          </w:p>
        </w:tc>
      </w:tr>
      <w:tr>
        <w:tc>
          <w:tcPr/>
          <w:p>
            <w:pPr>
              <w:pStyle w:val="Compact"/>
              <w:jc w:val="left"/>
            </w:pPr>
            <w:r>
              <w:t xml:space="preserve">Privacy</w:t>
            </w:r>
          </w:p>
        </w:tc>
        <w:tc>
          <w:tcPr/>
          <w:p>
            <w:pPr>
              <w:pStyle w:val="Compact"/>
              <w:jc w:val="left"/>
            </w:pPr>
            <w:r>
              <w:t xml:space="preserve">Privacy concerns people, ensuring they are given control to the access of themselves and their information.</w:t>
            </w:r>
          </w:p>
        </w:tc>
      </w:tr>
      <w:tr>
        <w:tc>
          <w:tcPr/>
          <w:p>
            <w:pPr>
              <w:pStyle w:val="Compact"/>
              <w:jc w:val="left"/>
            </w:pPr>
            <w:r>
              <w:t xml:space="preserve">Qualitative data</w:t>
            </w:r>
          </w:p>
        </w:tc>
        <w:tc>
          <w:tcPr/>
          <w:p>
            <w:pPr>
              <w:pStyle w:val="Compact"/>
              <w:jc w:val="left"/>
            </w:pPr>
            <w:r>
              <w:t xml:space="preserve">Non-numeric data typically made up of text, images, video, or other artifacts.</w:t>
            </w:r>
          </w:p>
        </w:tc>
      </w:tr>
      <w:tr>
        <w:tc>
          <w:tcPr/>
          <w:p>
            <w:pPr>
              <w:pStyle w:val="Compact"/>
              <w:jc w:val="left"/>
            </w:pPr>
            <w:r>
              <w:t xml:space="preserve">Quantitative data</w:t>
            </w:r>
          </w:p>
        </w:tc>
        <w:tc>
          <w:tcPr/>
          <w:p>
            <w:pPr>
              <w:pStyle w:val="Compact"/>
              <w:jc w:val="left"/>
            </w:pPr>
            <w:r>
              <w:t xml:space="preserve">Numerical data that can be analyzed with statistical methods.</w:t>
            </w:r>
          </w:p>
        </w:tc>
      </w:tr>
      <w:tr>
        <w:tc>
          <w:tcPr/>
          <w:p>
            <w:pPr>
              <w:pStyle w:val="Compact"/>
              <w:jc w:val="left"/>
            </w:pPr>
            <w:r>
              <w:t xml:space="preserve">Randomized controlled trial (RCT)</w:t>
            </w:r>
          </w:p>
        </w:tc>
        <w:tc>
          <w:tcPr/>
          <w:p>
            <w:pPr>
              <w:pStyle w:val="Compact"/>
              <w:jc w:val="left"/>
            </w:pPr>
            <w:r>
              <w:t xml:space="preserve">A study design that randomly assigns participants to a control or treatment condition. In education research you often hear about two types of RCTs. The first being the Individual-Level Randomized Controlled Trial (I-RCT) in which individuals (such as students) are randomized directly to the treatment or control group. The second is a Cluster Randomized Controlled Trial (C-RCT), sometimes also called group-randomized, in which clusters of students (such as classrooms) are randomized.</w:t>
            </w:r>
          </w:p>
        </w:tc>
      </w:tr>
      <w:tr>
        <w:tc>
          <w:tcPr/>
          <w:p>
            <w:pPr>
              <w:pStyle w:val="Compact"/>
              <w:jc w:val="left"/>
            </w:pPr>
            <w:r>
              <w:t xml:space="preserve">Raw data</w:t>
            </w:r>
          </w:p>
        </w:tc>
        <w:tc>
          <w:tcPr/>
          <w:p>
            <w:pPr>
              <w:pStyle w:val="Compact"/>
              <w:jc w:val="left"/>
            </w:pPr>
            <w:r>
              <w:t xml:space="preserve">Unprocessed data collected directly from a source.</w:t>
            </w:r>
          </w:p>
        </w:tc>
      </w:tr>
      <w:tr>
        <w:tc>
          <w:tcPr/>
          <w:p>
            <w:pPr>
              <w:pStyle w:val="Compact"/>
              <w:jc w:val="left"/>
            </w:pPr>
            <w:r>
              <w:t xml:space="preserve">Replicable</w:t>
            </w:r>
          </w:p>
        </w:tc>
        <w:tc>
          <w:tcPr/>
          <w:p>
            <w:pPr>
              <w:pStyle w:val="Compact"/>
              <w:jc w:val="left"/>
            </w:pPr>
            <w:r>
              <w:t xml:space="preserve">Being able to produce the same results if the same procedures are used with different materials.</w:t>
            </w:r>
          </w:p>
        </w:tc>
      </w:tr>
      <w:tr>
        <w:tc>
          <w:tcPr/>
          <w:p>
            <w:pPr>
              <w:pStyle w:val="Compact"/>
              <w:jc w:val="left"/>
            </w:pPr>
            <w:r>
              <w:t xml:space="preserve">Reproducible</w:t>
            </w:r>
          </w:p>
        </w:tc>
        <w:tc>
          <w:tcPr/>
          <w:p>
            <w:pPr>
              <w:pStyle w:val="Compact"/>
              <w:jc w:val="left"/>
            </w:pPr>
            <w:r>
              <w:t xml:space="preserve">Being able to produce the same results using the same materials and procedures.</w:t>
            </w:r>
          </w:p>
        </w:tc>
      </w:tr>
      <w:tr>
        <w:tc>
          <w:tcPr/>
          <w:p>
            <w:pPr>
              <w:pStyle w:val="Compact"/>
              <w:jc w:val="left"/>
            </w:pPr>
            <w:r>
              <w:t xml:space="preserve">Research</w:t>
            </w:r>
          </w:p>
        </w:tc>
        <w:tc>
          <w:tcPr/>
          <w:p>
            <w:pPr>
              <w:pStyle w:val="Compact"/>
              <w:jc w:val="left"/>
            </w:pPr>
            <w:r>
              <w:t xml:space="preserve">The Common Rule definition of research is a systematic investigation, including research development, testing, and evaluation, designed to develop or contribute to generalizable knowledge.</w:t>
            </w:r>
          </w:p>
        </w:tc>
      </w:tr>
      <w:tr>
        <w:tc>
          <w:tcPr/>
          <w:p>
            <w:pPr>
              <w:pStyle w:val="Compact"/>
              <w:jc w:val="left"/>
            </w:pPr>
            <w:r>
              <w:t xml:space="preserve">Secondary data (extant data)</w:t>
            </w:r>
          </w:p>
        </w:tc>
        <w:tc>
          <w:tcPr/>
          <w:p>
            <w:pPr>
              <w:pStyle w:val="Compact"/>
              <w:jc w:val="left"/>
            </w:pPr>
            <w:r>
              <w:t xml:space="preserve">Existing data generated/collected by external organizations such as governments at an earlier point in time.</w:t>
            </w:r>
          </w:p>
        </w:tc>
      </w:tr>
      <w:tr>
        <w:tc>
          <w:tcPr/>
          <w:p>
            <w:pPr>
              <w:pStyle w:val="Compact"/>
              <w:jc w:val="left"/>
            </w:pPr>
            <w:r>
              <w:t xml:space="preserve">Simulation data</w:t>
            </w:r>
          </w:p>
        </w:tc>
        <w:tc>
          <w:tcPr/>
          <w:p>
            <w:pPr>
              <w:pStyle w:val="Compact"/>
              <w:jc w:val="left"/>
            </w:pPr>
            <w:r>
              <w:t xml:space="preserve">Data generated through imitations of a real-world process using computer models.</w:t>
            </w:r>
          </w:p>
        </w:tc>
      </w:tr>
      <w:tr>
        <w:tc>
          <w:tcPr/>
          <w:p>
            <w:pPr>
              <w:pStyle w:val="Compact"/>
              <w:jc w:val="left"/>
            </w:pPr>
            <w:r>
              <w:t xml:space="preserve">Standardization</w:t>
            </w:r>
          </w:p>
        </w:tc>
        <w:tc>
          <w:tcPr/>
          <w:p>
            <w:pPr>
              <w:pStyle w:val="Compact"/>
              <w:jc w:val="left"/>
            </w:pPr>
            <w:r>
              <w:t xml:space="preserve">Developing a set of agreed upon technical standards and applying them within and across all research projects.</w:t>
            </w:r>
          </w:p>
        </w:tc>
      </w:tr>
      <w:tr>
        <w:tc>
          <w:tcPr/>
          <w:p>
            <w:pPr>
              <w:pStyle w:val="Compact"/>
              <w:jc w:val="left"/>
            </w:pPr>
            <w:r>
              <w:t xml:space="preserve">Study</w:t>
            </w:r>
          </w:p>
        </w:tc>
        <w:tc>
          <w:tcPr/>
          <w:p>
            <w:pPr>
              <w:pStyle w:val="Compact"/>
              <w:jc w:val="left"/>
            </w:pPr>
            <w:r>
              <w:t xml:space="preserve">a single funded research project resulting in one more more datasets to be used to answer a research question.</w:t>
            </w:r>
          </w:p>
        </w:tc>
      </w:tr>
      <w:tr>
        <w:tc>
          <w:tcPr/>
          <w:p>
            <w:pPr>
              <w:pStyle w:val="Compact"/>
              <w:jc w:val="left"/>
            </w:pPr>
            <w:r>
              <w:t xml:space="preserve">Study ID (participant ID, location ID, site ID, unique identifier (UID), subject ID, participant code, record id)</w:t>
            </w:r>
          </w:p>
        </w:tc>
        <w:tc>
          <w:tcPr/>
          <w:p>
            <w:pPr>
              <w:pStyle w:val="Compact"/>
              <w:jc w:val="left"/>
            </w:pPr>
            <w:r>
              <w:t xml:space="preserve">This is a numeric or alphanumeric identifier that is unique to every participant, site or object in order to create confidential and de-identified data. These identifiers allow researchers to link data across time or measure.</w:t>
            </w:r>
          </w:p>
        </w:tc>
      </w:tr>
      <w:tr>
        <w:tc>
          <w:tcPr/>
          <w:p>
            <w:pPr>
              <w:pStyle w:val="Compact"/>
              <w:jc w:val="left"/>
            </w:pPr>
            <w:r>
              <w:t xml:space="preserve">Subject (case, participant, site, record)</w:t>
            </w:r>
          </w:p>
        </w:tc>
        <w:tc>
          <w:tcPr/>
          <w:p>
            <w:pPr>
              <w:pStyle w:val="Compact"/>
              <w:jc w:val="left"/>
            </w:pPr>
            <w:r>
              <w:t xml:space="preserve">A person or place participating in research and has one or more piece of data collected on them.</w:t>
            </w:r>
          </w:p>
        </w:tc>
      </w:tr>
      <w:tr>
        <w:tc>
          <w:tcPr/>
          <w:p>
            <w:pPr>
              <w:pStyle w:val="Compact"/>
              <w:jc w:val="left"/>
            </w:pPr>
            <w:r>
              <w:t xml:space="preserve">Syntax (code, program)</w:t>
            </w:r>
          </w:p>
        </w:tc>
        <w:tc>
          <w:tcPr/>
          <w:p>
            <w:pPr>
              <w:pStyle w:val="Compact"/>
              <w:jc w:val="left"/>
            </w:pPr>
            <w:r>
              <w:t xml:space="preserve">Programming statements written in a text editor. The statements are machine-readable instructions processed by your computer.</w:t>
            </w:r>
          </w:p>
        </w:tc>
      </w:tr>
      <w:tr>
        <w:tc>
          <w:tcPr/>
          <w:p>
            <w:pPr>
              <w:pStyle w:val="Compact"/>
              <w:jc w:val="left"/>
            </w:pPr>
            <w:r>
              <w:t xml:space="preserve">Treatment (experiment)</w:t>
            </w:r>
          </w:p>
        </w:tc>
        <w:tc>
          <w:tcPr/>
          <w:p>
            <w:pPr>
              <w:pStyle w:val="Compact"/>
              <w:jc w:val="left"/>
            </w:pPr>
            <w:r>
              <w:t xml:space="preserve">The individual or group receives the intervention.</w:t>
            </w:r>
          </w:p>
        </w:tc>
      </w:tr>
      <w:tr>
        <w:tc>
          <w:tcPr/>
          <w:p>
            <w:pPr>
              <w:pStyle w:val="Compact"/>
              <w:jc w:val="left"/>
            </w:pPr>
            <w:r>
              <w:t xml:space="preserve">Variable (column, field, question)</w:t>
            </w:r>
          </w:p>
        </w:tc>
        <w:tc>
          <w:tcPr/>
          <w:p>
            <w:pPr>
              <w:pStyle w:val="Compact"/>
              <w:jc w:val="left"/>
            </w:pPr>
            <w:r>
              <w:t xml:space="preserve">Any phenomenon you are collecting information on/trying to measure. These variables will make up columns in your datasets or databases.</w:t>
            </w:r>
          </w:p>
        </w:tc>
      </w:tr>
      <w:tr>
        <w:tc>
          <w:tcPr/>
          <w:p>
            <w:pPr>
              <w:pStyle w:val="Compact"/>
              <w:jc w:val="left"/>
            </w:pPr>
            <w:r>
              <w:t xml:space="preserve">Variable name (header)</w:t>
            </w:r>
          </w:p>
        </w:tc>
        <w:tc>
          <w:tcPr/>
          <w:p>
            <w:pPr>
              <w:pStyle w:val="Compact"/>
              <w:jc w:val="left"/>
            </w:pPr>
            <w:r>
              <w:t xml:space="preserve">A shortened symbolic name given the variable in your data to represent the information it contains.</w:t>
            </w:r>
          </w:p>
        </w:tc>
      </w:tr>
      <w:tr>
        <w:tc>
          <w:tcPr/>
          <w:p>
            <w:pPr>
              <w:pStyle w:val="Compact"/>
              <w:jc w:val="left"/>
            </w:pPr>
            <w:r>
              <w:t xml:space="preserve">Wave (time period, time point, event, session)</w:t>
            </w:r>
          </w:p>
        </w:tc>
        <w:tc>
          <w:tcPr/>
          <w:p>
            <w:pPr>
              <w:pStyle w:val="Compact"/>
              <w:jc w:val="left"/>
            </w:pPr>
            <w:r>
              <w:t xml:space="preserve">Intervals of data collection over time.</w:t>
            </w:r>
          </w:p>
        </w:tc>
      </w:tr>
    </w:tbl>
    <w:bookmarkEnd w:id="45"/>
    <w:bookmarkStart w:id="49"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Figure</w:t>
      </w:r>
      <w:r>
        <w:t xml:space="preserve"> </w:t>
      </w:r>
      <w:r>
        <w:t xml:space="preserve">2.1</w:t>
      </w:r>
      <w:r>
        <w:t xml:space="preserve">, how throughout the project, data management roles and project coordination roles work in parallel and collaboratively. These teams may be made up of the same people or different members, but either way, both workflows must happen and they must work together.</w:t>
      </w:r>
    </w:p>
    <w:p>
      <w:pPr>
        <w:pStyle w:val="CaptionedFigure"/>
      </w:pPr>
      <w:r>
        <w:drawing>
          <wp:inline>
            <wp:extent cx="5334000" cy="2942464"/>
            <wp:effectExtent b="0" l="0" r="0" t="0"/>
            <wp:docPr descr="Figure 2.1: The research project life cycle" title="" id="47" name="Picture"/>
            <a:graphic>
              <a:graphicData uri="http://schemas.openxmlformats.org/drawingml/2006/picture">
                <pic:pic>
                  <pic:nvPicPr>
                    <pic:cNvPr descr="img/cl_lifecycle2.PNG" id="48" name="Picture"/>
                    <pic:cNvPicPr>
                      <a:picLocks noChangeArrowheads="1" noChangeAspect="1"/>
                    </pic:cNvPicPr>
                  </pic:nvPicPr>
                  <pic:blipFill>
                    <a:blip r:embed="rId46"/>
                    <a:stretch>
                      <a:fillRect/>
                    </a:stretch>
                  </pic:blipFill>
                  <pic:spPr bwMode="auto">
                    <a:xfrm>
                      <a:off x="0" y="0"/>
                      <a:ext cx="5334000" cy="2942464"/>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grant funding to implement that study. This is where the two paths begin to diverge. If the team is applying for federal funding, the proposal and budget are created in the project management track, while the supplemental required</w:t>
      </w:r>
      <w:r>
        <w:t xml:space="preserve"> </w:t>
      </w:r>
      <w:hyperlink w:anchor="dmp">
        <w:r>
          <w:rPr>
            <w:rStyle w:val="Hyperlink"/>
            <w:bCs/>
            <w:b/>
          </w:rPr>
          <w:t xml:space="preserve">data management plan</w:t>
        </w:r>
      </w:hyperlink>
      <w:r>
        <w:t xml:space="preserve"> </w:t>
      </w:r>
      <w:r>
        <w:t xml:space="preserve">is created in the data track. Again, it may be the same people working on both of these pieces.</w:t>
      </w:r>
    </w:p>
    <w:p>
      <w:pPr>
        <w:numPr>
          <w:ilvl w:val="0"/>
          <w:numId w:val="1004"/>
        </w:numPr>
        <w:pStyle w:val="Compact"/>
      </w:pPr>
      <w:r>
        <w:t xml:space="preserve">Next, if the grant is awarded,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data management plan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as well as any final grant reports.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as the grant is closing out,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49"/>
    <w:bookmarkEnd w:id="50"/>
    <w:bookmarkStart w:id="102" w:name="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60"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(e.g., video, transcripts, documents, files), represented as text, numbers, or multimedia</w:t>
      </w:r>
      <w:r>
        <w:t xml:space="preserve"> </w:t>
      </w:r>
      <w:r>
        <w:t xml:space="preserve">(</w:t>
      </w:r>
      <w:hyperlink w:anchor="ref-usgs_what_nodate">
        <w:r>
          <w:rPr>
            <w:rStyle w:val="Hyperlink"/>
          </w:rPr>
          <w:t xml:space="preserve">USGS n.d.b</w:t>
        </w:r>
      </w:hyperlink>
      <w:r>
        <w:t xml:space="preserve">)</w:t>
      </w:r>
      <w:r>
        <w:t xml:space="preserve">. In the world of quantitative education research, we are often working with digital data in the form of a dataset, a structured collection of data. These datasets are organized in a rectangular format which allow the data to be machine-readable.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52" name="Picture"/>
            <a:graphic>
              <a:graphicData uri="http://schemas.openxmlformats.org/drawingml/2006/picture">
                <pic:pic>
                  <pic:nvPicPr>
                    <pic:cNvPr descr="img/rectangle.PNG" id="53" name="Picture"/>
                    <pic:cNvPicPr>
                      <a:picLocks noChangeArrowheads="1" noChangeAspect="1"/>
                    </pic:cNvPicPr>
                  </pic:nvPicPr>
                  <pic:blipFill>
                    <a:blip r:embed="rId51"/>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54"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(e.g.,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 and they also allow you to link data that contain the same identifiers (for example link all student data). It is important to make sure these variables are consistently formatted across files (e.g., always character variables).</w:t>
      </w:r>
    </w:p>
    <w:p>
      <w:pPr>
        <w:numPr>
          <w:ilvl w:val="0"/>
          <w:numId w:val="1007"/>
        </w:numPr>
        <w:pStyle w:val="Compact"/>
      </w:pPr>
      <w:r>
        <w:t xml:space="preserve">If you plan to link datasets across entities (e.g.,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Chapter</w:t>
      </w:r>
      <w:r>
        <w:t xml:space="preserve"> </w:t>
      </w:r>
      <w:r>
        <w:t xml:space="preserve">9</w:t>
      </w:r>
      <w:r>
        <w:t xml:space="preserve">.</w:t>
      </w:r>
    </w:p>
    <w:p>
      <w:pPr>
        <w:pStyle w:val="BodyText"/>
      </w:pPr>
      <w:r>
        <w:rPr>
          <w:bCs/>
          <w:b/>
        </w:rPr>
        <w:t xml:space="preserve">Column attributes</w:t>
      </w:r>
    </w:p>
    <w:p>
      <w:pPr>
        <w:pStyle w:val="BodyText"/>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w:t>
      </w:r>
      <w:r>
        <w:t xml:space="preserve"> </w:t>
      </w:r>
      <w:hyperlink w:anchor="style">
        <w:r>
          <w:rPr>
            <w:rStyle w:val="Hyperlink"/>
          </w:rPr>
          <w:t xml:space="preserve">style guides</w:t>
        </w:r>
      </w:hyperlink>
      <w:r>
        <w:t xml:space="preserve">.</w:t>
      </w:r>
    </w:p>
    <w:p>
      <w:pPr>
        <w:numPr>
          <w:ilvl w:val="0"/>
          <w:numId w:val="1008"/>
        </w:numPr>
        <w:pStyle w:val="Compact"/>
      </w:pPr>
      <w:r>
        <w:t xml:space="preserve">A measurement type (e.g., numeric, character, date) which can also be more narrowly defined as needed (e.g., continuous, categorical)</w:t>
      </w:r>
    </w:p>
    <w:p>
      <w:pPr>
        <w:numPr>
          <w:ilvl w:val="0"/>
          <w:numId w:val="1008"/>
        </w:numPr>
        <w:pStyle w:val="Compact"/>
      </w:pPr>
      <w:r>
        <w:t xml:space="preserve">Acceptable values (e.g., yes/no) or expected ranges (e.g.,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(e.g.,</w:t>
      </w:r>
      <w:r>
        <w:t xml:space="preserve"> </w:t>
      </w:r>
      <w:r>
        <w:t xml:space="preserve">“</w:t>
      </w:r>
      <w:r>
        <w:t xml:space="preserve">Treatment condition</w:t>
      </w:r>
      <w:r>
        <w:t xml:space="preserve">”</w:t>
      </w:r>
      <w:r>
        <w:t xml:space="preserve">) or they may be the actual wording of an item (e.g.,</w:t>
      </w:r>
      <w:r>
        <w:t xml:space="preserve"> </w:t>
      </w:r>
      <w:r>
        <w:t xml:space="preserve">“</w:t>
      </w:r>
      <w:r>
        <w:t xml:space="preserve">Do you enjoy pizza?</w:t>
      </w:r>
      <w:r>
        <w:t xml:space="preserve">”</w:t>
      </w:r>
      <w:r>
        <w:t xml:space="preserve">).</w:t>
      </w:r>
    </w:p>
    <w:bookmarkEnd w:id="54"/>
    <w:bookmarkStart w:id="55"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55"/>
    <w:bookmarkStart w:id="59"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3.2: Representation of a cell value" title="" id="57" name="Picture"/>
            <a:graphic>
              <a:graphicData uri="http://schemas.openxmlformats.org/drawingml/2006/picture">
                <pic:pic>
                  <pic:nvPicPr>
                    <pic:cNvPr descr="img/cell_value.PNG" id="58" name="Picture"/>
                    <pic:cNvPicPr>
                      <a:picLocks noChangeArrowheads="1" noChangeAspect="1"/>
                    </pic:cNvPicPr>
                  </pic:nvPicPr>
                  <pic:blipFill>
                    <a:blip r:embed="rId56"/>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3.2: Representation of a cell value</w:t>
      </w:r>
    </w:p>
    <w:bookmarkEnd w:id="59"/>
    <w:bookmarkEnd w:id="60"/>
    <w:bookmarkStart w:id="79"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t xml:space="preserve"> </w:t>
      </w:r>
      <w:r>
        <w:t xml:space="preserve">(</w:t>
      </w:r>
      <w:hyperlink w:anchor="ref-broman_data_2018">
        <w:r>
          <w:rPr>
            <w:rStyle w:val="Hyperlink"/>
          </w:rPr>
          <w:t xml:space="preserve">Broman and Woo 2018</w:t>
        </w:r>
      </w:hyperlink>
      <w:r>
        <w:t xml:space="preserve">;</w:t>
      </w:r>
      <w:r>
        <w:t xml:space="preserve"> </w:t>
      </w:r>
      <w:hyperlink w:anchor="ref-wickham_tidy_2014">
        <w:r>
          <w:rPr>
            <w:rStyle w:val="Hyperlink"/>
          </w:rPr>
          <w:t xml:space="preserve">Wickham 2014</w:t>
        </w:r>
      </w:hyperlink>
      <w:r>
        <w:t xml:space="preserve">)</w:t>
      </w:r>
      <w:r>
        <w:t xml:space="preserve">.</w:t>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3: A comparison of non-rectangular and rectangular data" title="" id="62" name="Picture"/>
            <a:graphic>
              <a:graphicData uri="http://schemas.openxmlformats.org/drawingml/2006/picture">
                <pic:pic>
                  <pic:nvPicPr>
                    <pic:cNvPr descr="img/rectangle2.PNG" id="63" name="Picture"/>
                    <pic:cNvPicPr>
                      <a:picLocks noChangeArrowheads="1" noChangeAspect="1"/>
                    </pic:cNvPicPr>
                  </pic:nvPicPr>
                  <pic:blipFill>
                    <a:blip r:embed="rId61"/>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3.3: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4: A comparison of variables adhering and not adhering to a data type" title="" id="65" name="Picture"/>
            <a:graphic>
              <a:graphicData uri="http://schemas.openxmlformats.org/drawingml/2006/picture">
                <pic:pic>
                  <pic:nvPicPr>
                    <pic:cNvPr descr="img/var_type.PNG" id="66" name="Picture"/>
                    <pic:cNvPicPr>
                      <a:picLocks noChangeArrowheads="1" noChangeAspect="1"/>
                    </pic:cNvPicPr>
                  </pic:nvPicPr>
                  <pic:blipFill>
                    <a:blip r:embed="rId64"/>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3.4: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(e.g.,</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(e.g.,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(e.g.,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5: A comparison of two things being measured in one variable and two things being measured across two variables" title="" id="68" name="Picture"/>
            <a:graphic>
              <a:graphicData uri="http://schemas.openxmlformats.org/drawingml/2006/picture">
                <pic:pic>
                  <pic:nvPicPr>
                    <pic:cNvPr descr="img/two_things.PNG" id="69" name="Picture"/>
                    <pic:cNvPicPr>
                      <a:picLocks noChangeArrowheads="1" noChangeAspect="1"/>
                    </pic:cNvPicPr>
                  </pic:nvPicPr>
                  <pic:blipFill>
                    <a:blip r:embed="rId67"/>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3.5: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Consider why a cell value is empty</w:t>
      </w:r>
    </w:p>
    <w:p>
      <w:pPr>
        <w:numPr>
          <w:ilvl w:val="2"/>
          <w:numId w:val="1016"/>
        </w:numPr>
        <w:pStyle w:val="Compact"/>
      </w:pPr>
      <w:r>
        <w:t xml:space="preserve">If a value is actually missing, it can be helpful to fill these cells with a designated missing value (e.g.,</w:t>
      </w:r>
      <w:r>
        <w:t xml:space="preserve"> </w:t>
      </w:r>
      <w:r>
        <w:rPr>
          <w:rStyle w:val="VerbatimChar"/>
        </w:rPr>
        <w:t xml:space="preserve">NA</w:t>
      </w:r>
      <w:r>
        <w:t xml:space="preserve">) to show that the cell was not left blank unintentionally</w:t>
      </w:r>
      <w:r>
        <w:br/>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6: A comparison of of variables with empty cells and variables with not empty cells" title="" id="71" name="Picture"/>
            <a:graphic>
              <a:graphicData uri="http://schemas.openxmlformats.org/drawingml/2006/picture">
                <pic:pic>
                  <pic:nvPicPr>
                    <pic:cNvPr descr="img/explicit.PNG" id="72" name="Picture"/>
                    <pic:cNvPicPr>
                      <a:picLocks noChangeArrowheads="1" noChangeAspect="1"/>
                    </pic:cNvPicPr>
                  </pic:nvPicPr>
                  <pic:blipFill>
                    <a:blip r:embed="rId70"/>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3.6: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7: A comparison of variables with implicit values and variables with explicit values" title="" id="74" name="Picture"/>
            <a:graphic>
              <a:graphicData uri="http://schemas.openxmlformats.org/drawingml/2006/picture">
                <pic:pic>
                  <pic:nvPicPr>
                    <pic:cNvPr descr="img/cell_color.PNG" id="75" name="Picture"/>
                    <pic:cNvPicPr>
                      <a:picLocks noChangeArrowheads="1" noChangeAspect="1"/>
                    </pic:cNvPicPr>
                  </pic:nvPicPr>
                  <pic:blipFill>
                    <a:blip r:embed="rId73"/>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3.7: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(discussed in Section</w:t>
      </w:r>
      <w:r>
        <w:t xml:space="preserve"> </w:t>
      </w:r>
      <w:r>
        <w:t xml:space="preserve">3</w:t>
      </w:r>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8: A comparison of data with duplicate cases and data with no duplicate cases" title="" id="77" name="Picture"/>
            <a:graphic>
              <a:graphicData uri="http://schemas.openxmlformats.org/drawingml/2006/picture">
                <pic:pic>
                  <pic:nvPicPr>
                    <pic:cNvPr descr="img/duplicate.PNG" id="78" name="Picture"/>
                    <pic:cNvPicPr>
                      <a:picLocks noChangeArrowheads="1" noChangeAspect="1"/>
                    </pic:cNvPicPr>
                  </pic:nvPicPr>
                  <pic:blipFill>
                    <a:blip r:embed="rId76"/>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3.8: A comparison of data with duplicate cases and data with no duplicate cases</w:t>
      </w:r>
    </w:p>
    <w:bookmarkEnd w:id="79"/>
    <w:bookmarkStart w:id="100"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89" w:name="database"/>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t xml:space="preserve"> </w:t>
      </w:r>
      <w:r>
        <w:t xml:space="preserve">(</w:t>
      </w:r>
      <w:hyperlink w:anchor="ref-usgs_what_nodate">
        <w:r>
          <w:rPr>
            <w:rStyle w:val="Hyperlink"/>
          </w:rPr>
          <w:t xml:space="preserve">USGS n.d.b</w:t>
        </w:r>
      </w:hyperlink>
      <w:r>
        <w:t xml:space="preserve">)</w:t>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Each table has a primary key that identifies unique entries within a table and each table can be connected through both primary and foreign keys. This linking of tables creates a relational database and we will talk more about this structure when we discuss</w:t>
      </w:r>
      <w:r>
        <w:t xml:space="preserve"> </w:t>
      </w:r>
      <w:hyperlink w:anchor="track">
        <w:r>
          <w:rPr>
            <w:rStyle w:val="Hyperlink"/>
          </w:rPr>
          <w:t xml:space="preserve">participant data tracking</w:t>
        </w:r>
      </w:hyperlink>
      <w:r>
        <w:t xml:space="preserve">.</w:t>
      </w:r>
    </w:p>
    <w:p>
      <w:pPr>
        <w:pStyle w:val="BodyText"/>
      </w:pPr>
      <w:r>
        <w:t xml:space="preserve">Let’s take the simplest example, where we only have primary keys in our data. Here we collected two pieces of data from students (a survey and an assessment) in one time period. Figure</w:t>
      </w:r>
      <w:r>
        <w:t xml:space="preserve"> </w:t>
      </w:r>
      <w:r>
        <w:t xml:space="preserve">3.9</w:t>
      </w:r>
      <w:r>
        <w:t xml:space="preserve"> </w:t>
      </w:r>
      <w:r>
        <w:t xml:space="preserve">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9: Linking data through primary keys" title="" id="81" name="Picture"/>
            <a:graphic>
              <a:graphicData uri="http://schemas.openxmlformats.org/drawingml/2006/picture">
                <pic:pic>
                  <pic:nvPicPr>
                    <pic:cNvPr descr="img/link0.PNG" id="82" name="Picture"/>
                    <pic:cNvPicPr>
                      <a:picLocks noChangeArrowheads="1" noChangeAspect="1"/>
                    </pic:cNvPicPr>
                  </pic:nvPicPr>
                  <pic:blipFill>
                    <a:blip r:embed="rId80"/>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3.9: Linking data through primary keys</w:t>
      </w:r>
    </w:p>
    <w:p>
      <w:pPr>
        <w:pStyle w:val="BodyText"/>
      </w:pPr>
      <w:r>
        <w:t xml:space="preserve">However, we are often not only collecting data across different forms, but we are also collecting nested data across different participants (e.g., students, nested in classrooms, nested in schools, and so on). Let’s take another example where we collected data from three instruments, a student assessment, a teacher survey, and a school intake form. Figure</w:t>
      </w:r>
      <w:r>
        <w:t xml:space="preserve"> </w:t>
      </w:r>
      <w:r>
        <w:t xml:space="preserve">3.10</w:t>
      </w:r>
      <w:r>
        <w:t xml:space="preserve"> </w:t>
      </w:r>
      <w:r>
        <w:t xml:space="preserve">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10: Linking data through foreign keys" title="" id="84" name="Picture"/>
            <a:graphic>
              <a:graphicData uri="http://schemas.openxmlformats.org/drawingml/2006/picture">
                <pic:pic>
                  <pic:nvPicPr>
                    <pic:cNvPr descr="img/link1.PNG" id="85" name="Picture"/>
                    <pic:cNvPicPr>
                      <a:picLocks noChangeArrowheads="1" noChangeAspect="1"/>
                    </pic:cNvPicPr>
                  </pic:nvPicPr>
                  <pic:blipFill>
                    <a:blip r:embed="rId83"/>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3.10: Linking data through foreign keys</w:t>
      </w:r>
    </w:p>
    <w:p>
      <w:pPr>
        <w:pStyle w:val="BodyText"/>
      </w:pPr>
      <w:r>
        <w:t xml:space="preserve">And as you can imagine, as we add more forms, or begin to collect data across time, the database structure begins to become even more complex. Figure</w:t>
      </w:r>
      <w:r>
        <w:t xml:space="preserve"> </w:t>
      </w:r>
      <w:r>
        <w:t xml:space="preserve">3.11</w:t>
      </w:r>
      <w:r>
        <w:t xml:space="preserve"> </w:t>
      </w:r>
      <w:r>
        <w:t xml:space="preserve">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1: Linking data through primary and foreign keys" title="" id="87" name="Picture"/>
            <a:graphic>
              <a:graphicData uri="http://schemas.openxmlformats.org/drawingml/2006/picture">
                <pic:pic>
                  <pic:nvPicPr>
                    <pic:cNvPr descr="img/link2.PNG" id="88" name="Picture"/>
                    <pic:cNvPicPr>
                      <a:picLocks noChangeArrowheads="1" noChangeAspect="1"/>
                    </pic:cNvPicPr>
                  </pic:nvPicPr>
                  <pic:blipFill>
                    <a:blip r:embed="rId86"/>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3.11: Linking data through primary and foreign keys</w:t>
      </w:r>
    </w:p>
    <w:bookmarkEnd w:id="89"/>
    <w:bookmarkStart w:id="99" w:name="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bookmarkStart w:id="93" w:name="wide-format"/>
    <w:p>
      <w:pPr>
        <w:pStyle w:val="Heading4"/>
      </w:pPr>
      <w:r>
        <w:rPr>
          <w:rStyle w:val="SectionNumber"/>
        </w:rPr>
        <w:t xml:space="preserve">3.3.2.1</w:t>
      </w:r>
      <w:r>
        <w:tab/>
      </w:r>
      <w:r>
        <w:t xml:space="preserve">Wide format</w:t>
      </w:r>
    </w:p>
    <w:p>
      <w:pPr>
        <w:pStyle w:val="FirstParagraph"/>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Chapter</w:t>
      </w:r>
      <w:r>
        <w:t xml:space="preserve"> </w:t>
      </w:r>
      <w:r>
        <w:t xml:space="preserve">13</w:t>
      </w:r>
      <w:r>
        <w:t xml:space="preserve">.</w:t>
      </w:r>
    </w:p>
    <w:p>
      <w:pPr>
        <w:pStyle w:val="BlockText"/>
      </w:pPr>
      <w:r>
        <w:rPr>
          <w:bCs/>
          <w:b/>
        </w:rPr>
        <w:t xml:space="preserve">Note</w:t>
      </w:r>
      <w:r>
        <w:t xml:space="preserve"> </w:t>
      </w:r>
      <w:r>
        <w:t xml:space="preserve"> </w:t>
      </w:r>
      <w:r>
        <w:t xml:space="preserve"> </w:t>
      </w:r>
      <w:r>
        <w:t xml:space="preserve">It is important to note here, that if your data do not have unique identifiers (primary and/or foreign keys), as is in the case of anonymous data, you will be unable to merge data in a wide format.</w:t>
      </w:r>
    </w:p>
    <w:p>
      <w:pPr>
        <w:pStyle w:val="CaptionedFigure"/>
      </w:pPr>
      <w:r>
        <w:drawing>
          <wp:inline>
            <wp:extent cx="5334000" cy="3643687"/>
            <wp:effectExtent b="0" l="0" r="0" t="0"/>
            <wp:docPr descr="Figure 3.12: Data structured in wide format" title="" id="91" name="Picture"/>
            <a:graphic>
              <a:graphicData uri="http://schemas.openxmlformats.org/drawingml/2006/picture">
                <pic:pic>
                  <pic:nvPicPr>
                    <pic:cNvPr descr="img/wide.PNG" id="92" name="Picture"/>
                    <pic:cNvPicPr>
                      <a:picLocks noChangeArrowheads="1" noChangeAspect="1"/>
                    </pic:cNvPicPr>
                  </pic:nvPicPr>
                  <pic:blipFill>
                    <a:blip r:embed="rId90"/>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3.12: Data structured in wide format</w:t>
      </w:r>
    </w:p>
    <w:bookmarkEnd w:id="93"/>
    <w:bookmarkStart w:id="97" w:name="long-format"/>
    <w:p>
      <w:pPr>
        <w:pStyle w:val="Heading4"/>
      </w:pPr>
      <w:r>
        <w:rPr>
          <w:rStyle w:val="SectionNumber"/>
        </w:rPr>
        <w:t xml:space="preserve">3.3.2.2</w:t>
      </w:r>
      <w:r>
        <w:tab/>
      </w:r>
      <w:r>
        <w:t xml:space="preserve">Long format</w:t>
      </w:r>
    </w:p>
    <w:p>
      <w:pPr>
        <w:pStyle w:val="FirstParagraph"/>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3: Data structured in long format" title="" id="95" name="Picture"/>
            <a:graphic>
              <a:graphicData uri="http://schemas.openxmlformats.org/drawingml/2006/picture">
                <pic:pic>
                  <pic:nvPicPr>
                    <pic:cNvPr descr="img/long.PNG" id="96" name="Picture"/>
                    <pic:cNvPicPr>
                      <a:picLocks noChangeArrowheads="1" noChangeAspect="1"/>
                    </pic:cNvPicPr>
                  </pic:nvPicPr>
                  <pic:blipFill>
                    <a:blip r:embed="rId94"/>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3.13: Data structured in long format</w:t>
      </w:r>
    </w:p>
    <w:bookmarkEnd w:id="97"/>
    <w:bookmarkStart w:id="98" w:name="choosing-wide-vs-long"/>
    <w:p>
      <w:pPr>
        <w:pStyle w:val="Heading4"/>
      </w:pPr>
      <w:r>
        <w:rPr>
          <w:rStyle w:val="SectionNumber"/>
        </w:rPr>
        <w:t xml:space="preserve">3.3.2.3</w:t>
      </w:r>
      <w:r>
        <w:tab/>
      </w:r>
      <w:r>
        <w:t xml:space="preserve">Choosing wide vs long</w:t>
      </w:r>
    </w:p>
    <w:p>
      <w:pPr>
        <w:pStyle w:val="FirstParagraph"/>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t xml:space="preserve"> </w:t>
      </w:r>
      <w:r>
        <w:t xml:space="preserve">(</w:t>
      </w:r>
      <w:hyperlink w:anchor="ref-grace-martin_wide_2013">
        <w:r>
          <w:rPr>
            <w:rStyle w:val="Hyperlink"/>
          </w:rPr>
          <w:t xml:space="preserve">Grace-Martin 2013</w:t>
        </w:r>
      </w:hyperlink>
      <w:r>
        <w:t xml:space="preserve">)</w:t>
      </w:r>
      <w:r>
        <w:t xml:space="preserve">. We will further review decision making around data structure in Chapter</w:t>
      </w:r>
      <w:r>
        <w:t xml:space="preserve"> </w:t>
      </w:r>
      <w:r>
        <w:t xml:space="preserve">13</w:t>
      </w:r>
      <w:r>
        <w:t xml:space="preserve">.</w:t>
      </w:r>
    </w:p>
    <w:bookmarkEnd w:id="98"/>
    <w:bookmarkEnd w:id="99"/>
    <w:bookmarkEnd w:id="100"/>
    <w:bookmarkStart w:id="101"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Chapter</w:t>
      </w:r>
      <w:r>
        <w:t xml:space="preserve"> </w:t>
      </w:r>
      <w:r>
        <w:t xml:space="preserve">14</w:t>
      </w:r>
      <w:r>
        <w:t xml:space="preserve">.</w:t>
      </w:r>
    </w:p>
    <w:bookmarkEnd w:id="101"/>
    <w:bookmarkEnd w:id="102"/>
    <w:bookmarkStart w:id="141" w:name="dmp"/>
    <w:p>
      <w:pPr>
        <w:pStyle w:val="Heading1"/>
      </w:pPr>
      <w:r>
        <w:rPr>
          <w:rStyle w:val="SectionNumber"/>
        </w:rPr>
        <w:t xml:space="preserve">4</w:t>
      </w:r>
      <w:r>
        <w:tab/>
      </w:r>
      <w:r>
        <w:t xml:space="preserve">Data Management Plan</w:t>
      </w:r>
    </w:p>
    <w:p>
      <w:pPr>
        <w:pStyle w:val="CaptionedFigure"/>
      </w:pPr>
      <w:r>
        <w:drawing>
          <wp:inline>
            <wp:extent cx="5334000" cy="2941883"/>
            <wp:effectExtent b="0" l="0" r="0" t="0"/>
            <wp:docPr descr="Figure 4.1: Data management plan in the research project life cycle" title="" id="104" name="Picture"/>
            <a:graphic>
              <a:graphicData uri="http://schemas.openxmlformats.org/drawingml/2006/picture">
                <pic:pic>
                  <pic:nvPicPr>
                    <pic:cNvPr descr="img/lifecycle_dmp2.PNG" id="105" name="Picture"/>
                    <pic:cNvPicPr>
                      <a:picLocks noChangeArrowheads="1" noChangeAspect="1"/>
                    </pic:cNvPicPr>
                  </pic:nvPicPr>
                  <pic:blipFill>
                    <a:blip r:embed="rId103"/>
                    <a:stretch>
                      <a:fillRect/>
                    </a:stretch>
                  </pic:blipFill>
                  <pic:spPr bwMode="auto">
                    <a:xfrm>
                      <a:off x="0" y="0"/>
                      <a:ext cx="5334000" cy="2941883"/>
                    </a:xfrm>
                    <a:prstGeom prst="rect">
                      <a:avLst/>
                    </a:prstGeom>
                    <a:noFill/>
                    <a:ln w="9525">
                      <a:noFill/>
                      <a:headEnd/>
                      <a:tailEnd/>
                    </a:ln>
                  </pic:spPr>
                </pic:pic>
              </a:graphicData>
            </a:graphic>
          </wp:inline>
        </w:drawing>
      </w:r>
    </w:p>
    <w:p>
      <w:pPr>
        <w:pStyle w:val="ImageCaption"/>
      </w:pPr>
      <w:r>
        <w:t xml:space="preserve">Figure 4.1: Data management plan in the research project life cycle</w:t>
      </w:r>
    </w:p>
    <w:bookmarkStart w:id="107"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or data management and sharing plan (DMS Plan) as part of their funding application</w:t>
      </w:r>
      <w:r>
        <w:t xml:space="preserve"> </w:t>
      </w:r>
      <w:r>
        <w:t xml:space="preserve">(</w:t>
      </w:r>
      <w:hyperlink w:anchor="ref-holdren_ostp_2013">
        <w:r>
          <w:rPr>
            <w:rStyle w:val="Hyperlink"/>
          </w:rPr>
          <w:t xml:space="preserve">Holdren 2013</w:t>
        </w:r>
      </w:hyperlink>
      <w:r>
        <w:t xml:space="preserve">)</w:t>
      </w:r>
      <w:r>
        <w:t xml:space="preserve">.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t xml:space="preserve"> </w:t>
      </w:r>
      <w:r>
        <w:t xml:space="preserve">(</w:t>
      </w:r>
      <w:hyperlink w:anchor="ref-the_white_house_executive_2013">
        <w:r>
          <w:rPr>
            <w:rStyle w:val="Hyperlink"/>
          </w:rPr>
          <w:t xml:space="preserve">The White House 2013</w:t>
        </w:r>
      </w:hyperlink>
      <w:r>
        <w:t xml:space="preserve">)</w:t>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t xml:space="preserve"> </w:t>
      </w:r>
      <w:r>
        <w:t xml:space="preserve">(</w:t>
      </w:r>
      <w:hyperlink w:anchor="ref-nelson_ostp_2022">
        <w:r>
          <w:rPr>
            <w:rStyle w:val="Hyperlink"/>
          </w:rPr>
          <w:t xml:space="preserve">Nelson 2022</w:t>
        </w:r>
      </w:hyperlink>
      <w:r>
        <w:t xml:space="preserve">)</w:t>
      </w:r>
      <w:r>
        <w:t xml:space="preserve">. Even sooner than this, organizations like the National Institutes of Health mandated that grant applicants, beginning January 2023, must submit a plan for both managing and sharing project data</w:t>
      </w:r>
      <w:r>
        <w:t xml:space="preserve">(</w:t>
      </w:r>
      <w:hyperlink w:anchor="Xbb5690b3da223e7a09e9f9ea20d8095d382702f">
        <w:r>
          <w:rPr>
            <w:rStyle w:val="Hyperlink"/>
          </w:rPr>
          <w:t xml:space="preserve">National Institutes of Health n.d.b</w:t>
        </w:r>
      </w:hyperlink>
      <w:r>
        <w:t xml:space="preserve">)</w:t>
      </w:r>
      <w:r>
        <w:t xml:space="preserve">.</w:t>
      </w:r>
    </w:p>
    <w:bookmarkStart w:id="106"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t xml:space="preserve"> </w:t>
      </w:r>
      <w:r>
        <w:t xml:space="preserve">(</w:t>
      </w:r>
      <w:hyperlink w:anchor="X39d35c31c15422dd23692680ea9abd943cfe581">
        <w:r>
          <w:rPr>
            <w:rStyle w:val="Hyperlink"/>
          </w:rPr>
          <w:t xml:space="preserve">Center for Open Science n.d.</w:t>
        </w:r>
      </w:hyperlink>
      <w:r>
        <w:t xml:space="preserve">)</w:t>
      </w:r>
      <w:r>
        <w:t xml:space="preserve">.</w:t>
      </w:r>
    </w:p>
    <w:bookmarkEnd w:id="106"/>
    <w:bookmarkEnd w:id="107"/>
    <w:bookmarkStart w:id="113"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112"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t xml:space="preserve"> </w:t>
      </w:r>
      <w:r>
        <w:t xml:space="preserve">(</w:t>
      </w:r>
      <w:hyperlink w:anchor="X39d35c31c15422dd23692680ea9abd943cfe581">
        <w:r>
          <w:rPr>
            <w:rStyle w:val="Hyperlink"/>
          </w:rPr>
          <w:t xml:space="preserve">Center for Open Science n.d.</w:t>
        </w:r>
      </w:hyperlink>
      <w:r>
        <w:t xml:space="preserve">;</w:t>
      </w:r>
      <w:r>
        <w:t xml:space="preserve"> </w:t>
      </w:r>
      <w:hyperlink w:anchor="ref-gonzales_ten_2022">
        <w:r>
          <w:rPr>
            <w:rStyle w:val="Hyperlink"/>
          </w:rPr>
          <w:t xml:space="preserve">Gonzales, Carson, and Holmes 2022</w:t>
        </w:r>
      </w:hyperlink>
      <w:r>
        <w:t xml:space="preserve">;</w:t>
      </w:r>
      <w:r>
        <w:t xml:space="preserve"> </w:t>
      </w:r>
      <w:hyperlink w:anchor="ref-icpsr_guide_nodate">
        <w:r>
          <w:rPr>
            <w:rStyle w:val="Hyperlink"/>
          </w:rPr>
          <w:t xml:space="preserve">ICPSR n.d.a</w:t>
        </w:r>
      </w:hyperlink>
      <w:r>
        <w:t xml:space="preserve">;</w:t>
      </w:r>
      <w:r>
        <w:t xml:space="preserve"> </w:t>
      </w:r>
      <w:hyperlink w:anchor="ref-michener_ten_2015">
        <w:r>
          <w:rPr>
            <w:rStyle w:val="Hyperlink"/>
          </w:rPr>
          <w:t xml:space="preserve">Michener 2015</w:t>
        </w:r>
      </w:hyperlink>
      <w:r>
        <w:t xml:space="preserve">)</w:t>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and amount of data</w:t>
      </w:r>
    </w:p>
    <w:p>
      <w:pPr>
        <w:numPr>
          <w:ilvl w:val="1"/>
          <w:numId w:val="1026"/>
        </w:numPr>
        <w:pStyle w:val="Compact"/>
      </w:pPr>
      <w:r>
        <w:t xml:space="preserve">How is data captured? (e.g., surveys, assessments, observations)</w:t>
      </w:r>
    </w:p>
    <w:p>
      <w:pPr>
        <w:numPr>
          <w:ilvl w:val="1"/>
          <w:numId w:val="1026"/>
        </w:numPr>
        <w:pStyle w:val="Compact"/>
      </w:pPr>
      <w:r>
        <w:t xml:space="preserve">Will data be item-level? Summary scores? Metadata only?</w:t>
      </w:r>
    </w:p>
    <w:p>
      <w:pPr>
        <w:numPr>
          <w:ilvl w:val="2"/>
          <w:numId w:val="1027"/>
        </w:numPr>
        <w:pStyle w:val="Compact"/>
      </w:pPr>
      <w:r>
        <w:t xml:space="preserve">Datasets from a project may need to be shared in different ways due to legal, ethical, or technical reasons.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rows/cases in each file?</w:t>
      </w:r>
    </w:p>
    <w:p>
      <w:pPr>
        <w:numPr>
          <w:ilvl w:val="0"/>
          <w:numId w:val="1024"/>
        </w:numPr>
        <w:pStyle w:val="Compact"/>
      </w:pPr>
      <w:r>
        <w:t xml:space="preserve">Format of data</w:t>
      </w:r>
    </w:p>
    <w:p>
      <w:pPr>
        <w:numPr>
          <w:ilvl w:val="1"/>
          <w:numId w:val="1028"/>
        </w:numPr>
        <w:pStyle w:val="Compact"/>
      </w:pPr>
      <w:r>
        <w:t xml:space="preserve">Will data be in an electronic format?</w:t>
      </w:r>
    </w:p>
    <w:p>
      <w:pPr>
        <w:numPr>
          <w:ilvl w:val="1"/>
          <w:numId w:val="1028"/>
        </w:numPr>
        <w:pStyle w:val="Compact"/>
      </w:pPr>
      <w:r>
        <w:t xml:space="preserve">Will it be provided in a non-proprietary format? (e.g., .csv)</w:t>
      </w:r>
    </w:p>
    <w:p>
      <w:pPr>
        <w:numPr>
          <w:ilvl w:val="1"/>
          <w:numId w:val="1028"/>
        </w:numPr>
        <w:pStyle w:val="Compact"/>
      </w:pPr>
      <w:r>
        <w:t xml:space="preserve">Will more than one format be provided? (e.g., .sav and .csv)</w:t>
      </w:r>
    </w:p>
    <w:p>
      <w:pPr>
        <w:numPr>
          <w:ilvl w:val="1"/>
          <w:numId w:val="1028"/>
        </w:numPr>
        <w:pStyle w:val="Compact"/>
      </w:pPr>
      <w:r>
        <w:t xml:space="preserve">Are there any tools needed to manipulate shared data?</w:t>
      </w:r>
    </w:p>
    <w:p>
      <w:pPr>
        <w:numPr>
          <w:ilvl w:val="0"/>
          <w:numId w:val="1024"/>
        </w:numPr>
        <w:pStyle w:val="Compact"/>
      </w:pPr>
      <w:r>
        <w:t xml:space="preserve">Documentation</w:t>
      </w:r>
    </w:p>
    <w:p>
      <w:pPr>
        <w:numPr>
          <w:ilvl w:val="1"/>
          <w:numId w:val="1029"/>
        </w:numPr>
        <w:pStyle w:val="Compact"/>
      </w:pPr>
      <w:r>
        <w:t xml:space="preserve">What</w:t>
      </w:r>
      <w:r>
        <w:t xml:space="preserve"> </w:t>
      </w:r>
      <w:hyperlink w:anchor="document">
        <w:r>
          <w:rPr>
            <w:rStyle w:val="Hyperlink"/>
          </w:rPr>
          <w:t xml:space="preserve">documentation</w:t>
        </w:r>
      </w:hyperlink>
      <w:r>
        <w:t xml:space="preserve"> </w:t>
      </w:r>
      <w:r>
        <w:t xml:space="preserve">will you share? (Consider project level, dataset level, and variable level documentation)</w:t>
      </w:r>
    </w:p>
    <w:p>
      <w:pPr>
        <w:numPr>
          <w:ilvl w:val="1"/>
          <w:numId w:val="1029"/>
        </w:numPr>
        <w:pStyle w:val="Compact"/>
      </w:pPr>
      <w:r>
        <w:t xml:space="preserve">What</w:t>
      </w:r>
      <w:r>
        <w:t xml:space="preserve"> </w:t>
      </w:r>
      <w:hyperlink w:anchor="metadata">
        <w:r>
          <w:rPr>
            <w:rStyle w:val="Hyperlink"/>
          </w:rPr>
          <w:t xml:space="preserve">metadata</w:t>
        </w:r>
      </w:hyperlink>
      <w:r>
        <w:t xml:space="preserve"> </w:t>
      </w:r>
      <w:r>
        <w:t xml:space="preserve">will you create?</w:t>
      </w:r>
    </w:p>
    <w:p>
      <w:pPr>
        <w:numPr>
          <w:ilvl w:val="1"/>
          <w:numId w:val="1029"/>
        </w:numPr>
        <w:pStyle w:val="Compact"/>
      </w:pPr>
      <w:r>
        <w:t xml:space="preserve">What format will your documentation be in? (e.g., .xml, .csv, .pdf)</w:t>
      </w:r>
    </w:p>
    <w:p>
      <w:pPr>
        <w:numPr>
          <w:ilvl w:val="1"/>
          <w:numId w:val="1029"/>
        </w:numPr>
        <w:pStyle w:val="Compact"/>
      </w:pPr>
      <w:r>
        <w:t xml:space="preserve">What</w:t>
      </w:r>
      <w:r>
        <w:t xml:space="preserve"> </w:t>
      </w:r>
      <w:hyperlink w:anchor="supplement">
        <w:r>
          <w:rPr>
            <w:rStyle w:val="Hyperlink"/>
          </w:rPr>
          <w:t xml:space="preserve">supplemental documents</w:t>
        </w:r>
      </w:hyperlink>
      <w:r>
        <w:t xml:space="preserve"> </w:t>
      </w:r>
      <w:r>
        <w:t xml:space="preserve">do you plan to include when sharing data? (e.g., consort diagrams, data collection instruments, consent forms)</w:t>
      </w:r>
    </w:p>
    <w:p>
      <w:pPr>
        <w:numPr>
          <w:ilvl w:val="0"/>
          <w:numId w:val="1024"/>
        </w:numPr>
        <w:pStyle w:val="Compact"/>
      </w:pPr>
      <w:r>
        <w:t xml:space="preserve">Standards</w:t>
      </w:r>
    </w:p>
    <w:p>
      <w:pPr>
        <w:numPr>
          <w:ilvl w:val="1"/>
          <w:numId w:val="1030"/>
        </w:numPr>
        <w:pStyle w:val="Compact"/>
      </w:pPr>
      <w:r>
        <w:t xml:space="preserve">Do you plan to use any standards for things such as</w:t>
      </w:r>
      <w:r>
        <w:t xml:space="preserve"> </w:t>
      </w:r>
      <w:hyperlink w:anchor="metastandards">
        <w:r>
          <w:rPr>
            <w:rStyle w:val="Hyperlink"/>
          </w:rPr>
          <w:t xml:space="preserve">metadata</w:t>
        </w:r>
      </w:hyperlink>
      <w:r>
        <w:t xml:space="preserve">, data formatting, terminology, or PIDs?</w:t>
      </w:r>
    </w:p>
    <w:p>
      <w:pPr>
        <w:numPr>
          <w:ilvl w:val="0"/>
          <w:numId w:val="1024"/>
        </w:numPr>
        <w:pStyle w:val="Compact"/>
      </w:pPr>
      <w:r>
        <w:t xml:space="preserve">Method of data sharing</w:t>
      </w:r>
    </w:p>
    <w:p>
      <w:pPr>
        <w:numPr>
          <w:ilvl w:val="1"/>
          <w:numId w:val="1031"/>
        </w:numPr>
        <w:pStyle w:val="Compact"/>
      </w:pPr>
      <w:r>
        <w:t xml:space="preserve">How will you share your data? (e.g., Institutional archive, data repository, PI website)</w:t>
      </w:r>
    </w:p>
    <w:p>
      <w:pPr>
        <w:numPr>
          <w:ilvl w:val="1"/>
          <w:numId w:val="1031"/>
        </w:numPr>
        <w:pStyle w:val="Compact"/>
      </w:pPr>
      <w:r>
        <w:t xml:space="preserve">Will data be restricted and is a data enclave required?</w:t>
      </w:r>
    </w:p>
    <w:p>
      <w:pPr>
        <w:numPr>
          <w:ilvl w:val="1"/>
          <w:numId w:val="1031"/>
        </w:numPr>
        <w:pStyle w:val="Compact"/>
      </w:pPr>
      <w:r>
        <w:t xml:space="preserve">Is a data use agreement required?</w:t>
      </w:r>
    </w:p>
    <w:p>
      <w:pPr>
        <w:numPr>
          <w:ilvl w:val="1"/>
          <w:numId w:val="1031"/>
        </w:numPr>
        <w:pStyle w:val="Compact"/>
      </w:pPr>
      <w:r>
        <w:t xml:space="preserve">How will you license your data?</w:t>
      </w:r>
    </w:p>
    <w:p>
      <w:pPr>
        <w:numPr>
          <w:ilvl w:val="1"/>
          <w:numId w:val="1031"/>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2"/>
        </w:numPr>
        <w:pStyle w:val="Compact"/>
      </w:pPr>
      <w:r>
        <w:t xml:space="preserve">Do you have any data covered by FERPA/HIPAA that doesn’t allow data sharing?</w:t>
      </w:r>
    </w:p>
    <w:p>
      <w:pPr>
        <w:numPr>
          <w:ilvl w:val="1"/>
          <w:numId w:val="1032"/>
        </w:numPr>
        <w:pStyle w:val="Compact"/>
      </w:pPr>
      <w:r>
        <w:t xml:space="preserve">Do you work with any partners that do not allow you to share data? (e.g., School districts, tribal regulations)</w:t>
      </w:r>
    </w:p>
    <w:p>
      <w:pPr>
        <w:numPr>
          <w:ilvl w:val="1"/>
          <w:numId w:val="1032"/>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3"/>
        </w:numPr>
        <w:pStyle w:val="Compact"/>
      </w:pPr>
      <w:r>
        <w:t xml:space="preserve">How will you prevent disclosure of personally identifiable information when you share data? How will you anonymize data (if applicable)?</w:t>
      </w:r>
    </w:p>
    <w:p>
      <w:pPr>
        <w:numPr>
          <w:ilvl w:val="1"/>
          <w:numId w:val="1033"/>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4"/>
        </w:numPr>
        <w:pStyle w:val="Compact"/>
      </w:pPr>
      <w:r>
        <w:t xml:space="preserve">How will you maintain participant privacy and confidentiality during your project?</w:t>
      </w:r>
    </w:p>
    <w:p>
      <w:pPr>
        <w:numPr>
          <w:ilvl w:val="1"/>
          <w:numId w:val="1034"/>
        </w:numPr>
        <w:pStyle w:val="Compact"/>
      </w:pPr>
      <w:r>
        <w:t xml:space="preserve">How will you prevent unauthorized access of data?</w:t>
      </w:r>
    </w:p>
    <w:p>
      <w:pPr>
        <w:numPr>
          <w:ilvl w:val="1"/>
          <w:numId w:val="1034"/>
        </w:numPr>
        <w:pStyle w:val="Compact"/>
      </w:pPr>
      <w:r>
        <w:t xml:space="preserve">Consider IRB requirements here.</w:t>
      </w:r>
    </w:p>
    <w:p>
      <w:pPr>
        <w:numPr>
          <w:ilvl w:val="0"/>
          <w:numId w:val="1024"/>
        </w:numPr>
        <w:pStyle w:val="Compact"/>
      </w:pPr>
      <w:r>
        <w:t xml:space="preserve">Schedule for data sharing</w:t>
      </w:r>
    </w:p>
    <w:p>
      <w:pPr>
        <w:numPr>
          <w:ilvl w:val="1"/>
          <w:numId w:val="1035"/>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6"/>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7"/>
        </w:numPr>
        <w:pStyle w:val="Compact"/>
      </w:pPr>
      <w:r>
        <w:t xml:space="preserve">Institute of Education Sciences (</w:t>
      </w:r>
      <w:hyperlink r:id="rId108">
        <w:r>
          <w:rPr>
            <w:rStyle w:val="Hyperlink"/>
          </w:rPr>
          <w:t xml:space="preserve">https://ies.ed.gov/funding/datasharing_implementation.asp</w:t>
        </w:r>
      </w:hyperlink>
      <w:r>
        <w:t xml:space="preserve">)</w:t>
      </w:r>
    </w:p>
    <w:p>
      <w:pPr>
        <w:numPr>
          <w:ilvl w:val="0"/>
          <w:numId w:val="1037"/>
        </w:numPr>
        <w:pStyle w:val="Compact"/>
      </w:pPr>
      <w:r>
        <w:t xml:space="preserve">National Institutes of Health (</w:t>
      </w:r>
      <w:hyperlink r:id="rId109">
        <w:r>
          <w:rPr>
            <w:rStyle w:val="Hyperlink"/>
          </w:rPr>
          <w:t xml:space="preserve">https://sharing.nih.gov/data-management-and-sharing-policy/planning-and-budgeting-DMS/writing-a-data-management-and-sharing-plan</w:t>
        </w:r>
      </w:hyperlink>
      <w:r>
        <w:t xml:space="preserve">)</w:t>
      </w:r>
    </w:p>
    <w:p>
      <w:pPr>
        <w:numPr>
          <w:ilvl w:val="0"/>
          <w:numId w:val="1037"/>
        </w:numPr>
        <w:pStyle w:val="Compact"/>
      </w:pPr>
      <w:r>
        <w:t xml:space="preserve">National Institute of Justice (</w:t>
      </w:r>
      <w:hyperlink r:id="rId110">
        <w:r>
          <w:rPr>
            <w:rStyle w:val="Hyperlink"/>
          </w:rPr>
          <w:t xml:space="preserve">https://nij.ojp.gov/funding/data-archiving</w:t>
        </w:r>
      </w:hyperlink>
      <w:r>
        <w:t xml:space="preserve">)</w:t>
      </w:r>
    </w:p>
    <w:p>
      <w:pPr>
        <w:numPr>
          <w:ilvl w:val="0"/>
          <w:numId w:val="1037"/>
        </w:numPr>
        <w:pStyle w:val="Compact"/>
      </w:pPr>
      <w:r>
        <w:t xml:space="preserve">National Science Foundation (</w:t>
      </w:r>
      <w:hyperlink r:id="rId111">
        <w:r>
          <w:rPr>
            <w:rStyle w:val="Hyperlink"/>
          </w:rPr>
          <w:t xml:space="preserve">https://www.nsf.gov/bfa/dias/policy/dmpdocs/ehr.pdf</w:t>
        </w:r>
      </w:hyperlink>
      <w:r>
        <w:t xml:space="preserve">)</w:t>
      </w:r>
    </w:p>
    <w:bookmarkEnd w:id="112"/>
    <w:bookmarkEnd w:id="113"/>
    <w:bookmarkStart w:id="130" w:name="getting-help"/>
    <w:p>
      <w:pPr>
        <w:pStyle w:val="Heading2"/>
      </w:pPr>
      <w:r>
        <w:rPr>
          <w:rStyle w:val="SectionNumber"/>
        </w:rPr>
        <w:t xml:space="preserve">4.3</w:t>
      </w:r>
      <w:r>
        <w:tab/>
      </w:r>
      <w:r>
        <w:t xml:space="preserve">Getting help</w:t>
      </w:r>
    </w:p>
    <w:p>
      <w:pPr>
        <w:pStyle w:val="FirstParagraph"/>
      </w:pPr>
      <w:r>
        <w:t xml:space="preserve">Since DMPs are written before a project is funded, and therefore before additional staff members may be hired, oftentimes the investigators developing the grant proposal are the ones who write the DMP. However, when constructing your DMP it is well worth your time to enlist help. If you have an existing data manager or data team, you will most certainly want to consult with them when writing your plan to ensure your decisions are feasible.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as well as actual copies of submitted DMPs that some researchers graciously make publicly available for example purposes.</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DMPTool</w:t>
            </w:r>
          </w:p>
        </w:tc>
        <w:tc>
          <w:tcPr/>
          <w:p>
            <w:pPr>
              <w:pStyle w:val="Compact"/>
              <w:jc w:val="left"/>
            </w:pPr>
            <w:r>
              <w:t xml:space="preserve">Templates organized by funding agencies</w:t>
            </w:r>
            <w:r>
              <w:t xml:space="preserve"> </w:t>
            </w:r>
            <w:r>
              <w:rPr>
                <w:rStyle w:val="FootnoteReference"/>
              </w:rPr>
              <w:footnoteReference w:id="114"/>
            </w:r>
          </w:p>
        </w:tc>
      </w:tr>
      <w:tr>
        <w:tc>
          <w:tcPr/>
          <w:p>
            <w:pPr>
              <w:pStyle w:val="Compact"/>
              <w:jc w:val="left"/>
            </w:pPr>
            <w:r>
              <w:t xml:space="preserve">Figshare</w:t>
            </w:r>
          </w:p>
        </w:tc>
        <w:tc>
          <w:tcPr/>
          <w:p>
            <w:pPr>
              <w:pStyle w:val="Compact"/>
              <w:jc w:val="left"/>
            </w:pPr>
            <w:r>
              <w:t xml:space="preserve">DMP prompts specific to depositing data with Figshare</w:t>
            </w:r>
            <w:r>
              <w:t xml:space="preserve"> </w:t>
            </w:r>
            <w:r>
              <w:rPr>
                <w:rStyle w:val="FootnoteReference"/>
              </w:rPr>
              <w:footnoteReference w:id="116"/>
            </w:r>
          </w:p>
        </w:tc>
      </w:tr>
      <w:tr>
        <w:tc>
          <w:tcPr/>
          <w:p>
            <w:pPr>
              <w:pStyle w:val="Compact"/>
              <w:jc w:val="left"/>
            </w:pPr>
            <w:r>
              <w:t xml:space="preserve">Hao Ye, et al.</w:t>
            </w:r>
          </w:p>
        </w:tc>
        <w:tc>
          <w:tcPr/>
          <w:p>
            <w:pPr>
              <w:pStyle w:val="Compact"/>
              <w:jc w:val="left"/>
            </w:pPr>
            <w:r>
              <w:t xml:space="preserve">NIH DMS Plan checklist</w:t>
            </w:r>
            <w:r>
              <w:t xml:space="preserve"> </w:t>
            </w:r>
            <w:r>
              <w:rPr>
                <w:rStyle w:val="FootnoteReference"/>
              </w:rPr>
              <w:footnoteReference w:id="118"/>
            </w:r>
          </w:p>
        </w:tc>
      </w:tr>
      <w:tr>
        <w:tc>
          <w:tcPr/>
          <w:p>
            <w:pPr>
              <w:pStyle w:val="Compact"/>
              <w:jc w:val="left"/>
            </w:pPr>
            <w:r>
              <w:t xml:space="preserve">Harvard Longwood Medical Area RDM Working Group</w:t>
            </w:r>
          </w:p>
        </w:tc>
        <w:tc>
          <w:tcPr/>
          <w:p>
            <w:pPr>
              <w:pStyle w:val="Compact"/>
              <w:jc w:val="left"/>
            </w:pPr>
            <w:r>
              <w:t xml:space="preserve">Annotated DMP template</w:t>
            </w:r>
            <w:r>
              <w:t xml:space="preserve"> </w:t>
            </w:r>
            <w:r>
              <w:rPr>
                <w:rStyle w:val="FootnoteReference"/>
              </w:rPr>
              <w:footnoteReference w:id="120"/>
            </w:r>
          </w:p>
        </w:tc>
      </w:tr>
      <w:tr>
        <w:tc>
          <w:tcPr/>
          <w:p>
            <w:pPr>
              <w:pStyle w:val="Compact"/>
              <w:jc w:val="left"/>
            </w:pPr>
            <w:r>
              <w:t xml:space="preserve">ICPSR</w:t>
            </w:r>
          </w:p>
        </w:tc>
        <w:tc>
          <w:tcPr/>
          <w:p>
            <w:pPr>
              <w:pStyle w:val="Compact"/>
              <w:jc w:val="left"/>
            </w:pPr>
            <w:r>
              <w:t xml:space="preserve">NIH DMS Plan template with specific recommendations for depositing data with ICPSR</w:t>
            </w:r>
            <w:r>
              <w:t xml:space="preserve"> </w:t>
            </w:r>
            <w:r>
              <w:rPr>
                <w:rStyle w:val="FootnoteReference"/>
              </w:rPr>
              <w:footnoteReference w:id="122"/>
            </w:r>
          </w:p>
        </w:tc>
      </w:tr>
      <w:tr>
        <w:tc>
          <w:tcPr/>
          <w:p>
            <w:pPr>
              <w:pStyle w:val="Compact"/>
              <w:jc w:val="left"/>
            </w:pPr>
            <w:r>
              <w:t xml:space="preserve">NIH</w:t>
            </w:r>
          </w:p>
        </w:tc>
        <w:tc>
          <w:tcPr/>
          <w:p>
            <w:pPr>
              <w:pStyle w:val="Compact"/>
              <w:jc w:val="left"/>
            </w:pPr>
            <w:r>
              <w:t xml:space="preserve">Sample DMS Plan for human survey data</w:t>
            </w:r>
            <w:r>
              <w:t xml:space="preserve"> </w:t>
            </w:r>
            <w:r>
              <w:rPr>
                <w:rStyle w:val="FootnoteReference"/>
              </w:rPr>
              <w:footnoteReference w:id="124"/>
            </w:r>
          </w:p>
        </w:tc>
      </w:tr>
      <w:tr>
        <w:tc>
          <w:tcPr/>
          <w:p>
            <w:pPr>
              <w:pStyle w:val="Compact"/>
              <w:jc w:val="left"/>
            </w:pPr>
            <w:r>
              <w:t xml:space="preserve">Sara Hart</w:t>
            </w:r>
          </w:p>
        </w:tc>
        <w:tc>
          <w:tcPr/>
          <w:p>
            <w:pPr>
              <w:pStyle w:val="Compact"/>
              <w:jc w:val="left"/>
            </w:pPr>
            <w:r>
              <w:t xml:space="preserve">A submitted DMP that is publicly available for example purposes</w:t>
            </w:r>
            <w:r>
              <w:t xml:space="preserve"> </w:t>
            </w:r>
            <w:r>
              <w:rPr>
                <w:rStyle w:val="FootnoteReference"/>
              </w:rPr>
              <w:footnoteReference w:id="126"/>
            </w:r>
          </w:p>
        </w:tc>
      </w:tr>
      <w:tr>
        <w:tc>
          <w:tcPr/>
          <w:p>
            <w:pPr>
              <w:pStyle w:val="Compact"/>
              <w:jc w:val="left"/>
            </w:pPr>
            <w:r>
              <w:t xml:space="preserve">UMN Libraries</w:t>
            </w:r>
          </w:p>
        </w:tc>
        <w:tc>
          <w:tcPr/>
          <w:p>
            <w:pPr>
              <w:pStyle w:val="Compact"/>
              <w:jc w:val="left"/>
            </w:pPr>
            <w:r>
              <w:t xml:space="preserve">Submitted DMP examples from University of Minnesota researchers</w:t>
            </w:r>
            <w:r>
              <w:t xml:space="preserve"> </w:t>
            </w:r>
            <w:r>
              <w:rPr>
                <w:rStyle w:val="FootnoteReference"/>
              </w:rPr>
              <w:footnoteReference w:id="128"/>
            </w:r>
          </w:p>
        </w:tc>
      </w:tr>
    </w:tbl>
    <w:bookmarkEnd w:id="130"/>
    <w:bookmarkStart w:id="140" w:name="budget"/>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may include costs associated with data management personnel, specialized infrastructure, tools needed to collect, enter, organize, document, store, or share study data</w:t>
      </w:r>
      <w:r>
        <w:t xml:space="preserve"> </w:t>
      </w:r>
      <w:r>
        <w:t xml:space="preserve">(</w:t>
      </w:r>
      <w:hyperlink w:anchor="ref-uk_data_service_data_2022">
        <w:r>
          <w:rPr>
            <w:rStyle w:val="Hyperlink"/>
          </w:rPr>
          <w:t xml:space="preserve">UK Data Service 2022</w:t>
        </w:r>
      </w:hyperlink>
      <w:r>
        <w:t xml:space="preserve">)</w:t>
      </w:r>
      <w:r>
        <w:t xml:space="preserve">, as well as fees associated with data preservation. Make sure to review your funder’s documentation for information about allowable costs</w:t>
      </w:r>
      <w:r>
        <w:t xml:space="preserve">(</w:t>
      </w:r>
      <w:hyperlink w:anchor="X1918d6fbae917b9bdd0828dba36f9fd52573ee1">
        <w:r>
          <w:rPr>
            <w:rStyle w:val="Hyperlink"/>
          </w:rPr>
          <w:t xml:space="preserve">Samuel J. Wood Library n.d.</w:t>
        </w:r>
      </w:hyperlink>
      <w:r>
        <w:t xml:space="preserve">)</w:t>
      </w:r>
      <w:r>
        <w:t xml:space="preserve"> </w:t>
      </w:r>
      <w:r>
        <w:t xml:space="preserve">and time frame for incurring costs. Examples of potential allowable costs include</w:t>
      </w:r>
      <w:r>
        <w:t xml:space="preserve"> </w:t>
      </w:r>
      <w:r>
        <w:t xml:space="preserve">(</w:t>
      </w:r>
      <w:hyperlink w:anchor="Xab5cc513ee7ce8da7e60613dbaa07a423b0f5dd">
        <w:r>
          <w:rPr>
            <w:rStyle w:val="Hyperlink"/>
          </w:rPr>
          <w:t xml:space="preserve">National Institutes of Health n.d.a</w:t>
        </w:r>
      </w:hyperlink>
      <w:r>
        <w:t xml:space="preserve">)</w:t>
      </w:r>
      <w:r>
        <w:t xml:space="preserve">:</w:t>
      </w:r>
    </w:p>
    <w:p>
      <w:pPr>
        <w:numPr>
          <w:ilvl w:val="0"/>
          <w:numId w:val="1038"/>
        </w:numPr>
        <w:pStyle w:val="Compact"/>
      </w:pPr>
      <w:r>
        <w:t xml:space="preserve">Costs associated with curating and de-identifying data</w:t>
      </w:r>
    </w:p>
    <w:p>
      <w:pPr>
        <w:numPr>
          <w:ilvl w:val="0"/>
          <w:numId w:val="1038"/>
        </w:numPr>
        <w:pStyle w:val="Compact"/>
      </w:pPr>
      <w:r>
        <w:t xml:space="preserve">Costs associated with developing data documentation</w:t>
      </w:r>
    </w:p>
    <w:p>
      <w:pPr>
        <w:numPr>
          <w:ilvl w:val="0"/>
          <w:numId w:val="1038"/>
        </w:numPr>
        <w:pStyle w:val="Compact"/>
      </w:pPr>
      <w:r>
        <w:t xml:space="preserve">Fees associated with depositing data for long-term sharing in a repository</w:t>
      </w:r>
    </w:p>
    <w:p>
      <w:pPr>
        <w:pStyle w:val="FirstParagraph"/>
      </w:pPr>
      <w:r>
        <w:t xml:space="preserve">It can be difficult to estimate the costs of everything that is associated with the vast landscape of managing data. Luckily a few organizations have developed resources to aid in estimating those costs.</w:t>
      </w:r>
    </w:p>
    <w:p>
      <w:pPr>
        <w:pStyle w:val="BodyText"/>
      </w:pPr>
      <w:r>
        <w:rPr>
          <w:bCs/>
          <w:b/>
        </w:rPr>
        <w:t xml:space="preserve">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UK Data Service</w:t>
            </w:r>
          </w:p>
        </w:tc>
        <w:tc>
          <w:tcPr/>
          <w:p>
            <w:pPr>
              <w:pStyle w:val="Compact"/>
              <w:jc w:val="left"/>
            </w:pPr>
            <w:r>
              <w:t xml:space="preserve">Data management costing tool and checklist</w:t>
            </w:r>
            <w:r>
              <w:t xml:space="preserve"> </w:t>
            </w:r>
            <w:r>
              <w:rPr>
                <w:rStyle w:val="FootnoteReference"/>
              </w:rPr>
              <w:footnoteReference w:id="131"/>
            </w:r>
          </w:p>
        </w:tc>
      </w:tr>
      <w:tr>
        <w:tc>
          <w:tcPr/>
          <w:p>
            <w:pPr>
              <w:pStyle w:val="Compact"/>
              <w:jc w:val="left"/>
            </w:pPr>
            <w:r>
              <w:t xml:space="preserve">University of Twente</w:t>
            </w:r>
          </w:p>
        </w:tc>
        <w:tc>
          <w:tcPr/>
          <w:p>
            <w:pPr>
              <w:pStyle w:val="Compact"/>
              <w:jc w:val="left"/>
            </w:pPr>
            <w:r>
              <w:t xml:space="preserve">Estimating RDM costs review list</w:t>
            </w:r>
            <w:r>
              <w:t xml:space="preserve"> </w:t>
            </w:r>
            <w:r>
              <w:rPr>
                <w:rStyle w:val="FootnoteReference"/>
              </w:rPr>
              <w:footnoteReference w:id="133"/>
            </w:r>
          </w:p>
        </w:tc>
      </w:tr>
      <w:tr>
        <w:tc>
          <w:tcPr/>
          <w:p>
            <w:pPr>
              <w:pStyle w:val="Compact"/>
              <w:jc w:val="left"/>
            </w:pPr>
            <w:r>
              <w:t xml:space="preserve">Utrecht University</w:t>
            </w:r>
          </w:p>
        </w:tc>
        <w:tc>
          <w:tcPr/>
          <w:p>
            <w:pPr>
              <w:pStyle w:val="Compact"/>
              <w:jc w:val="left"/>
            </w:pPr>
            <w:r>
              <w:t xml:space="preserve">Estimating the costs of data management review list</w:t>
            </w:r>
            <w:r>
              <w:t xml:space="preserve"> </w:t>
            </w:r>
            <w:r>
              <w:rPr>
                <w:rStyle w:val="FootnoteReference"/>
              </w:rPr>
              <w:footnoteReference w:id="135"/>
            </w:r>
          </w:p>
        </w:tc>
      </w:tr>
      <w:tr>
        <w:tc>
          <w:tcPr/>
          <w:p>
            <w:pPr>
              <w:pStyle w:val="Compact"/>
              <w:jc w:val="left"/>
            </w:pPr>
            <w:r>
              <w:t xml:space="preserve">DataOne</w:t>
            </w:r>
          </w:p>
        </w:tc>
        <w:tc>
          <w:tcPr/>
          <w:p>
            <w:pPr>
              <w:pStyle w:val="Compact"/>
              <w:jc w:val="left"/>
            </w:pPr>
            <w:r>
              <w:t xml:space="preserve">Considerations for providing budget information for a DMP</w:t>
            </w:r>
            <w:r>
              <w:t xml:space="preserve"> </w:t>
            </w:r>
            <w:r>
              <w:rPr>
                <w:rStyle w:val="FootnoteReference"/>
              </w:rPr>
              <w:footnoteReference w:id="136"/>
            </w:r>
          </w:p>
        </w:tc>
      </w:tr>
      <w:tr>
        <w:tc>
          <w:tcPr/>
          <w:p>
            <w:pPr>
              <w:pStyle w:val="Compact"/>
              <w:jc w:val="left"/>
            </w:pPr>
            <w:r>
              <w:t xml:space="preserve">J-PAL</w:t>
            </w:r>
          </w:p>
        </w:tc>
        <w:tc>
          <w:tcPr/>
          <w:p>
            <w:pPr>
              <w:pStyle w:val="Compact"/>
              <w:jc w:val="left"/>
            </w:pPr>
            <w:r>
              <w:t xml:space="preserve">Research proposal budget considerations</w:t>
            </w:r>
            <w:r>
              <w:t xml:space="preserve"> </w:t>
            </w:r>
            <w:r>
              <w:rPr>
                <w:rStyle w:val="FootnoteReference"/>
              </w:rPr>
              <w:footnoteReference w:id="138"/>
            </w:r>
          </w:p>
        </w:tc>
      </w:tr>
    </w:tbl>
    <w:bookmarkEnd w:id="140"/>
    <w:bookmarkEnd w:id="141"/>
    <w:bookmarkStart w:id="187" w:name="plan"/>
    <w:p>
      <w:pPr>
        <w:pStyle w:val="Heading1"/>
      </w:pPr>
      <w:r>
        <w:rPr>
          <w:rStyle w:val="SectionNumber"/>
        </w:rPr>
        <w:t xml:space="preserve">5</w:t>
      </w:r>
      <w:r>
        <w:tab/>
      </w:r>
      <w:r>
        <w:t xml:space="preserve">Planning Data Management</w:t>
      </w:r>
    </w:p>
    <w:p>
      <w:pPr>
        <w:pStyle w:val="CaptionedFigure"/>
      </w:pPr>
      <w:r>
        <w:drawing>
          <wp:inline>
            <wp:extent cx="5334000" cy="2987040"/>
            <wp:effectExtent b="0" l="0" r="0" t="0"/>
            <wp:docPr descr="Figure 5.1: Planning in the research project life cycle" title="" id="143" name="Picture"/>
            <a:graphic>
              <a:graphicData uri="http://schemas.openxmlformats.org/drawingml/2006/picture">
                <pic:pic>
                  <pic:nvPicPr>
                    <pic:cNvPr descr="img/lifecycle_plan2.PNG" id="144" name="Picture"/>
                    <pic:cNvPicPr>
                      <a:picLocks noChangeArrowheads="1" noChangeAspect="1"/>
                    </pic:cNvPicPr>
                  </pic:nvPicPr>
                  <pic:blipFill>
                    <a:blip r:embed="rId142"/>
                    <a:stretch>
                      <a:fillRect/>
                    </a:stretch>
                  </pic:blipFill>
                  <pic:spPr bwMode="auto">
                    <a:xfrm>
                      <a:off x="0" y="0"/>
                      <a:ext cx="5334000" cy="2987040"/>
                    </a:xfrm>
                    <a:prstGeom prst="rect">
                      <a:avLst/>
                    </a:prstGeom>
                    <a:noFill/>
                    <a:ln w="9525">
                      <a:noFill/>
                      <a:headEnd/>
                      <a:tailEnd/>
                    </a:ln>
                  </pic:spPr>
                </pic:pic>
              </a:graphicData>
            </a:graphic>
          </wp:inline>
        </w:drawing>
      </w:r>
    </w:p>
    <w:p>
      <w:pPr>
        <w:pStyle w:val="ImageCaption"/>
      </w:pPr>
      <w:r>
        <w:t xml:space="preserve">Figure 5.1: Planning in the research project life cycle</w:t>
      </w:r>
    </w:p>
    <w:p>
      <w:pPr>
        <w:pStyle w:val="BodyText"/>
      </w:pPr>
      <w:r>
        <w:t xml:space="preserve">Planning data management is distinct from the 2-5 page data management plan (DMP) discussed in the Chapter</w:t>
      </w:r>
      <w:r>
        <w:t xml:space="preserve"> </w:t>
      </w:r>
      <w:r>
        <w:t xml:space="preserve">4</w:t>
      </w:r>
      <w:r>
        <w:t xml:space="preserve">.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145"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t xml:space="preserve">(</w:t>
      </w:r>
      <w:hyperlink w:anchor="ref-borycz_implementing_2021">
        <w:r>
          <w:rPr>
            <w:rStyle w:val="Hyperlink"/>
          </w:rPr>
          <w:t xml:space="preserve">Borycz 2021</w:t>
        </w:r>
      </w:hyperlink>
      <w:r>
        <w:t xml:space="preserve">)</w:t>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t xml:space="preserve">(</w:t>
      </w:r>
      <w:hyperlink w:anchor="ref-strand_error_nodate">
        <w:r>
          <w:rPr>
            <w:rStyle w:val="Hyperlink"/>
          </w:rPr>
          <w:t xml:space="preserve">Strand n.d.</w:t>
        </w:r>
      </w:hyperlink>
      <w:r>
        <w:t xml:space="preserve">)</w:t>
      </w:r>
      <w:r>
        <w:t xml:space="preserve">. While data management planning can not remove all chances of errors creeping into your data</w:t>
      </w:r>
      <w:r>
        <w:t xml:space="preserve">(</w:t>
      </w:r>
      <w:hyperlink w:anchor="ref-eaker_what_2016">
        <w:r>
          <w:rPr>
            <w:rStyle w:val="Hyperlink"/>
          </w:rPr>
          <w:t xml:space="preserve">Eaker 2016</w:t>
        </w:r>
      </w:hyperlink>
      <w:r>
        <w:t xml:space="preserve">)</w:t>
      </w:r>
      <w:r>
        <w:t xml:space="preserve">, it can most certainly reduce those errors and prevent them from</w:t>
      </w:r>
      <w:r>
        <w:t xml:space="preserve"> </w:t>
      </w:r>
      <w:r>
        <w:t xml:space="preserve">“</w:t>
      </w:r>
      <w:r>
        <w:t xml:space="preserve">compounding over time</w:t>
      </w:r>
      <w:r>
        <w:t xml:space="preserve">”</w:t>
      </w:r>
      <w:r>
        <w:t xml:space="preserve">(</w:t>
      </w:r>
      <w:r>
        <w:t xml:space="preserve">Alston and Rick (</w:t>
      </w:r>
      <w:hyperlink w:anchor="ref-alston_beginners_2021">
        <w:r>
          <w:rPr>
            <w:rStyle w:val="Hyperlink"/>
          </w:rPr>
          <w:t xml:space="preserve">2021</w:t>
        </w:r>
      </w:hyperlink>
      <w:r>
        <w:t xml:space="preserve">)</w:t>
      </w:r>
      <w:r>
        <w:t xml:space="preserve">, p.4 ).</w:t>
      </w:r>
    </w:p>
    <w:bookmarkEnd w:id="145"/>
    <w:bookmarkStart w:id="146"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While there are many aspects of a research study to plan that should also occur during this time (e.g., planning an intervention, planning analyses), here we are focusing on planning for data management (including data collection). Most likely you will want the PI/Co-PIs in attendance along with core project staff and your data management team. During this planning time, there are several goals to keep in mind.</w:t>
      </w:r>
    </w:p>
    <w:p>
      <w:pPr>
        <w:numPr>
          <w:ilvl w:val="0"/>
          <w:numId w:val="1039"/>
        </w:numPr>
        <w:pStyle w:val="Compact"/>
      </w:pPr>
      <w:r>
        <w:t xml:space="preserve">To finalize project goals laid out in a grant proposal (i.e. what data will be collected)</w:t>
      </w:r>
    </w:p>
    <w:p>
      <w:pPr>
        <w:numPr>
          <w:ilvl w:val="0"/>
          <w:numId w:val="1039"/>
        </w:numPr>
        <w:pStyle w:val="Compact"/>
      </w:pPr>
      <w:r>
        <w:t xml:space="preserve">To finalize a timeline for goals (i.e. when is data collected)</w:t>
      </w:r>
    </w:p>
    <w:p>
      <w:pPr>
        <w:numPr>
          <w:ilvl w:val="0"/>
          <w:numId w:val="1039"/>
        </w:numPr>
        <w:pStyle w:val="Compact"/>
      </w:pPr>
      <w:r>
        <w:t xml:space="preserve">To lay out specific tasks needed to accomplish goals (i.e. how will data be collected, stored, managed)</w:t>
      </w:r>
    </w:p>
    <w:p>
      <w:pPr>
        <w:numPr>
          <w:ilvl w:val="0"/>
          <w:numId w:val="1039"/>
        </w:numPr>
        <w:pStyle w:val="Compact"/>
      </w:pPr>
      <w:r>
        <w:t xml:space="preserve">To assign</w:t>
      </w:r>
      <w:r>
        <w:t xml:space="preserve"> </w:t>
      </w:r>
      <w:hyperlink w:anchor="roles">
        <w:r>
          <w:rPr>
            <w:rStyle w:val="Hyperlink"/>
          </w:rPr>
          <w:t xml:space="preserve">roles and responsibilities</w:t>
        </w:r>
      </w:hyperlink>
      <w:r>
        <w:t xml:space="preserve"> </w:t>
      </w:r>
      <w:r>
        <w:t xml:space="preserve">(i.e. who will be responsible for tasks)</w:t>
      </w:r>
    </w:p>
    <w:p>
      <w:pPr>
        <w:numPr>
          <w:ilvl w:val="0"/>
          <w:numId w:val="1039"/>
        </w:numPr>
        <w:pStyle w:val="Compact"/>
      </w:pPr>
      <w:r>
        <w:t xml:space="preserve">To 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146"/>
    <w:bookmarkStart w:id="170" w:name="checklist"/>
    <w:p>
      <w:pPr>
        <w:pStyle w:val="Heading2"/>
      </w:pPr>
      <w:r>
        <w:rPr>
          <w:rStyle w:val="SectionNumber"/>
        </w:rPr>
        <w:t xml:space="preserve">5.3</w:t>
      </w:r>
      <w:r>
        <w:tab/>
      </w:r>
      <w:r>
        <w:t xml:space="preserve">Planning checklists</w:t>
      </w:r>
    </w:p>
    <w:p>
      <w:pPr>
        <w:pStyle w:val="FirstParagraph"/>
      </w:pPr>
      <w:r>
        <w:t xml:space="preserve">Along with your existing data management plan, 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pStyle w:val="BodyText"/>
      </w:pPr>
      <w:r>
        <w:rPr>
          <w:bCs/>
          <w:b/>
        </w:rPr>
        <w:t xml:space="preserve">Planning checklists</w:t>
      </w:r>
    </w:p>
    <w:p>
      <w:pPr>
        <w:numPr>
          <w:ilvl w:val="0"/>
          <w:numId w:val="1040"/>
        </w:numPr>
        <w:pStyle w:val="Compact"/>
      </w:pPr>
      <w:r>
        <w:t xml:space="preserve">Roles and Responsibilities</w:t>
      </w:r>
      <w:r>
        <w:t xml:space="preserve"> </w:t>
      </w:r>
      <w:r>
        <w:rPr>
          <w:rStyle w:val="FootnoteReference"/>
        </w:rPr>
        <w:footnoteReference w:id="147"/>
      </w:r>
    </w:p>
    <w:p>
      <w:pPr>
        <w:numPr>
          <w:ilvl w:val="0"/>
          <w:numId w:val="1040"/>
        </w:numPr>
        <w:pStyle w:val="Compact"/>
      </w:pPr>
      <w:r>
        <w:t xml:space="preserve">Task Management</w:t>
      </w:r>
      <w:r>
        <w:t xml:space="preserve"> </w:t>
      </w:r>
      <w:r>
        <w:rPr>
          <w:rStyle w:val="FootnoteReference"/>
        </w:rPr>
        <w:footnoteReference w:id="149"/>
      </w:r>
    </w:p>
    <w:p>
      <w:pPr>
        <w:numPr>
          <w:ilvl w:val="0"/>
          <w:numId w:val="1040"/>
        </w:numPr>
        <w:pStyle w:val="Compact"/>
      </w:pPr>
      <w:r>
        <w:t xml:space="preserve">Documentation</w:t>
      </w:r>
      <w:r>
        <w:t xml:space="preserve"> </w:t>
      </w:r>
      <w:r>
        <w:rPr>
          <w:rStyle w:val="FootnoteReference"/>
        </w:rPr>
        <w:footnoteReference w:id="151"/>
      </w:r>
    </w:p>
    <w:p>
      <w:pPr>
        <w:numPr>
          <w:ilvl w:val="0"/>
          <w:numId w:val="1040"/>
        </w:numPr>
        <w:pStyle w:val="Compact"/>
      </w:pPr>
      <w:r>
        <w:t xml:space="preserve">Data Collection</w:t>
      </w:r>
      <w:r>
        <w:t xml:space="preserve"> </w:t>
      </w:r>
      <w:r>
        <w:rPr>
          <w:rStyle w:val="FootnoteReference"/>
        </w:rPr>
        <w:footnoteReference w:id="153"/>
      </w:r>
    </w:p>
    <w:p>
      <w:pPr>
        <w:numPr>
          <w:ilvl w:val="0"/>
          <w:numId w:val="1040"/>
        </w:numPr>
        <w:pStyle w:val="Compact"/>
      </w:pPr>
      <w:r>
        <w:t xml:space="preserve">Data Tracking</w:t>
      </w:r>
      <w:r>
        <w:t xml:space="preserve"> </w:t>
      </w:r>
      <w:r>
        <w:rPr>
          <w:rStyle w:val="FootnoteReference"/>
        </w:rPr>
        <w:footnoteReference w:id="155"/>
      </w:r>
    </w:p>
    <w:p>
      <w:pPr>
        <w:numPr>
          <w:ilvl w:val="0"/>
          <w:numId w:val="1040"/>
        </w:numPr>
        <w:pStyle w:val="Compact"/>
      </w:pPr>
      <w:r>
        <w:t xml:space="preserve">Data Capture</w:t>
      </w:r>
      <w:r>
        <w:t xml:space="preserve"> </w:t>
      </w:r>
      <w:r>
        <w:rPr>
          <w:rStyle w:val="FootnoteReference"/>
        </w:rPr>
        <w:footnoteReference w:id="157"/>
      </w:r>
    </w:p>
    <w:p>
      <w:pPr>
        <w:numPr>
          <w:ilvl w:val="0"/>
          <w:numId w:val="1040"/>
        </w:numPr>
        <w:pStyle w:val="Compact"/>
      </w:pPr>
      <w:r>
        <w:t xml:space="preserve">Data Storage and Security</w:t>
      </w:r>
      <w:r>
        <w:t xml:space="preserve"> </w:t>
      </w:r>
      <w:r>
        <w:rPr>
          <w:rStyle w:val="FootnoteReference"/>
        </w:rPr>
        <w:footnoteReference w:id="159"/>
      </w:r>
    </w:p>
    <w:p>
      <w:pPr>
        <w:numPr>
          <w:ilvl w:val="0"/>
          <w:numId w:val="1040"/>
        </w:numPr>
        <w:pStyle w:val="Compact"/>
      </w:pPr>
      <w:r>
        <w:t xml:space="preserve">Data Cleaning</w:t>
      </w:r>
      <w:r>
        <w:t xml:space="preserve"> </w:t>
      </w:r>
      <w:r>
        <w:rPr>
          <w:rStyle w:val="FootnoteReference"/>
        </w:rPr>
        <w:footnoteReference w:id="161"/>
      </w:r>
    </w:p>
    <w:p>
      <w:pPr>
        <w:numPr>
          <w:ilvl w:val="0"/>
          <w:numId w:val="1040"/>
        </w:numPr>
        <w:pStyle w:val="Compact"/>
      </w:pPr>
      <w:r>
        <w:t xml:space="preserve">Data Sharing</w:t>
      </w:r>
      <w:r>
        <w:t xml:space="preserve"> </w:t>
      </w:r>
      <w:r>
        <w:rPr>
          <w:rStyle w:val="FootnoteReference"/>
        </w:rPr>
        <w:footnoteReference w:id="163"/>
      </w:r>
    </w:p>
    <w:bookmarkStart w:id="168"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t xml:space="preserve">(</w:t>
      </w:r>
      <w:hyperlink w:anchor="ref-borghi_promoting_2022">
        <w:r>
          <w:rPr>
            <w:rStyle w:val="Hyperlink"/>
          </w:rPr>
          <w:t xml:space="preserve">Borghi and Van Gulick 2022</w:t>
        </w:r>
      </w:hyperlink>
      <w:r>
        <w:t xml:space="preserve">)</w:t>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Figure</w:t>
      </w:r>
      <w:r>
        <w:t xml:space="preserve"> </w:t>
      </w:r>
      <w:r>
        <w:t xml:space="preserve">5.2</w:t>
      </w:r>
      <w:r>
        <w:t xml:space="preserve"> </w:t>
      </w:r>
      <w:r>
        <w:t xml:space="preserve">is a very simplified example of the decision making process, based on the Borghi and Van Gulick</w:t>
      </w:r>
      <w:r>
        <w:t xml:space="preserve">(</w:t>
      </w:r>
      <w:hyperlink w:anchor="ref-borghi_promoting_2022">
        <w:r>
          <w:rPr>
            <w:rStyle w:val="Hyperlink"/>
          </w:rPr>
          <w:t xml:space="preserve">Borghi and Van Gulick 2022</w:t>
        </w:r>
      </w:hyperlink>
      <w:r>
        <w:t xml:space="preserve">)</w:t>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5.2: A simplified decision-making process" title="" id="166" name="Picture"/>
            <a:graphic>
              <a:graphicData uri="http://schemas.openxmlformats.org/drawingml/2006/picture">
                <pic:pic>
                  <pic:nvPicPr>
                    <pic:cNvPr descr="img/decision-diagram.PNG" id="167" name="Picture"/>
                    <pic:cNvPicPr>
                      <a:picLocks noChangeArrowheads="1" noChangeAspect="1"/>
                    </pic:cNvPicPr>
                  </pic:nvPicPr>
                  <pic:blipFill>
                    <a:blip r:embed="rId165"/>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5.2: A simplified decision-making process</w:t>
      </w:r>
    </w:p>
    <w:bookmarkEnd w:id="168"/>
    <w:bookmarkStart w:id="169"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41"/>
        </w:numPr>
        <w:pStyle w:val="Compact"/>
      </w:pPr>
      <w:r>
        <w:t xml:space="preserve">All external requirements</w:t>
      </w:r>
    </w:p>
    <w:p>
      <w:pPr>
        <w:numPr>
          <w:ilvl w:val="1"/>
          <w:numId w:val="1042"/>
        </w:numPr>
        <w:pStyle w:val="Compact"/>
      </w:pPr>
      <w:r>
        <w:t xml:space="preserve">Do your practices align with the plan laid out in your DMP? If no, you may need to revise your DMP to match your new decisions - remember your DMP is a living document.</w:t>
      </w:r>
    </w:p>
    <w:p>
      <w:pPr>
        <w:numPr>
          <w:ilvl w:val="1"/>
          <w:numId w:val="1042"/>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41"/>
        </w:numPr>
        <w:pStyle w:val="Compact"/>
      </w:pPr>
      <w:r>
        <w:t xml:space="preserve">The skill set of your team</w:t>
      </w:r>
    </w:p>
    <w:p>
      <w:pPr>
        <w:numPr>
          <w:ilvl w:val="1"/>
          <w:numId w:val="1043"/>
        </w:numPr>
        <w:pStyle w:val="Compact"/>
      </w:pPr>
      <w:r>
        <w:t xml:space="preserve">How does the skill set of your team align with the practices you plan to implement? Will additional training be required?</w:t>
      </w:r>
    </w:p>
    <w:p>
      <w:pPr>
        <w:numPr>
          <w:ilvl w:val="0"/>
          <w:numId w:val="1041"/>
        </w:numPr>
        <w:pStyle w:val="Compact"/>
      </w:pPr>
      <w:r>
        <w:t xml:space="preserve">Your available tools</w:t>
      </w:r>
    </w:p>
    <w:p>
      <w:pPr>
        <w:numPr>
          <w:ilvl w:val="1"/>
          <w:numId w:val="1044"/>
        </w:numPr>
        <w:pStyle w:val="Compact"/>
      </w:pPr>
      <w:r>
        <w:t xml:space="preserve">What tools are available to your team?</w:t>
      </w:r>
    </w:p>
    <w:p>
      <w:pPr>
        <w:numPr>
          <w:ilvl w:val="1"/>
          <w:numId w:val="1044"/>
        </w:numPr>
        <w:pStyle w:val="Compact"/>
      </w:pPr>
      <w:r>
        <w:t xml:space="preserve">Does your organization only allow you to use certain platforms for data storage?</w:t>
      </w:r>
    </w:p>
    <w:p>
      <w:pPr>
        <w:numPr>
          <w:ilvl w:val="1"/>
          <w:numId w:val="1044"/>
        </w:numPr>
        <w:pStyle w:val="Compact"/>
      </w:pPr>
      <w:r>
        <w:t xml:space="preserve">What is the complexity of your tools? Will additional training be needed?</w:t>
      </w:r>
    </w:p>
    <w:p>
      <w:pPr>
        <w:numPr>
          <w:ilvl w:val="0"/>
          <w:numId w:val="1041"/>
        </w:numPr>
        <w:pStyle w:val="Compact"/>
      </w:pPr>
      <w:r>
        <w:t xml:space="preserve">Your budget</w:t>
      </w:r>
    </w:p>
    <w:p>
      <w:pPr>
        <w:numPr>
          <w:ilvl w:val="1"/>
          <w:numId w:val="1045"/>
        </w:numPr>
        <w:pStyle w:val="Compact"/>
      </w:pPr>
      <w:r>
        <w:t xml:space="preserve">Do you have the budget to implement all of the practices you want to implement or will you need to plan something more feasible?</w:t>
      </w:r>
    </w:p>
    <w:p>
      <w:pPr>
        <w:numPr>
          <w:ilvl w:val="0"/>
          <w:numId w:val="1041"/>
        </w:numPr>
        <w:pStyle w:val="Compact"/>
      </w:pPr>
      <w:r>
        <w:t xml:space="preserve">Complexity of your project</w:t>
      </w:r>
    </w:p>
    <w:p>
      <w:pPr>
        <w:numPr>
          <w:ilvl w:val="1"/>
          <w:numId w:val="1046"/>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41"/>
        </w:numPr>
        <w:pStyle w:val="Compact"/>
      </w:pPr>
      <w:r>
        <w:t xml:space="preserve">Shared investment</w:t>
      </w:r>
    </w:p>
    <w:p>
      <w:pPr>
        <w:numPr>
          <w:ilvl w:val="1"/>
          <w:numId w:val="1047"/>
        </w:numPr>
        <w:pStyle w:val="Compact"/>
      </w:pPr>
      <w:r>
        <w:t xml:space="preserve">Is your entire team invested in quality data management?</w:t>
      </w:r>
    </w:p>
    <w:p>
      <w:pPr>
        <w:numPr>
          <w:ilvl w:val="1"/>
          <w:numId w:val="1047"/>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169"/>
    <w:bookmarkEnd w:id="170"/>
    <w:bookmarkStart w:id="185"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t xml:space="preserve">(</w:t>
      </w:r>
      <w:hyperlink w:anchor="ref-csp_library_research_csp_nodate">
        <w:r>
          <w:rPr>
            <w:rStyle w:val="Hyperlink"/>
          </w:rPr>
          <w:t xml:space="preserve">CSP Library Research n.d.</w:t>
        </w:r>
      </w:hyperlink>
      <w:r>
        <w:t xml:space="preserve">)</w:t>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8"/>
        </w:numPr>
        <w:pStyle w:val="Compact"/>
      </w:pPr>
      <w:r>
        <w:t xml:space="preserve">Student online survey</w:t>
      </w:r>
    </w:p>
    <w:p>
      <w:pPr>
        <w:numPr>
          <w:ilvl w:val="0"/>
          <w:numId w:val="1048"/>
        </w:numPr>
        <w:pStyle w:val="Compact"/>
      </w:pPr>
      <w:r>
        <w:t xml:space="preserve">Student paper assessment</w:t>
      </w:r>
    </w:p>
    <w:p>
      <w:pPr>
        <w:numPr>
          <w:ilvl w:val="0"/>
          <w:numId w:val="1048"/>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t xml:space="preserve"> </w:t>
      </w:r>
      <w:r>
        <w:t xml:space="preserve">(</w:t>
      </w:r>
      <w:hyperlink w:anchor="ref-borycz_implementing_2021">
        <w:r>
          <w:rPr>
            <w:rStyle w:val="Hyperlink"/>
          </w:rPr>
          <w:t xml:space="preserve">Borycz 2021</w:t>
        </w:r>
      </w:hyperlink>
      <w:r>
        <w:t xml:space="preserve">)</w:t>
      </w:r>
      <w:r>
        <w:t xml:space="preserve">. Your diagram can be displayed in any format that works for you and it can be as simple or as detailed as you want it to be. A template like the one in Figure</w:t>
      </w:r>
      <w:r>
        <w:t xml:space="preserve"> </w:t>
      </w:r>
      <w:r>
        <w:t xml:space="preserve">5.3</w:t>
      </w:r>
      <w:r>
        <w:t xml:space="preserve"> </w:t>
      </w:r>
      <w:r>
        <w:t xml:space="preserve">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5.3: A simple workflow template" title="" id="172" name="Picture"/>
            <a:graphic>
              <a:graphicData uri="http://schemas.openxmlformats.org/drawingml/2006/picture">
                <pic:pic>
                  <pic:nvPicPr>
                    <pic:cNvPr descr="img/workflow1.PNG" id="173" name="Picture"/>
                    <pic:cNvPicPr>
                      <a:picLocks noChangeArrowheads="1" noChangeAspect="1"/>
                    </pic:cNvPicPr>
                  </pic:nvPicPr>
                  <pic:blipFill>
                    <a:blip r:embed="rId171"/>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5.3: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5.4: Example student survey workflow" title="" id="175" name="Picture"/>
            <a:graphic>
              <a:graphicData uri="http://schemas.openxmlformats.org/drawingml/2006/picture">
                <pic:pic>
                  <pic:nvPicPr>
                    <pic:cNvPr descr="img/workflow2.PNG" id="176" name="Picture"/>
                    <pic:cNvPicPr>
                      <a:picLocks noChangeArrowheads="1" noChangeAspect="1"/>
                    </pic:cNvPicPr>
                  </pic:nvPicPr>
                  <pic:blipFill>
                    <a:blip r:embed="rId174"/>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5.4: Example student survey workflow</w:t>
      </w:r>
    </w:p>
    <w:p>
      <w:pPr>
        <w:pStyle w:val="BodyText"/>
      </w:pPr>
      <w:r>
        <w:t xml:space="preserve">But the format truly does not matter. Figure</w:t>
      </w:r>
      <w:r>
        <w:t xml:space="preserve"> </w:t>
      </w:r>
      <w:r>
        <w:t xml:space="preserve">5.5</w:t>
      </w:r>
      <w:r>
        <w:t xml:space="preserve"> </w:t>
      </w:r>
      <w:r>
        <w:t xml:space="preserve">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5.5: Example student survey workflow using a swimlane template" title="" id="178" name="Picture"/>
            <a:graphic>
              <a:graphicData uri="http://schemas.openxmlformats.org/drawingml/2006/picture">
                <pic:pic>
                  <pic:nvPicPr>
                    <pic:cNvPr descr="img/swimlane2.PNG" id="179" name="Picture"/>
                    <pic:cNvPicPr>
                      <a:picLocks noChangeArrowheads="1" noChangeAspect="1"/>
                    </pic:cNvPicPr>
                  </pic:nvPicPr>
                  <pic:blipFill>
                    <a:blip r:embed="rId177"/>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5.5: Example student survey workflow using a swimlane template</w:t>
      </w:r>
    </w:p>
    <w:p>
      <w:pPr>
        <w:pStyle w:val="BodyText"/>
      </w:pPr>
      <w:r>
        <w:t xml:space="preserve">If you have a working</w:t>
      </w:r>
      <w:r>
        <w:t xml:space="preserve"> </w:t>
      </w:r>
      <w:hyperlink w:anchor="supplement">
        <w:r>
          <w:rPr>
            <w:rStyle w:val="Hyperlink"/>
          </w:rPr>
          <w:t xml:space="preserve">data collection timeline</w:t>
        </w:r>
      </w:hyperlink>
      <w:r>
        <w:t xml:space="preserve"> </w:t>
      </w:r>
      <w:r>
        <w:t xml:space="preserve">already created, you can even build time into your workflow. Figure</w:t>
      </w:r>
      <w:r>
        <w:t xml:space="preserve"> </w:t>
      </w:r>
      <w:r>
        <w:t xml:space="preserve">5.6</w:t>
      </w:r>
      <w:r>
        <w:t xml:space="preserve"> </w:t>
      </w:r>
      <w:r>
        <w:t xml:space="preserve">is another example of the same survey workflow again, this time displayed using a Gantt chart</w:t>
      </w:r>
      <w:r>
        <w:t xml:space="preserve"> </w:t>
      </w:r>
      <w:r>
        <w:t xml:space="preserve">(</w:t>
      </w:r>
      <w:hyperlink w:anchor="ref-duru_gantt_nodate">
        <w:r>
          <w:rPr>
            <w:rStyle w:val="Hyperlink"/>
          </w:rPr>
          <w:t xml:space="preserve">Duru and Kopper, n.d.a</w:t>
        </w:r>
      </w:hyperlink>
      <w:r>
        <w:t xml:space="preserve">)</w:t>
      </w:r>
      <w:r>
        <w:t xml:space="preserve"> </w:t>
      </w:r>
      <w:r>
        <w:t xml:space="preserve">in order to better capture the expected timeline.</w:t>
      </w:r>
    </w:p>
    <w:p>
      <w:pPr>
        <w:pStyle w:val="CaptionedFigure"/>
      </w:pPr>
      <w:r>
        <w:drawing>
          <wp:inline>
            <wp:extent cx="5334000" cy="2557089"/>
            <wp:effectExtent b="0" l="0" r="0" t="0"/>
            <wp:docPr descr="Figure 5.6: Example student survey workflow using a Gantt chart" title="" id="181" name="Picture"/>
            <a:graphic>
              <a:graphicData uri="http://schemas.openxmlformats.org/drawingml/2006/picture">
                <pic:pic>
                  <pic:nvPicPr>
                    <pic:cNvPr descr="img/gantt.PNG" id="182" name="Picture"/>
                    <pic:cNvPicPr>
                      <a:picLocks noChangeArrowheads="1" noChangeAspect="1"/>
                    </pic:cNvPicPr>
                  </pic:nvPicPr>
                  <pic:blipFill>
                    <a:blip r:embed="rId180"/>
                    <a:stretch>
                      <a:fillRect/>
                    </a:stretch>
                  </pic:blipFill>
                  <pic:spPr bwMode="auto">
                    <a:xfrm>
                      <a:off x="0" y="0"/>
                      <a:ext cx="5334000" cy="2557089"/>
                    </a:xfrm>
                    <a:prstGeom prst="rect">
                      <a:avLst/>
                    </a:prstGeom>
                    <a:noFill/>
                    <a:ln w="9525">
                      <a:noFill/>
                      <a:headEnd/>
                      <a:tailEnd/>
                    </a:ln>
                  </pic:spPr>
                </pic:pic>
              </a:graphicData>
            </a:graphic>
          </wp:inline>
        </w:drawing>
      </w:r>
    </w:p>
    <w:p>
      <w:pPr>
        <w:pStyle w:val="ImageCaption"/>
      </w:pPr>
      <w:r>
        <w:t xml:space="preserve">Figure 5.6: Example student survey workflow using a Gantt chart</w:t>
      </w:r>
    </w:p>
    <w:p>
      <w:pPr>
        <w:pStyle w:val="BodyText"/>
      </w:pPr>
      <w:r>
        <w:t xml:space="preserve">While these workflow diagrams are excellent for high level views of what the process will be, we can see that we are unable to put fine details into this visual. So the last step of creating a workflow is to put all steps into a standard operating procedure (SOP). In your SOP you will add all necessary details of the process. You can also attach your diagram as an addendum or link your SOPs and diagrams in other ways for reference. We will talk more about creating SOPs in Chapter</w:t>
      </w:r>
      <w:r>
        <w:t xml:space="preserve"> </w:t>
      </w:r>
      <w:r>
        <w:t xml:space="preserve">7.2.6</w:t>
      </w:r>
      <w:r>
        <w:t xml:space="preserve">.</w:t>
      </w:r>
    </w:p>
    <w:bookmarkStart w:id="183"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the timing at which their tasks occur, and any dependencies associated with those tasks. It also allows your team to see how their roles and responsibilities fit into the larger research process</w:t>
      </w:r>
      <w:r>
        <w:t xml:space="preserve">(</w:t>
      </w:r>
      <w:hyperlink w:anchor="ref-briney_foundational_2020">
        <w:r>
          <w:rPr>
            <w:rStyle w:val="Hyperlink"/>
          </w:rPr>
          <w:t xml:space="preserve">Briney, Coates, and Goben 2020</w:t>
        </w:r>
      </w:hyperlink>
      <w:r>
        <w:t xml:space="preserve">)</w:t>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t xml:space="preserve">(</w:t>
      </w:r>
      <w:hyperlink w:anchor="ref-borghi_promoting_2022">
        <w:r>
          <w:rPr>
            <w:rStyle w:val="Hyperlink"/>
          </w:rPr>
          <w:t xml:space="preserve">Borghi and Van Gulick 2022</w:t>
        </w:r>
      </w:hyperlink>
      <w:r>
        <w:t xml:space="preserve">)</w:t>
      </w:r>
      <w:r>
        <w:t xml:space="preserve">. And last, reviewing workflows as a team and allowing members to provide feedback may help create buy-in for data management processes, potentially leading to better adherence to practices.</w:t>
      </w:r>
    </w:p>
    <w:bookmarkEnd w:id="183"/>
    <w:bookmarkStart w:id="184"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r>
        <w:t xml:space="preserve"> </w:t>
      </w:r>
      <w:r>
        <w:t xml:space="preserve">(</w:t>
      </w:r>
      <w:hyperlink w:anchor="ref-hansen_dataflowtoolkitdk_2017">
        <w:r>
          <w:rPr>
            <w:rStyle w:val="Hyperlink"/>
          </w:rPr>
          <w:t xml:space="preserve">Hansen 2017</w:t>
        </w:r>
      </w:hyperlink>
      <w:r>
        <w:t xml:space="preserve">)</w:t>
      </w:r>
      <w:r>
        <w:t xml:space="preserve">.</w:t>
      </w:r>
    </w:p>
    <w:p>
      <w:pPr>
        <w:numPr>
          <w:ilvl w:val="0"/>
          <w:numId w:val="1049"/>
        </w:numPr>
        <w:pStyle w:val="Compact"/>
      </w:pPr>
      <w:r>
        <w:t xml:space="preserve">Does your flow preserve the integrity of your data? Is there any point where you might lose or comprise data?</w:t>
      </w:r>
    </w:p>
    <w:p>
      <w:pPr>
        <w:numPr>
          <w:ilvl w:val="0"/>
          <w:numId w:val="1049"/>
        </w:numPr>
        <w:pStyle w:val="Compact"/>
      </w:pPr>
      <w:r>
        <w:t xml:space="preserve">Is there any point in the flow where data is not being handled securely? Someone gains access to identifiable information that should not have access?</w:t>
      </w:r>
    </w:p>
    <w:p>
      <w:pPr>
        <w:numPr>
          <w:ilvl w:val="0"/>
          <w:numId w:val="1049"/>
        </w:numPr>
        <w:pStyle w:val="Compact"/>
      </w:pPr>
      <w:r>
        <w:t xml:space="preserve">Is your flow in accordance with all of your compliance requirements (IRB, FERPA, HIPAA, Institutional Data Policies, etc.)?</w:t>
      </w:r>
    </w:p>
    <w:p>
      <w:pPr>
        <w:numPr>
          <w:ilvl w:val="0"/>
          <w:numId w:val="1049"/>
        </w:numPr>
        <w:pStyle w:val="Compact"/>
      </w:pPr>
      <w:r>
        <w:t xml:space="preserve">Is your flow feasible for your team (based on size, skill level, motivation, etc.)?</w:t>
      </w:r>
    </w:p>
    <w:p>
      <w:pPr>
        <w:numPr>
          <w:ilvl w:val="0"/>
          <w:numId w:val="1049"/>
        </w:numPr>
        <w:pStyle w:val="Compact"/>
      </w:pPr>
      <w:r>
        <w:t xml:space="preserve">Is your flow feasible for your budget and available resources?</w:t>
      </w:r>
    </w:p>
    <w:p>
      <w:pPr>
        <w:numPr>
          <w:ilvl w:val="0"/>
          <w:numId w:val="1049"/>
        </w:numPr>
        <w:pStyle w:val="Compact"/>
      </w:pPr>
      <w:r>
        <w:t xml:space="preserve">Is your flow feasible for the amount and types of data you are collecting?</w:t>
      </w:r>
    </w:p>
    <w:p>
      <w:pPr>
        <w:numPr>
          <w:ilvl w:val="0"/>
          <w:numId w:val="1049"/>
        </w:numPr>
        <w:pStyle w:val="Compact"/>
      </w:pPr>
      <w:r>
        <w:t xml:space="preserve">Are there any bottlenecks in the workflow? Areas where resources or training are needed? Any areas where tasks should be re-directed?</w:t>
      </w:r>
    </w:p>
    <w:bookmarkEnd w:id="184"/>
    <w:bookmarkEnd w:id="185"/>
    <w:bookmarkStart w:id="186" w:name="task-management-systems"/>
    <w:p>
      <w:pPr>
        <w:pStyle w:val="Heading2"/>
      </w:pPr>
      <w:r>
        <w:rPr>
          <w:rStyle w:val="SectionNumber"/>
        </w:rPr>
        <w:t xml:space="preserve">5.5</w:t>
      </w:r>
      <w:r>
        <w:tab/>
      </w:r>
      <w:r>
        <w:t xml:space="preserve">Task management systems</w:t>
      </w:r>
    </w:p>
    <w:p>
      <w:pPr>
        <w:pStyle w:val="FirstParagraph"/>
      </w:pPr>
      <w:r>
        <w:t xml:space="preserve">While tools such as our checklists, workflow diagrams, and SOPs allow us to document and share our processes, it can be tricky to manage the day to day implementation of those processes. The planning phase is a great time to choose a task management system</w:t>
      </w:r>
      <w:r>
        <w:t xml:space="preserve">(</w:t>
      </w:r>
      <w:hyperlink w:anchor="ref-gentzkow_code_2014">
        <w:r>
          <w:rPr>
            <w:rStyle w:val="Hyperlink"/>
          </w:rPr>
          <w:t xml:space="preserve">Gentzkow and Shapiro 2014</w:t>
        </w:r>
      </w:hyperlink>
      <w:r>
        <w:t xml:space="preserve">)</w:t>
      </w:r>
      <w:r>
        <w:t xml:space="preserve">. Keeping track of various deadlines and communications across scattered sources can be overwhelming and using a task management system may help remove ambiguity about the status of task progress. Rather than having to regularly check in via email for status updates or reading through various meeting notes to learn about decisions made, a task management system allows you to assign tasks to responsible parties, set deadlines based on timelines, track progress, and capture communication and decisions all in one location.</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50"/>
        </w:numPr>
        <w:pStyle w:val="Compact"/>
      </w:pPr>
      <w:r>
        <w:t xml:space="preserve">Trello</w:t>
      </w:r>
    </w:p>
    <w:p>
      <w:pPr>
        <w:numPr>
          <w:ilvl w:val="0"/>
          <w:numId w:val="1050"/>
        </w:numPr>
        <w:pStyle w:val="Compact"/>
      </w:pPr>
      <w:r>
        <w:t xml:space="preserve">Smartsheet</w:t>
      </w:r>
    </w:p>
    <w:p>
      <w:pPr>
        <w:numPr>
          <w:ilvl w:val="0"/>
          <w:numId w:val="1050"/>
        </w:numPr>
        <w:pStyle w:val="Compact"/>
      </w:pPr>
      <w:r>
        <w:t xml:space="preserve">Todoist</w:t>
      </w:r>
    </w:p>
    <w:p>
      <w:pPr>
        <w:numPr>
          <w:ilvl w:val="0"/>
          <w:numId w:val="1050"/>
        </w:numPr>
        <w:pStyle w:val="Compact"/>
      </w:pPr>
      <w:r>
        <w:t xml:space="preserve">Microsoft Planner</w:t>
      </w:r>
    </w:p>
    <w:p>
      <w:pPr>
        <w:numPr>
          <w:ilvl w:val="0"/>
          <w:numId w:val="1050"/>
        </w:numPr>
        <w:pStyle w:val="Compact"/>
      </w:pPr>
      <w:r>
        <w:t xml:space="preserve">Notion</w:t>
      </w:r>
    </w:p>
    <w:p>
      <w:pPr>
        <w:numPr>
          <w:ilvl w:val="0"/>
          <w:numId w:val="1050"/>
        </w:numPr>
        <w:pStyle w:val="Compact"/>
      </w:pPr>
      <w:r>
        <w:t xml:space="preserve">Basecamp</w:t>
      </w:r>
    </w:p>
    <w:p>
      <w:pPr>
        <w:numPr>
          <w:ilvl w:val="0"/>
          <w:numId w:val="1050"/>
        </w:numPr>
        <w:pStyle w:val="Compact"/>
      </w:pPr>
      <w:r>
        <w:t xml:space="preserve">Confluence</w:t>
      </w:r>
    </w:p>
    <w:p>
      <w:pPr>
        <w:numPr>
          <w:ilvl w:val="0"/>
          <w:numId w:val="1050"/>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186"/>
    <w:bookmarkEnd w:id="187"/>
    <w:bookmarkStart w:id="210" w:name="roles"/>
    <w:p>
      <w:pPr>
        <w:pStyle w:val="Heading1"/>
      </w:pPr>
      <w:r>
        <w:rPr>
          <w:rStyle w:val="SectionNumber"/>
        </w:rPr>
        <w:t xml:space="preserve">6</w:t>
      </w:r>
      <w:r>
        <w:tab/>
      </w:r>
      <w:r>
        <w:t xml:space="preserve">Project Roles and Responsibilities</w:t>
      </w:r>
    </w:p>
    <w:p>
      <w:pPr>
        <w:pStyle w:val="CaptionedFigure"/>
      </w:pPr>
      <w:r>
        <w:drawing>
          <wp:inline>
            <wp:extent cx="5334000" cy="2947076"/>
            <wp:effectExtent b="0" l="0" r="0" t="0"/>
            <wp:docPr descr="Figure 6.1: Planning in the research project life cycle" title="" id="189" name="Picture"/>
            <a:graphic>
              <a:graphicData uri="http://schemas.openxmlformats.org/drawingml/2006/picture">
                <pic:pic>
                  <pic:nvPicPr>
                    <pic:cNvPr descr="img/lifecycle_rr2.PNG" id="190" name="Picture"/>
                    <pic:cNvPicPr>
                      <a:picLocks noChangeArrowheads="1" noChangeAspect="1"/>
                    </pic:cNvPicPr>
                  </pic:nvPicPr>
                  <pic:blipFill>
                    <a:blip r:embed="rId188"/>
                    <a:stretch>
                      <a:fillRect/>
                    </a:stretch>
                  </pic:blipFill>
                  <pic:spPr bwMode="auto">
                    <a:xfrm>
                      <a:off x="0" y="0"/>
                      <a:ext cx="5334000" cy="2947076"/>
                    </a:xfrm>
                    <a:prstGeom prst="rect">
                      <a:avLst/>
                    </a:prstGeom>
                    <a:noFill/>
                    <a:ln w="9525">
                      <a:noFill/>
                      <a:headEnd/>
                      <a:tailEnd/>
                    </a:ln>
                  </pic:spPr>
                </pic:pic>
              </a:graphicData>
            </a:graphic>
          </wp:inline>
        </w:drawing>
      </w:r>
    </w:p>
    <w:p>
      <w:pPr>
        <w:pStyle w:val="ImageCaption"/>
      </w:pPr>
      <w:r>
        <w:t xml:space="preserve">Figure 6.1: Planning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w:t>
      </w:r>
      <w:r>
        <w:t xml:space="preserve"> </w:t>
      </w:r>
      <w:r>
        <w:t xml:space="preserve">(</w:t>
      </w:r>
      <w:hyperlink w:anchor="ref-uk_data_service_roles_nodate">
        <w:r>
          <w:rPr>
            <w:rStyle w:val="Hyperlink"/>
          </w:rPr>
          <w:t xml:space="preserve">UK Data Service n.d.c</w:t>
        </w:r>
      </w:hyperlink>
      <w:r>
        <w:t xml:space="preserve">)</w:t>
      </w:r>
      <w:r>
        <w:t xml:space="preserve"> </w:t>
      </w:r>
      <w:r>
        <w:t xml:space="preserve">for many reasons including for the security of data, the continuity of practices, and for the standardization of workflows.</w:t>
      </w:r>
    </w:p>
    <w:bookmarkStart w:id="199"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191" w:name="pi-and-co-pi"/>
    <w:p>
      <w:pPr>
        <w:pStyle w:val="Heading3"/>
      </w:pPr>
      <w:r>
        <w:rPr>
          <w:rStyle w:val="SectionNumber"/>
        </w:rPr>
        <w:t xml:space="preserve">6.1.1</w:t>
      </w:r>
      <w:r>
        <w:tab/>
      </w:r>
      <w:r>
        <w:t xml:space="preserve">PI and Co-PI</w:t>
      </w:r>
    </w:p>
    <w:p>
      <w:pPr>
        <w:pStyle w:val="FirstParagraph"/>
      </w:pPr>
      <w:r>
        <w:t xml:space="preserve">The PIs (or project directors),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191"/>
    <w:bookmarkStart w:id="192"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192"/>
    <w:bookmarkStart w:id="193"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193"/>
    <w:bookmarkStart w:id="194"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with titles such a research or project assistants for instance, or it may include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194"/>
    <w:bookmarkStart w:id="198"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tasks aren’t shown on the original diagram but their work is happening alongside the data collection cycle.</w:t>
      </w:r>
    </w:p>
    <w:p>
      <w:pPr>
        <w:pStyle w:val="CaptionedFigure"/>
      </w:pPr>
      <w:r>
        <w:drawing>
          <wp:inline>
            <wp:extent cx="5334000" cy="2947957"/>
            <wp:effectExtent b="0" l="0" r="0" t="0"/>
            <wp:docPr descr="Figure 6.2: Life cycle diagram updated to show hidden processes" title="" id="196" name="Picture"/>
            <a:graphic>
              <a:graphicData uri="http://schemas.openxmlformats.org/drawingml/2006/picture">
                <pic:pic>
                  <pic:nvPicPr>
                    <pic:cNvPr descr="img/lifecycle_intervention2.PNG" id="197" name="Picture"/>
                    <pic:cNvPicPr>
                      <a:picLocks noChangeArrowheads="1" noChangeAspect="1"/>
                    </pic:cNvPicPr>
                  </pic:nvPicPr>
                  <pic:blipFill>
                    <a:blip r:embed="rId195"/>
                    <a:stretch>
                      <a:fillRect/>
                    </a:stretch>
                  </pic:blipFill>
                  <pic:spPr bwMode="auto">
                    <a:xfrm>
                      <a:off x="0" y="0"/>
                      <a:ext cx="5334000" cy="2947957"/>
                    </a:xfrm>
                    <a:prstGeom prst="rect">
                      <a:avLst/>
                    </a:prstGeom>
                    <a:noFill/>
                    <a:ln w="9525">
                      <a:noFill/>
                      <a:headEnd/>
                      <a:tailEnd/>
                    </a:ln>
                  </pic:spPr>
                </pic:pic>
              </a:graphicData>
            </a:graphic>
          </wp:inline>
        </w:drawing>
      </w:r>
    </w:p>
    <w:p>
      <w:pPr>
        <w:pStyle w:val="ImageCaption"/>
      </w:pPr>
      <w:r>
        <w:t xml:space="preserve">Figure 6.2: Life cycle diagram updated to show hidden processes</w:t>
      </w:r>
    </w:p>
    <w:bookmarkEnd w:id="198"/>
    <w:bookmarkEnd w:id="199"/>
    <w:bookmarkStart w:id="200" w:name="Xc0a76e0f0a39c131a548a4b41c59fdd397eb6d1"/>
    <w:p>
      <w:pPr>
        <w:pStyle w:val="Heading2"/>
      </w:pPr>
      <w:r>
        <w:rPr>
          <w:rStyle w:val="SectionNumber"/>
        </w:rPr>
        <w:t xml:space="preserve">6.2</w:t>
      </w:r>
      <w:r>
        <w:tab/>
      </w:r>
      <w:r>
        <w:t xml:space="preserve">Goals of Assigning Roles and Responsibilities</w:t>
      </w:r>
    </w:p>
    <w:p>
      <w:pPr>
        <w:pStyle w:val="FirstParagraph"/>
      </w:pPr>
      <w:r>
        <w:t xml:space="preserve">There are several goals of assigning roles and responsibilities</w:t>
      </w:r>
      <w:r>
        <w:t xml:space="preserve"> </w:t>
      </w:r>
      <w:r>
        <w:t xml:space="preserve">(</w:t>
      </w:r>
      <w:hyperlink w:anchor="ref-valentine_best_nodate">
        <w:r>
          <w:rPr>
            <w:rStyle w:val="Hyperlink"/>
          </w:rPr>
          <w:t xml:space="preserve">Valentine n.d.</w:t>
        </w:r>
      </w:hyperlink>
      <w:r>
        <w:t xml:space="preserve">)</w:t>
      </w:r>
      <w:r>
        <w:t xml:space="preserve">.</w:t>
      </w:r>
    </w:p>
    <w:p>
      <w:pPr>
        <w:numPr>
          <w:ilvl w:val="0"/>
          <w:numId w:val="1051"/>
        </w:numPr>
        <w:pStyle w:val="Compact"/>
      </w:pPr>
      <w:r>
        <w:t xml:space="preserve">Appoint specific team members to project roles and delineate the responsibilities of those roles</w:t>
      </w:r>
    </w:p>
    <w:p>
      <w:pPr>
        <w:numPr>
          <w:ilvl w:val="0"/>
          <w:numId w:val="1051"/>
        </w:numPr>
        <w:pStyle w:val="Compact"/>
      </w:pPr>
      <w:r>
        <w:t xml:space="preserve">Assess equity in responsibilities</w:t>
      </w:r>
    </w:p>
    <w:p>
      <w:pPr>
        <w:numPr>
          <w:ilvl w:val="1"/>
          <w:numId w:val="1052"/>
        </w:numPr>
        <w:pStyle w:val="Compact"/>
      </w:pPr>
      <w:r>
        <w:t xml:space="preserve">Including time needed to complete tasks and number of responsibilities assigned to each team member (not overloading any one team member)</w:t>
      </w:r>
    </w:p>
    <w:p>
      <w:pPr>
        <w:numPr>
          <w:ilvl w:val="0"/>
          <w:numId w:val="1051"/>
        </w:numPr>
        <w:pStyle w:val="Compact"/>
      </w:pPr>
      <w:r>
        <w:t xml:space="preserve">Assess the skills needed for responsibilities</w:t>
      </w:r>
    </w:p>
    <w:p>
      <w:pPr>
        <w:numPr>
          <w:ilvl w:val="0"/>
          <w:numId w:val="1051"/>
        </w:numPr>
        <w:pStyle w:val="Compact"/>
      </w:pPr>
      <w:r>
        <w:t xml:space="preserve">Assess any training need to fill gaps in knowledge</w:t>
      </w:r>
    </w:p>
    <w:p>
      <w:pPr>
        <w:numPr>
          <w:ilvl w:val="0"/>
          <w:numId w:val="1051"/>
        </w:numPr>
        <w:pStyle w:val="Compact"/>
      </w:pPr>
      <w:r>
        <w:t xml:space="preserve">Estimate costs associated with roles</w:t>
      </w:r>
    </w:p>
    <w:p>
      <w:pPr>
        <w:numPr>
          <w:ilvl w:val="0"/>
          <w:numId w:val="1051"/>
        </w:numPr>
        <w:pStyle w:val="Compact"/>
      </w:pPr>
      <w:r>
        <w:t xml:space="preserve">Develop contingency plans</w:t>
      </w:r>
    </w:p>
    <w:p>
      <w:pPr>
        <w:numPr>
          <w:ilvl w:val="1"/>
          <w:numId w:val="1053"/>
        </w:numPr>
        <w:pStyle w:val="Compact"/>
      </w:pPr>
      <w:r>
        <w:t xml:space="preserve">For transitions out of the role or for absenteeism</w:t>
      </w:r>
    </w:p>
    <w:p>
      <w:pPr>
        <w:pStyle w:val="FirstParagraph"/>
      </w:pPr>
      <w:r>
        <w:t xml:space="preserve">Early on in the project you will start to generally assign roles in your data management plan. Remember you are often required to state who will be responsible for tasks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w:t>
      </w:r>
    </w:p>
    <w:bookmarkEnd w:id="200"/>
    <w:bookmarkStart w:id="201" w:name="assigning-roles-and-responsibilities"/>
    <w:p>
      <w:pPr>
        <w:pStyle w:val="Heading2"/>
      </w:pPr>
      <w:r>
        <w:rPr>
          <w:rStyle w:val="SectionNumber"/>
        </w:rPr>
        <w:t xml:space="preserve">6.3</w:t>
      </w:r>
      <w:r>
        <w:tab/>
      </w:r>
      <w:r>
        <w:t xml:space="preserve">Assigning roles and responsibilities</w:t>
      </w:r>
    </w:p>
    <w:p>
      <w:pPr>
        <w:pStyle w:val="FirstParagraph"/>
      </w:pPr>
      <w:r>
        <w:t xml:space="preserve">When assigning roles and responsibilities, there are several factors to consider.</w:t>
      </w:r>
    </w:p>
    <w:p>
      <w:pPr>
        <w:numPr>
          <w:ilvl w:val="0"/>
          <w:numId w:val="1054"/>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the role of a data manager and the responsibilities associated with that role, you may look for skill sets in the following buckets:</w:t>
      </w:r>
    </w:p>
    <w:p>
      <w:pPr>
        <w:numPr>
          <w:ilvl w:val="0"/>
          <w:numId w:val="1055"/>
        </w:numPr>
        <w:pStyle w:val="Compact"/>
      </w:pPr>
      <w:r>
        <w:t xml:space="preserve">Interpersonal skills (Detail oriented, organized, good communicator)</w:t>
      </w:r>
      <w:r>
        <w:br/>
      </w:r>
    </w:p>
    <w:p>
      <w:pPr>
        <w:numPr>
          <w:ilvl w:val="0"/>
          <w:numId w:val="1055"/>
        </w:numPr>
        <w:pStyle w:val="Compact"/>
      </w:pPr>
      <w:r>
        <w:t xml:space="preserve">Domain skills (Experience working with education data, understands data privacy - FERPA, HIPAA)</w:t>
      </w:r>
      <w:r>
        <w:br/>
      </w:r>
    </w:p>
    <w:p>
      <w:pPr>
        <w:numPr>
          <w:ilvl w:val="0"/>
          <w:numId w:val="1055"/>
        </w:numPr>
        <w:pStyle w:val="Compact"/>
      </w:pPr>
      <w:r>
        <w:t xml:space="preserve">Technical skills (Understanding of database structure, experience building data pipelines, coding experience, specific software/tool experience)</w:t>
      </w:r>
    </w:p>
    <w:p>
      <w:pPr>
        <w:pStyle w:val="FirstParagraph"/>
      </w:pPr>
      <w:r>
        <w:t xml:space="preserve">The specific skills needed for each role will depend on your project needs as well as the skill sets of the other members of the team.</w:t>
      </w:r>
    </w:p>
    <w:p>
      <w:pPr>
        <w:numPr>
          <w:ilvl w:val="0"/>
          <w:numId w:val="1056"/>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57"/>
        </w:numPr>
        <w:pStyle w:val="Compact"/>
      </w:pPr>
      <w:r>
        <w:t xml:space="preserve">Estimate costs</w:t>
      </w:r>
    </w:p>
    <w:p>
      <w:pPr>
        <w:pStyle w:val="FirstParagraph"/>
      </w:pPr>
      <w:r>
        <w:t xml:space="preserve">If you are working on roles and responsibilities after your grant has been funded, then your grant budget has already submitted. However, it can still be helpful to thinking through costs associated with overall roles (based on the experience/skillset of the person filling the role) or even broken down by associated responsibilities (based on things like percent effort or time to complete each task). If discrepancies between the original budget and updated costs are found, often funders will allow PIs to amend budgets.</w:t>
      </w:r>
    </w:p>
    <w:p>
      <w:pPr>
        <w:numPr>
          <w:ilvl w:val="0"/>
          <w:numId w:val="1058"/>
        </w:numPr>
        <w:pStyle w:val="Compact"/>
      </w:pPr>
      <w:r>
        <w:t xml:space="preserve">Contingency plans</w:t>
      </w:r>
    </w:p>
    <w:p>
      <w:pPr>
        <w:pStyle w:val="FirstParagraph"/>
      </w:pPr>
      <w:r>
        <w:t xml:space="preserve">You should also beging thinking through backup plans should a staff member leave the project or be absent for an extended period of time. This may include cross training staff or a plan for training replacement staff.</w:t>
      </w:r>
    </w:p>
    <w:bookmarkEnd w:id="201"/>
    <w:bookmarkStart w:id="208" w:name="roledoc"/>
    <w:p>
      <w:pPr>
        <w:pStyle w:val="Heading2"/>
      </w:pPr>
      <w:r>
        <w:rPr>
          <w:rStyle w:val="SectionNumber"/>
        </w:rPr>
        <w:t xml:space="preserve">6.4</w:t>
      </w:r>
      <w:r>
        <w:tab/>
      </w:r>
      <w:r>
        <w:t xml:space="preserve">Documenting roles and responsibilities</w:t>
      </w:r>
    </w:p>
    <w:p>
      <w:pPr>
        <w:pStyle w:val="FirstParagraph"/>
      </w:pPr>
      <w:r>
        <w:t xml:space="preserve">Once roles and responsibilities have been assigned,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A general roles and responsibilities document is one way to document your decisions</w:t>
      </w:r>
      <w:r>
        <w:t xml:space="preserve"> </w:t>
      </w:r>
      <w:r>
        <w:t xml:space="preserve">(</w:t>
      </w:r>
      <w:hyperlink w:anchor="Xb5a23216d1ec994a92bc12efe6ebc14cbc71fb6">
        <w:r>
          <w:rPr>
            <w:rStyle w:val="Hyperlink"/>
          </w:rPr>
          <w:t xml:space="preserve">Colorado School of Mines, n.d.</w:t>
        </w:r>
      </w:hyperlink>
      <w:r>
        <w:t xml:space="preserve">;</w:t>
      </w:r>
      <w:r>
        <w:t xml:space="preserve"> </w:t>
      </w:r>
      <w:hyperlink w:anchor="ref-uc_davis_pmlc_nodate">
        <w:r>
          <w:rPr>
            <w:rStyle w:val="Hyperlink"/>
          </w:rPr>
          <w:t xml:space="preserve">UC Davis n.d.</w:t>
        </w:r>
      </w:hyperlink>
      <w:r>
        <w:t xml:space="preserve">)</w:t>
      </w:r>
      <w:r>
        <w:t xml:space="preserve">. In addition to being a planning document that can help you assign tasks to the appropriate staff member, it can also serve as a reference document that allows your team to easily see who is on the project team, what roles they play, and who to contact for questions regarding various project aspects (for example - who to contact for data storage access).</w:t>
      </w:r>
    </w:p>
    <w:p>
      <w:pPr>
        <w:pStyle w:val="BodyText"/>
      </w:pPr>
      <w:r>
        <w:t xml:space="preserve">This document can be laid in any format that conveys the information clearly to your team. Figure</w:t>
      </w:r>
      <w:r>
        <w:t xml:space="preserve"> </w:t>
      </w:r>
      <w:r>
        <w:t xml:space="preserve">6.3</w:t>
      </w:r>
      <w:r>
        <w:t xml:space="preserve"> </w:t>
      </w:r>
      <w:r>
        <w:t xml:space="preserve">and Figure</w:t>
      </w:r>
      <w:r>
        <w:t xml:space="preserve"> </w:t>
      </w:r>
      <w:r>
        <w:t xml:space="preserve">6.4</w:t>
      </w:r>
      <w:r>
        <w:t xml:space="preserve"> </w:t>
      </w:r>
      <w:r>
        <w:t xml:space="preserve">are two example templates. Note that these templates only list overarching responsibilities, not specific tasks. Specific actionable steps will be laid out in other process documentation such as</w:t>
      </w:r>
      <w:r>
        <w:t xml:space="preserve"> </w:t>
      </w:r>
      <w:hyperlink w:anchor="sop">
        <w:r>
          <w:rPr>
            <w:rStyle w:val="Hyperlink"/>
          </w:rPr>
          <w:t xml:space="preserve">standard operating procedures</w:t>
        </w:r>
      </w:hyperlink>
      <w:r>
        <w:t xml:space="preserve"> </w:t>
      </w:r>
      <w:r>
        <w:t xml:space="preserve">where names are attached to each task.</w:t>
      </w:r>
    </w:p>
    <w:p>
      <w:pPr>
        <w:pStyle w:val="CaptionedFigure"/>
      </w:pPr>
      <w:r>
        <w:drawing>
          <wp:inline>
            <wp:extent cx="5334000" cy="4739722"/>
            <wp:effectExtent b="0" l="0" r="0" t="0"/>
            <wp:docPr descr="Figure 6.3: Roles and responsibilities document organized by role" title="" id="203" name="Picture"/>
            <a:graphic>
              <a:graphicData uri="http://schemas.openxmlformats.org/drawingml/2006/picture">
                <pic:pic>
                  <pic:nvPicPr>
                    <pic:cNvPr descr="img/roles_responsibility1.PNG" id="204" name="Picture"/>
                    <pic:cNvPicPr>
                      <a:picLocks noChangeArrowheads="1" noChangeAspect="1"/>
                    </pic:cNvPicPr>
                  </pic:nvPicPr>
                  <pic:blipFill>
                    <a:blip r:embed="rId202"/>
                    <a:stretch>
                      <a:fillRect/>
                    </a:stretch>
                  </pic:blipFill>
                  <pic:spPr bwMode="auto">
                    <a:xfrm>
                      <a:off x="0" y="0"/>
                      <a:ext cx="5334000" cy="4739722"/>
                    </a:xfrm>
                    <a:prstGeom prst="rect">
                      <a:avLst/>
                    </a:prstGeom>
                    <a:noFill/>
                    <a:ln w="9525">
                      <a:noFill/>
                      <a:headEnd/>
                      <a:tailEnd/>
                    </a:ln>
                  </pic:spPr>
                </pic:pic>
              </a:graphicData>
            </a:graphic>
          </wp:inline>
        </w:drawing>
      </w:r>
    </w:p>
    <w:p>
      <w:pPr>
        <w:pStyle w:val="ImageCaption"/>
      </w:pPr>
      <w:r>
        <w:t xml:space="preserve">Figure 6.3: Roles and responsibilities document organized by role</w:t>
      </w:r>
    </w:p>
    <w:p>
      <w:pPr>
        <w:pStyle w:val="CaptionedFigure"/>
      </w:pPr>
      <w:r>
        <w:drawing>
          <wp:inline>
            <wp:extent cx="5334000" cy="3664516"/>
            <wp:effectExtent b="0" l="0" r="0" t="0"/>
            <wp:docPr descr="Figure 6.4: Roles and responsibilities document organized by phase" title="" id="206" name="Picture"/>
            <a:graphic>
              <a:graphicData uri="http://schemas.openxmlformats.org/drawingml/2006/picture">
                <pic:pic>
                  <pic:nvPicPr>
                    <pic:cNvPr descr="img/roles_responsibility2.PNG" id="207" name="Picture"/>
                    <pic:cNvPicPr>
                      <a:picLocks noChangeArrowheads="1" noChangeAspect="1"/>
                    </pic:cNvPicPr>
                  </pic:nvPicPr>
                  <pic:blipFill>
                    <a:blip r:embed="rId205"/>
                    <a:stretch>
                      <a:fillRect/>
                    </a:stretch>
                  </pic:blipFill>
                  <pic:spPr bwMode="auto">
                    <a:xfrm>
                      <a:off x="0" y="0"/>
                      <a:ext cx="5334000" cy="3664516"/>
                    </a:xfrm>
                    <a:prstGeom prst="rect">
                      <a:avLst/>
                    </a:prstGeom>
                    <a:noFill/>
                    <a:ln w="9525">
                      <a:noFill/>
                      <a:headEnd/>
                      <a:tailEnd/>
                    </a:ln>
                  </pic:spPr>
                </pic:pic>
              </a:graphicData>
            </a:graphic>
          </wp:inline>
        </w:drawing>
      </w:r>
    </w:p>
    <w:p>
      <w:pPr>
        <w:pStyle w:val="ImageCaption"/>
      </w:pPr>
      <w:r>
        <w:t xml:space="preserve">Figure 6.4: Roles and responsibilities document organized by phase</w:t>
      </w:r>
    </w:p>
    <w:p>
      <w:pPr>
        <w:pStyle w:val="BodyText"/>
      </w:pPr>
      <w:r>
        <w:t xml:space="preserve">Reviewing roles and responsibilities in a format like this allows you to start to see how responsibilities are assigned and decide if tasks need to be redistributed in any way. You can also then start to fill in more details as needed.</w:t>
      </w:r>
    </w:p>
    <w:p>
      <w:pPr>
        <w:pStyle w:val="BodyText"/>
      </w:pPr>
      <w:r>
        <w:t xml:space="preserve">Since there is no one template for creating a roles and responsibility document, you can really add whatever information helps to most clearly convey the information. Some additional columns you may consider adding include:</w:t>
      </w:r>
    </w:p>
    <w:p>
      <w:pPr>
        <w:numPr>
          <w:ilvl w:val="0"/>
          <w:numId w:val="1059"/>
        </w:numPr>
        <w:pStyle w:val="Compact"/>
      </w:pPr>
      <w:r>
        <w:t xml:space="preserve">Links to related standard operating procedures (e.g., for building a participant tracking database you may link to the specific SOP that lays out steps for building the tool)</w:t>
      </w:r>
    </w:p>
    <w:p>
      <w:pPr>
        <w:numPr>
          <w:ilvl w:val="0"/>
          <w:numId w:val="1059"/>
        </w:numPr>
        <w:pStyle w:val="Compact"/>
      </w:pPr>
      <w:r>
        <w:t xml:space="preserve">Names of other staff members (if any) that assist with or also contribute to each responsibility</w:t>
      </w:r>
    </w:p>
    <w:p>
      <w:pPr>
        <w:numPr>
          <w:ilvl w:val="0"/>
          <w:numId w:val="1059"/>
        </w:numPr>
        <w:pStyle w:val="Compact"/>
      </w:pPr>
      <w:r>
        <w:t xml:space="preserve">Timing of each responsibility (e.g., weekly, ongoing, the month of February)</w:t>
      </w:r>
    </w:p>
    <w:bookmarkEnd w:id="208"/>
    <w:bookmarkStart w:id="209" w:name="data-management-role"/>
    <w:p>
      <w:pPr>
        <w:pStyle w:val="Heading2"/>
      </w:pPr>
      <w:r>
        <w:rPr>
          <w:rStyle w:val="SectionNumber"/>
        </w:rPr>
        <w:t xml:space="preserve">6.5</w:t>
      </w:r>
      <w:r>
        <w:tab/>
      </w:r>
      <w:r>
        <w:t xml:space="preserve">Data Management Role</w:t>
      </w:r>
    </w:p>
    <w:p>
      <w:pPr>
        <w:pStyle w:val="FirstParagraph"/>
      </w:pPr>
      <w:r>
        <w:t xml:space="preserve">Like I mentioned earlier, I highly recommend hiring a full-time data manager if you are able to budget for this as it allows each team member to have more narrow responsibilities and to implement their tasks with better precision. However, not everyone will have the capacity to do this. If so, it will be vitally important to still assign those data management responsibilities to specific team members. In choosing who to assign these tasks to, you will want to consider several things such as appropriate skill set to manage the data, interest in data management tasks, and time to commit to data management. Oftentimes this responsibility falls to a full-time project coordinator as they are the ones who are intimately familiar with the data, and since they are full-time, they are able to carve out hours for data management tasks. Other times it may be a collaboration between a project coordinator and another staff member, such as a part-time graduate student (who may have more technical skills in terms of data wrangling). No matter who you assign these roles to, just ensure that they are documented and the information is disseminated to the team.</w:t>
      </w:r>
    </w:p>
    <w:bookmarkEnd w:id="209"/>
    <w:bookmarkEnd w:id="210"/>
    <w:bookmarkStart w:id="356" w:name="document"/>
    <w:p>
      <w:pPr>
        <w:pStyle w:val="Heading1"/>
      </w:pPr>
      <w:r>
        <w:rPr>
          <w:rStyle w:val="SectionNumber"/>
        </w:rPr>
        <w:t xml:space="preserve">7</w:t>
      </w:r>
      <w:r>
        <w:tab/>
      </w:r>
      <w:r>
        <w:t xml:space="preserve">Documentation</w:t>
      </w:r>
    </w:p>
    <w:p>
      <w:pPr>
        <w:pStyle w:val="CaptionedFigure"/>
      </w:pPr>
      <w:r>
        <w:drawing>
          <wp:inline>
            <wp:extent cx="5334000" cy="2982496"/>
            <wp:effectExtent b="0" l="0" r="0" t="0"/>
            <wp:docPr descr="Figure 7.1: Data documentation in the research project life cycle" title="" id="212" name="Picture"/>
            <a:graphic>
              <a:graphicData uri="http://schemas.openxmlformats.org/drawingml/2006/picture">
                <pic:pic>
                  <pic:nvPicPr>
                    <pic:cNvPr descr="img/lifecycle_doc.PNG" id="213" name="Picture"/>
                    <pic:cNvPicPr>
                      <a:picLocks noChangeArrowheads="1" noChangeAspect="1"/>
                    </pic:cNvPicPr>
                  </pic:nvPicPr>
                  <pic:blipFill>
                    <a:blip r:embed="rId211"/>
                    <a:stretch>
                      <a:fillRect/>
                    </a:stretch>
                  </pic:blipFill>
                  <pic:spPr bwMode="auto">
                    <a:xfrm>
                      <a:off x="0" y="0"/>
                      <a:ext cx="5334000" cy="2982496"/>
                    </a:xfrm>
                    <a:prstGeom prst="rect">
                      <a:avLst/>
                    </a:prstGeom>
                    <a:noFill/>
                    <a:ln w="9525">
                      <a:noFill/>
                      <a:headEnd/>
                      <a:tailEnd/>
                    </a:ln>
                  </pic:spPr>
                </pic:pic>
              </a:graphicData>
            </a:graphic>
          </wp:inline>
        </w:drawing>
      </w:r>
    </w:p>
    <w:p>
      <w:pPr>
        <w:pStyle w:val="ImageCaption"/>
      </w:pPr>
      <w:r>
        <w:t xml:space="preserve">Figure 7.1: Data documentation in the research project life cycle</w:t>
      </w:r>
    </w:p>
    <w:p>
      <w:pPr>
        <w:pStyle w:val="BodyText"/>
      </w:pPr>
      <w:r>
        <w:t xml:space="preserve">Documentation is a collection of files that contain procedural and descriptive information about your team, your project, your workflows, and your data. Collecting thorough documentation during your study is equally as important as collecting your data. Documentation serves many purposes including:</w:t>
      </w:r>
    </w:p>
    <w:p>
      <w:pPr>
        <w:numPr>
          <w:ilvl w:val="0"/>
          <w:numId w:val="1060"/>
        </w:numPr>
        <w:pStyle w:val="Compact"/>
      </w:pPr>
      <w:r>
        <w:t xml:space="preserve">Standardizing procedures</w:t>
      </w:r>
    </w:p>
    <w:p>
      <w:pPr>
        <w:numPr>
          <w:ilvl w:val="0"/>
          <w:numId w:val="1060"/>
        </w:numPr>
        <w:pStyle w:val="Compact"/>
      </w:pPr>
      <w:r>
        <w:t xml:space="preserve">Securing data and protecting confidentiality</w:t>
      </w:r>
    </w:p>
    <w:p>
      <w:pPr>
        <w:numPr>
          <w:ilvl w:val="0"/>
          <w:numId w:val="1060"/>
        </w:numPr>
        <w:pStyle w:val="Compact"/>
      </w:pPr>
      <w:r>
        <w:t xml:space="preserve">Tracking data provenance</w:t>
      </w:r>
    </w:p>
    <w:p>
      <w:pPr>
        <w:numPr>
          <w:ilvl w:val="0"/>
          <w:numId w:val="1060"/>
        </w:numPr>
        <w:pStyle w:val="Compact"/>
      </w:pPr>
      <w:r>
        <w:t xml:space="preserve">Discovering errors</w:t>
      </w:r>
    </w:p>
    <w:p>
      <w:pPr>
        <w:numPr>
          <w:ilvl w:val="0"/>
          <w:numId w:val="1060"/>
        </w:numPr>
        <w:pStyle w:val="Compact"/>
      </w:pPr>
      <w:r>
        <w:t xml:space="preserve">Enabling reproducibility</w:t>
      </w:r>
    </w:p>
    <w:p>
      <w:pPr>
        <w:numPr>
          <w:ilvl w:val="0"/>
          <w:numId w:val="1060"/>
        </w:numPr>
        <w:pStyle w:val="Compact"/>
      </w:pPr>
      <w:r>
        <w:t xml:space="preserve">Ensuring others use and interpret data accurately</w:t>
      </w:r>
    </w:p>
    <w:p>
      <w:pPr>
        <w:numPr>
          <w:ilvl w:val="0"/>
          <w:numId w:val="1060"/>
        </w:numPr>
        <w:pStyle w:val="Compact"/>
      </w:pPr>
      <w:r>
        <w:t xml:space="preserve">Providing searchability through metadata</w:t>
      </w:r>
    </w:p>
    <w:p>
      <w:pPr>
        <w:pStyle w:val="FirstParagraph"/>
      </w:pPr>
      <w:r>
        <w:t xml:space="preserve">We are going to cover four levels of documentation in this chapter: team-level, project-level, dataset-level, and variable-level. While most of the documentation discussed does fall within its eponymous phase in the research life cycle, some documents will be created earlier or later and the timing will be discussed in each section. During a project, while you are actively using your documents, the format of these documents does not matter. Choose a human-readable format that works well for your team (e.g., Word, PDF, plain text file, Google Doc, Excel, HTML, OneNote, etc.). When projects are closing out and you are preparing to share your data, you can consider, at that time, how to best make your documents more sustainable, interoperable, and searchable. See Chapter</w:t>
      </w:r>
      <w:r>
        <w:t xml:space="preserve"> </w:t>
      </w:r>
      <w:r>
        <w:t xml:space="preserve">14</w:t>
      </w:r>
      <w:r>
        <w:t xml:space="preserve"> </w:t>
      </w:r>
      <w:r>
        <w:t xml:space="preserve">for more information.</w:t>
      </w:r>
    </w:p>
    <w:p>
      <w:pPr>
        <w:pStyle w:val="BodyText"/>
      </w:pPr>
      <w:r>
        <w:t xml:space="preserve">The documents below are all recommended and will help you successfully run your project. You can create as many or as few of these documents as you wish. The documents you choose to produce should be based on what is best for your project and your team, as well as what is required by your funder (see Chapter /</w:t>
      </w:r>
      <w:r>
        <w:t xml:space="preserve">(</w:t>
      </w:r>
      <w:hyperlink w:anchor="ref-ref">
        <w:r>
          <w:rPr>
            <w:rStyle w:val="Hyperlink"/>
            <w:bCs/>
            <w:b/>
          </w:rPr>
          <w:t xml:space="preserve">ref?</w:t>
        </w:r>
      </w:hyperlink>
      <w:r>
        <w:t xml:space="preserve">)</w:t>
      </w:r>
      <w:r>
        <w:t xml:space="preserve">(dmp)) and other governing bodies such as your Institutional Review Board. No matter which documents you choose to implement, it is important to create templates for your documents and implement them consistently within, and even across projects. Implementing documentation using templates, or consistent formats and fields, reduces duplication in efforts (no need to reinvent the wheel) and allows your team to interpret the document more easily. These documents are best created by the team member that directly oversees the process and sometimes that may include a collaborative effort (for example both a project coordinator and a data manager may build documents together).</w:t>
      </w:r>
    </w:p>
    <w:p>
      <w:pPr>
        <w:pStyle w:val="BodyText"/>
      </w:pPr>
      <w:r>
        <w:t xml:space="preserve">Each type of documentation discussed below is a living document to be updated as procedures change or new information is received. As seen in the cyclical section of Figure</w:t>
      </w:r>
      <w:r>
        <w:t xml:space="preserve"> </w:t>
      </w:r>
      <w:r>
        <w:t xml:space="preserve">7.1</w:t>
      </w:r>
      <w:r>
        <w:t xml:space="preserve"> </w:t>
      </w:r>
      <w:r>
        <w:t xml:space="preserve">above, team members should revisit documentation each time new data is collected, or more often if needed, to ensure documentation still aligns with actual practices. If changes are made and not added to documentation over long periods of time, you will find that you no longer remember what happened and that information will be lost. It will also be important to version your documents along the way so that staff know that they are working with the most recent version and can see when documents have been updated and why.</w:t>
      </w:r>
    </w:p>
    <w:p>
      <w:pPr>
        <w:pStyle w:val="BlockText"/>
      </w:pPr>
      <w:r>
        <w:rPr>
          <w:bCs/>
          <w:b/>
        </w:rPr>
        <w:t xml:space="preserve">Note</w:t>
      </w:r>
      <w:r>
        <w:t xml:space="preserve"> </w:t>
      </w:r>
      <w:r>
        <w:t xml:space="preserve"> </w:t>
      </w:r>
      <w:r>
        <w:t xml:space="preserve"> </w:t>
      </w:r>
      <w:r>
        <w:br/>
      </w:r>
      <w:r>
        <w:br/>
      </w:r>
      <w:r>
        <w:t xml:space="preserve">Creating and maintaining these documents</w:t>
      </w:r>
      <w:r>
        <w:t xml:space="preserve"> </w:t>
      </w:r>
      <w:r>
        <w:rPr>
          <w:bCs/>
          <w:b/>
        </w:rPr>
        <w:t xml:space="preserve">is an investment</w:t>
      </w:r>
      <w:r>
        <w:t xml:space="preserve">. Make sure to account for this time and expertise in your</w:t>
      </w:r>
      <w:r>
        <w:t xml:space="preserve"> </w:t>
      </w:r>
      <w:hyperlink w:anchor="budget">
        <w:r>
          <w:rPr>
            <w:rStyle w:val="Hyperlink"/>
          </w:rPr>
          <w:t xml:space="preserve">proposal budget</w:t>
        </w:r>
      </w:hyperlink>
      <w:r>
        <w:t xml:space="preserve">. With that said, the return for the investment is well worth the effort.</w:t>
      </w:r>
    </w:p>
    <w:bookmarkStart w:id="252" w:name="team-level"/>
    <w:p>
      <w:pPr>
        <w:pStyle w:val="Heading2"/>
      </w:pPr>
      <w:r>
        <w:rPr>
          <w:rStyle w:val="SectionNumber"/>
        </w:rPr>
        <w:t xml:space="preserve">7.1</w:t>
      </w:r>
      <w:r>
        <w:tab/>
      </w:r>
      <w:r>
        <w:t xml:space="preserve">Team Level</w:t>
      </w:r>
    </w:p>
    <w:p>
      <w:pPr>
        <w:pStyle w:val="FirstParagraph"/>
      </w:pPr>
      <w:r>
        <w:t xml:space="preserve">Team-level data management documentation typically contains data governance rules that apply to the entire team, across all projects. While these documents can be amended any time, they should be started long before you apply for a grant, when your lab, center, or institution is formed.</w:t>
      </w:r>
    </w:p>
    <w:p>
      <w:pPr>
        <w:pStyle w:val="CaptionedFigure"/>
      </w:pPr>
      <w:r>
        <w:drawing>
          <wp:inline>
            <wp:extent cx="5334000" cy="2989021"/>
            <wp:effectExtent b="0" l="0" r="0" t="0"/>
            <wp:docPr descr="Figure 7.2: Team-level documentation in the research project life cycle" title="" id="215" name="Picture"/>
            <a:graphic>
              <a:graphicData uri="http://schemas.openxmlformats.org/drawingml/2006/picture">
                <pic:pic>
                  <pic:nvPicPr>
                    <pic:cNvPr descr="img/lifecycle_teamdoc.PNG" id="216" name="Picture"/>
                    <pic:cNvPicPr>
                      <a:picLocks noChangeArrowheads="1" noChangeAspect="1"/>
                    </pic:cNvPicPr>
                  </pic:nvPicPr>
                  <pic:blipFill>
                    <a:blip r:embed="rId214"/>
                    <a:stretch>
                      <a:fillRect/>
                    </a:stretch>
                  </pic:blipFill>
                  <pic:spPr bwMode="auto">
                    <a:xfrm>
                      <a:off x="0" y="0"/>
                      <a:ext cx="5334000" cy="2989021"/>
                    </a:xfrm>
                    <a:prstGeom prst="rect">
                      <a:avLst/>
                    </a:prstGeom>
                    <a:noFill/>
                    <a:ln w="9525">
                      <a:noFill/>
                      <a:headEnd/>
                      <a:tailEnd/>
                    </a:ln>
                  </pic:spPr>
                </pic:pic>
              </a:graphicData>
            </a:graphic>
          </wp:inline>
        </w:drawing>
      </w:r>
    </w:p>
    <w:p>
      <w:pPr>
        <w:pStyle w:val="ImageCaption"/>
      </w:pPr>
      <w:r>
        <w:t xml:space="preserve">Figure 7.2: Team-level documentation in the research project life cycle</w:t>
      </w:r>
    </w:p>
    <w:bookmarkStart w:id="223" w:name="lab-manual"/>
    <w:p>
      <w:pPr>
        <w:pStyle w:val="Heading3"/>
      </w:pPr>
      <w:r>
        <w:rPr>
          <w:rStyle w:val="SectionNumber"/>
        </w:rPr>
        <w:t xml:space="preserve">7.1.1</w:t>
      </w:r>
      <w:r>
        <w:tab/>
      </w:r>
      <w:r>
        <w:t xml:space="preserve">Lab Manual</w:t>
      </w:r>
    </w:p>
    <w:p>
      <w:pPr>
        <w:pStyle w:val="FirstParagraph"/>
      </w:pPr>
      <w:r>
        <w:t xml:space="preserve">One example of a team-level document is a lab manual, or team handbook. A lab manual creates common knowledge across your team</w:t>
      </w:r>
      <w:r>
        <w:t xml:space="preserve"> </w:t>
      </w:r>
      <w:r>
        <w:t xml:space="preserve">(</w:t>
      </w:r>
      <w:hyperlink w:anchor="ref-mehr_how_nodate">
        <w:r>
          <w:rPr>
            <w:rStyle w:val="Hyperlink"/>
          </w:rPr>
          <w:t xml:space="preserve">Mehr n.d.</w:t>
        </w:r>
      </w:hyperlink>
      <w:r>
        <w:t xml:space="preserve">)</w:t>
      </w:r>
      <w:r>
        <w:t xml:space="preserve">. It provides staff with consistent information about how the team works and why they do the things they do. It also sets expectations, provides guidelines, and can even be a place for passing along career advice</w:t>
      </w:r>
      <w:r>
        <w:t xml:space="preserve"> </w:t>
      </w:r>
      <w:r>
        <w:t xml:space="preserve">(</w:t>
      </w:r>
      <w:hyperlink w:anchor="ref-aczel_crowdsourced_nodate">
        <w:r>
          <w:rPr>
            <w:rStyle w:val="Hyperlink"/>
          </w:rPr>
          <w:t xml:space="preserve">Aczel n.d.</w:t>
        </w:r>
      </w:hyperlink>
      <w:r>
        <w:t xml:space="preserve">;</w:t>
      </w:r>
      <w:r>
        <w:t xml:space="preserve"> </w:t>
      </w:r>
      <w:hyperlink w:anchor="ref-community_turing_2022">
        <w:r>
          <w:rPr>
            <w:rStyle w:val="Hyperlink"/>
          </w:rPr>
          <w:t xml:space="preserve">Community 2022</w:t>
        </w:r>
      </w:hyperlink>
      <w:r>
        <w:t xml:space="preserve">)</w:t>
      </w:r>
      <w:r>
        <w:t xml:space="preserve">. While a lab manual will primarily consist of administrative, procedural, and interpersonal types of information, it can be helpful to include data management content, including general rules about accessing, storing, sharing, and working with data securely and ethically.</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Balazs Aczel, et al.</w:t>
            </w:r>
          </w:p>
        </w:tc>
        <w:tc>
          <w:tcPr/>
          <w:p>
            <w:pPr>
              <w:pStyle w:val="Compact"/>
              <w:jc w:val="left"/>
            </w:pPr>
            <w:r>
              <w:t xml:space="preserve">Crowdsourced lab manual template</w:t>
            </w:r>
            <w:r>
              <w:t xml:space="preserve"> </w:t>
            </w:r>
            <w:r>
              <w:rPr>
                <w:rStyle w:val="FootnoteReference"/>
              </w:rPr>
              <w:footnoteReference w:id="217"/>
            </w:r>
          </w:p>
        </w:tc>
      </w:tr>
      <w:tr>
        <w:tc>
          <w:tcPr/>
          <w:p>
            <w:pPr>
              <w:pStyle w:val="Compact"/>
              <w:jc w:val="left"/>
            </w:pPr>
            <w:r>
              <w:t xml:space="preserve">Hao Ye, et al.</w:t>
            </w:r>
          </w:p>
        </w:tc>
        <w:tc>
          <w:tcPr/>
          <w:p>
            <w:pPr>
              <w:pStyle w:val="Compact"/>
              <w:jc w:val="left"/>
            </w:pPr>
            <w:r>
              <w:t xml:space="preserve">Crowdsourced list of public lab manuals</w:t>
            </w:r>
            <w:r>
              <w:t xml:space="preserve"> </w:t>
            </w:r>
            <w:r>
              <w:rPr>
                <w:rStyle w:val="FootnoteReference"/>
              </w:rPr>
              <w:footnoteReference w:id="219"/>
            </w:r>
          </w:p>
        </w:tc>
      </w:tr>
      <w:tr>
        <w:tc>
          <w:tcPr/>
          <w:p>
            <w:pPr>
              <w:pStyle w:val="Compact"/>
              <w:jc w:val="left"/>
            </w:pPr>
            <w:r>
              <w:t xml:space="preserve">Samuel Mehr</w:t>
            </w:r>
          </w:p>
        </w:tc>
        <w:tc>
          <w:tcPr/>
          <w:p>
            <w:pPr>
              <w:pStyle w:val="Compact"/>
              <w:jc w:val="left"/>
            </w:pPr>
            <w:r>
              <w:t xml:space="preserve">Common Topics in Lab Handbooks</w:t>
            </w:r>
            <w:r>
              <w:t xml:space="preserve"> </w:t>
            </w:r>
            <w:r>
              <w:rPr>
                <w:rStyle w:val="FootnoteReference"/>
              </w:rPr>
              <w:footnoteReference w:id="221"/>
            </w:r>
          </w:p>
        </w:tc>
      </w:tr>
    </w:tbl>
    <w:bookmarkEnd w:id="223"/>
    <w:bookmarkStart w:id="233" w:name="wiki"/>
    <w:p>
      <w:pPr>
        <w:pStyle w:val="Heading3"/>
      </w:pPr>
      <w:r>
        <w:rPr>
          <w:rStyle w:val="SectionNumber"/>
        </w:rPr>
        <w:t xml:space="preserve">7.1.2</w:t>
      </w:r>
      <w:r>
        <w:tab/>
      </w:r>
      <w:r>
        <w:t xml:space="preserve">Wiki</w:t>
      </w:r>
    </w:p>
    <w:p>
      <w:pPr>
        <w:pStyle w:val="FirstParagraph"/>
      </w:pPr>
      <w:r>
        <w:t xml:space="preserve">A wiki is a webpage that allows users to collaboratively edit and manage content. It can either be created alongside the lab manual or as an alternative to the lab manual is a team wiki. Wikis can be built and housed in many tools such as SharePoint, Teams, Notion, GitHub or Open Science Foundation (OSF). While some lab wikis are public (as you’ll see in the examples below), most are not and can be restricted to invited users only. Wikis are a great way to keep disparate documents and pieces of information, for both administrative and data related purposes, organized in a central, accessible location. Your wiki can include links to important documents, or you can also add text directly to the wiki to describe certain procedures. Rather than sending team members to multiple different folders for frequently requested information, you can refer them to your one wiki page.</w:t>
      </w:r>
    </w:p>
    <w:p>
      <w:pPr>
        <w:pStyle w:val="CaptionedFigure"/>
      </w:pPr>
      <w:r>
        <w:drawing>
          <wp:inline>
            <wp:extent cx="5334000" cy="3375302"/>
            <wp:effectExtent b="0" l="0" r="0" t="0"/>
            <wp:docPr descr="Figure 7.3: Example team wiki with links to frequently requested information" title="" id="225" name="Picture"/>
            <a:graphic>
              <a:graphicData uri="http://schemas.openxmlformats.org/drawingml/2006/picture">
                <pic:pic>
                  <pic:nvPicPr>
                    <pic:cNvPr descr="img/wiki2.PNG" id="226" name="Picture"/>
                    <pic:cNvPicPr>
                      <a:picLocks noChangeArrowheads="1" noChangeAspect="1"/>
                    </pic:cNvPicPr>
                  </pic:nvPicPr>
                  <pic:blipFill>
                    <a:blip r:embed="rId224"/>
                    <a:stretch>
                      <a:fillRect/>
                    </a:stretch>
                  </pic:blipFill>
                  <pic:spPr bwMode="auto">
                    <a:xfrm>
                      <a:off x="0" y="0"/>
                      <a:ext cx="5334000" cy="3375302"/>
                    </a:xfrm>
                    <a:prstGeom prst="rect">
                      <a:avLst/>
                    </a:prstGeom>
                    <a:noFill/>
                    <a:ln w="9525">
                      <a:noFill/>
                      <a:headEnd/>
                      <a:tailEnd/>
                    </a:ln>
                  </pic:spPr>
                </pic:pic>
              </a:graphicData>
            </a:graphic>
          </wp:inline>
        </w:drawing>
      </w:r>
    </w:p>
    <w:p>
      <w:pPr>
        <w:pStyle w:val="ImageCaption"/>
      </w:pPr>
      <w:r>
        <w:t xml:space="preserve">Figure 7.3: Example team wiki with links to frequently requested information</w:t>
      </w:r>
    </w:p>
    <w:p>
      <w:pPr>
        <w:pStyle w:val="BlockText"/>
      </w:pPr>
      <w:r>
        <w:rPr>
          <w:bCs/>
          <w:b/>
        </w:rPr>
        <w:t xml:space="preserve">Note</w:t>
      </w:r>
      <w:r>
        <w:t xml:space="preserve"> </w:t>
      </w:r>
      <w:r>
        <w:t xml:space="preserve"> </w:t>
      </w:r>
      <w:r>
        <w:t xml:space="preserve"> </w:t>
      </w:r>
      <w:r>
        <w:br/>
      </w:r>
      <w:r>
        <w:br/>
      </w:r>
      <w:r>
        <w:t xml:space="preserve">Project-level wikis can also be created and be very useful in centralizing frequently referenced information pertaining to specific projects.</w:t>
      </w:r>
    </w:p>
    <w:p>
      <w:pPr>
        <w:pStyle w:val="FirstParagraph"/>
      </w:pPr>
      <w:r>
        <w:rPr>
          <w:bCs/>
          <w:b/>
        </w:rPr>
        <w:t xml:space="preserve">Templates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Aly Lab</w:t>
            </w:r>
          </w:p>
        </w:tc>
        <w:tc>
          <w:tcPr/>
          <w:p>
            <w:pPr>
              <w:pStyle w:val="Compact"/>
              <w:jc w:val="left"/>
            </w:pPr>
            <w:r>
              <w:t xml:space="preserve">Example public lab wiki</w:t>
            </w:r>
            <w:r>
              <w:t xml:space="preserve"> </w:t>
            </w:r>
            <w:r>
              <w:rPr>
                <w:rStyle w:val="FootnoteReference"/>
              </w:rPr>
              <w:footnoteReference w:id="227"/>
            </w:r>
          </w:p>
        </w:tc>
      </w:tr>
      <w:tr>
        <w:tc>
          <w:tcPr/>
          <w:p>
            <w:pPr>
              <w:pStyle w:val="Compact"/>
              <w:jc w:val="left"/>
            </w:pPr>
            <w:r>
              <w:t xml:space="preserve">Notion</w:t>
            </w:r>
          </w:p>
        </w:tc>
        <w:tc>
          <w:tcPr/>
          <w:p>
            <w:pPr>
              <w:pStyle w:val="Compact"/>
              <w:jc w:val="left"/>
            </w:pPr>
            <w:r>
              <w:t xml:space="preserve">Company home wiki template</w:t>
            </w:r>
            <w:r>
              <w:t xml:space="preserve"> </w:t>
            </w:r>
            <w:r>
              <w:rPr>
                <w:rStyle w:val="FootnoteReference"/>
              </w:rPr>
              <w:footnoteReference w:id="229"/>
            </w:r>
          </w:p>
        </w:tc>
      </w:tr>
      <w:tr>
        <w:tc>
          <w:tcPr/>
          <w:p>
            <w:pPr>
              <w:pStyle w:val="Compact"/>
              <w:jc w:val="left"/>
            </w:pPr>
            <w:r>
              <w:t xml:space="preserve">SYNC Lab</w:t>
            </w:r>
          </w:p>
        </w:tc>
        <w:tc>
          <w:tcPr/>
          <w:p>
            <w:pPr>
              <w:pStyle w:val="Compact"/>
              <w:jc w:val="left"/>
            </w:pPr>
            <w:r>
              <w:t xml:space="preserve">Example public lab wiki</w:t>
            </w:r>
            <w:r>
              <w:t xml:space="preserve"> </w:t>
            </w:r>
            <w:r>
              <w:rPr>
                <w:rStyle w:val="FootnoteReference"/>
              </w:rPr>
              <w:footnoteReference w:id="231"/>
            </w:r>
          </w:p>
        </w:tc>
      </w:tr>
    </w:tbl>
    <w:bookmarkEnd w:id="233"/>
    <w:bookmarkStart w:id="240" w:name="onboardingoffboarding"/>
    <w:p>
      <w:pPr>
        <w:pStyle w:val="Heading3"/>
      </w:pPr>
      <w:r>
        <w:rPr>
          <w:rStyle w:val="SectionNumber"/>
        </w:rPr>
        <w:t xml:space="preserve">7.1.3</w:t>
      </w:r>
      <w:r>
        <w:tab/>
      </w:r>
      <w:r>
        <w:t xml:space="preserve">Onboarding/Offboarding</w:t>
      </w:r>
    </w:p>
    <w:p>
      <w:pPr>
        <w:pStyle w:val="FirstParagraph"/>
      </w:pPr>
      <w:r>
        <w:t xml:space="preserve">While</w:t>
      </w:r>
      <w:r>
        <w:t xml:space="preserve"> </w:t>
      </w:r>
      <w:r>
        <w:rPr>
          <w:bCs/>
          <w:b/>
        </w:rPr>
        <w:t xml:space="preserve">onboarding</w:t>
      </w:r>
      <w:r>
        <w:t xml:space="preserve"> </w:t>
      </w:r>
      <w:r>
        <w:t xml:space="preserve">checklists will mostly consist of non-data related, administrative information such as how to sign up for an email or how to get set up on your laptop, it should also contain several data specific pieces of information to get all new staff generally acclimated to working with data in their new role.</w:t>
      </w:r>
    </w:p>
    <w:p>
      <w:pPr>
        <w:pStyle w:val="BodyText"/>
      </w:pPr>
      <w:r>
        <w:t xml:space="preserve">Similarly, while</w:t>
      </w:r>
      <w:r>
        <w:t xml:space="preserve"> </w:t>
      </w:r>
      <w:r>
        <w:rPr>
          <w:bCs/>
          <w:b/>
        </w:rPr>
        <w:t xml:space="preserve">offboarding</w:t>
      </w:r>
      <w:r>
        <w:t xml:space="preserve"> </w:t>
      </w:r>
      <w:r>
        <w:t xml:space="preserve">checklists will contain a lot of procedural information about returning equipment and handing off tasks, it should also contain information specific to data management and documentation that help maintain data integrity and security.</w:t>
      </w:r>
    </w:p>
    <w:p>
      <w:pPr>
        <w:pStyle w:val="BodyText"/>
      </w:pPr>
      <w:r>
        <w:t xml:space="preserve">Data related topics to consider adding to your onboarding and offboarding checklists are included in Figure</w:t>
      </w:r>
      <w:r>
        <w:t xml:space="preserve"> </w:t>
      </w:r>
      <w:r>
        <w:t xml:space="preserve">7.4</w:t>
      </w:r>
      <w:r>
        <w:t xml:space="preserve">.</w:t>
      </w:r>
    </w:p>
    <w:p>
      <w:pPr>
        <w:pStyle w:val="CaptionedFigure"/>
      </w:pPr>
      <w:r>
        <w:drawing>
          <wp:inline>
            <wp:extent cx="5334000" cy="2373870"/>
            <wp:effectExtent b="0" l="0" r="0" t="0"/>
            <wp:docPr descr="Figure 7.4: Sample data topics to add to onboarding and offboarding checklists" title="" id="235" name="Picture"/>
            <a:graphic>
              <a:graphicData uri="http://schemas.openxmlformats.org/drawingml/2006/picture">
                <pic:pic>
                  <pic:nvPicPr>
                    <pic:cNvPr descr="img/onboard_offboard2.PNG" id="236" name="Picture"/>
                    <pic:cNvPicPr>
                      <a:picLocks noChangeArrowheads="1" noChangeAspect="1"/>
                    </pic:cNvPicPr>
                  </pic:nvPicPr>
                  <pic:blipFill>
                    <a:blip r:embed="rId234"/>
                    <a:stretch>
                      <a:fillRect/>
                    </a:stretch>
                  </pic:blipFill>
                  <pic:spPr bwMode="auto">
                    <a:xfrm>
                      <a:off x="0" y="0"/>
                      <a:ext cx="5334000" cy="2373870"/>
                    </a:xfrm>
                    <a:prstGeom prst="rect">
                      <a:avLst/>
                    </a:prstGeom>
                    <a:noFill/>
                    <a:ln w="9525">
                      <a:noFill/>
                      <a:headEnd/>
                      <a:tailEnd/>
                    </a:ln>
                  </pic:spPr>
                </pic:pic>
              </a:graphicData>
            </a:graphic>
          </wp:inline>
        </w:drawing>
      </w:r>
    </w:p>
    <w:p>
      <w:pPr>
        <w:pStyle w:val="ImageCaption"/>
      </w:pPr>
      <w:r>
        <w:t xml:space="preserve">Figure 7.4: Sample data topics to add to onboarding and offboarding checklists</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Sample data topics to add to an onboarding checklist</w:t>
            </w:r>
            <w:r>
              <w:t xml:space="preserve"> </w:t>
            </w:r>
            <w:r>
              <w:rPr>
                <w:rStyle w:val="FootnoteReference"/>
              </w:rPr>
              <w:footnoteReference w:id="237"/>
            </w:r>
          </w:p>
        </w:tc>
      </w:tr>
      <w:tr>
        <w:tc>
          <w:tcPr/>
          <w:p>
            <w:pPr>
              <w:pStyle w:val="Compact"/>
              <w:jc w:val="left"/>
            </w:pPr>
            <w:r>
              <w:t xml:space="preserve">Crystal Lewis</w:t>
            </w:r>
          </w:p>
        </w:tc>
        <w:tc>
          <w:tcPr/>
          <w:p>
            <w:pPr>
              <w:pStyle w:val="Compact"/>
              <w:jc w:val="left"/>
            </w:pPr>
            <w:r>
              <w:t xml:space="preserve">Sample data topics to add to an offboarding checklist</w:t>
            </w:r>
            <w:r>
              <w:t xml:space="preserve"> </w:t>
            </w:r>
            <w:r>
              <w:rPr>
                <w:rStyle w:val="FootnoteReference"/>
              </w:rPr>
              <w:footnoteReference w:id="239"/>
            </w:r>
          </w:p>
        </w:tc>
      </w:tr>
    </w:tbl>
    <w:bookmarkEnd w:id="240"/>
    <w:bookmarkStart w:id="246" w:name="dua"/>
    <w:p>
      <w:pPr>
        <w:pStyle w:val="Heading3"/>
      </w:pPr>
      <w:r>
        <w:rPr>
          <w:rStyle w:val="SectionNumber"/>
        </w:rPr>
        <w:t xml:space="preserve">7.1.4</w:t>
      </w:r>
      <w:r>
        <w:tab/>
      </w:r>
      <w:r>
        <w:t xml:space="preserve">Data Use Agreement</w:t>
      </w:r>
    </w:p>
    <w:p>
      <w:pPr>
        <w:pStyle w:val="FirstParagraph"/>
      </w:pPr>
      <w:r>
        <w:t xml:space="preserve">Typically when we think of a data use agreement (DUA) we think of a contractual document typically drafted in conjunction with an external partner to facilitate data sharing. It usually covers the terms for how someone is allowed to use data, considering things like access controls, research participant privacy, and data destruction rules</w:t>
      </w:r>
      <w:r>
        <w:t xml:space="preserve"> </w:t>
      </w:r>
      <w:r>
        <w:t xml:space="preserve">(</w:t>
      </w:r>
      <w:hyperlink w:anchor="ref-geraghty_formalize_nodate">
        <w:r>
          <w:rPr>
            <w:rStyle w:val="Hyperlink"/>
          </w:rPr>
          <w:t xml:space="preserve">Geraghty and Feeney n.d.</w:t>
        </w:r>
      </w:hyperlink>
      <w:r>
        <w:t xml:space="preserve">)</w:t>
      </w:r>
      <w:r>
        <w:t xml:space="preserve">.</w:t>
      </w:r>
    </w:p>
    <w:p>
      <w:pPr>
        <w:pStyle w:val="BodyText"/>
      </w:pPr>
      <w:r>
        <w:t xml:space="preserve">However, internally, DUAs can also be very useful in developing a cohesive understanding among team members regarding the terms and conditions of project data use</w:t>
      </w:r>
      <w:r>
        <w:t xml:space="preserve"> </w:t>
      </w:r>
      <w:r>
        <w:t xml:space="preserve">(</w:t>
      </w:r>
      <w:hyperlink w:anchor="ref-cessda_data_nodate">
        <w:r>
          <w:rPr>
            <w:rStyle w:val="Hyperlink"/>
          </w:rPr>
          <w:t xml:space="preserve">CESSDA n.d.a</w:t>
        </w:r>
      </w:hyperlink>
      <w:r>
        <w:t xml:space="preserve">)</w:t>
      </w:r>
      <w:r>
        <w:t xml:space="preserve">. Rules for securely working with data can be added to a lab manual, as many people do, or they can be added to a separate data use agreement where staff members can sign</w:t>
      </w:r>
      <w:r>
        <w:t xml:space="preserve"> </w:t>
      </w:r>
      <w:r>
        <w:t xml:space="preserve">(</w:t>
      </w:r>
      <w:hyperlink w:anchor="ref-filip_san_nodate">
        <w:r>
          <w:rPr>
            <w:rStyle w:val="Hyperlink"/>
          </w:rPr>
          <w:t xml:space="preserve">Filip, n.d.</w:t>
        </w:r>
      </w:hyperlink>
      <w:r>
        <w:t xml:space="preserve">)</w:t>
      </w:r>
      <w:r>
        <w:t xml:space="preserve"> </w:t>
      </w:r>
      <w:r>
        <w:t xml:space="preserve">or check a box acknowledging that they have read and understand the policies.</w:t>
      </w:r>
    </w:p>
    <w:p>
      <w:pPr>
        <w:pStyle w:val="BodyText"/>
      </w:pPr>
      <w:r>
        <w:t xml:space="preserve">Ideas of content to include in a DUA are included in Figure</w:t>
      </w:r>
      <w:r>
        <w:t xml:space="preserve"> </w:t>
      </w:r>
      <w:r>
        <w:t xml:space="preserve">7.5</w:t>
      </w:r>
      <w:r>
        <w:t xml:space="preserve">.</w:t>
      </w:r>
    </w:p>
    <w:p>
      <w:pPr>
        <w:pStyle w:val="CaptionedFigure"/>
      </w:pPr>
      <w:r>
        <w:drawing>
          <wp:inline>
            <wp:extent cx="5334000" cy="2891462"/>
            <wp:effectExtent b="0" l="0" r="0" t="0"/>
            <wp:docPr descr="Figure 7.5: Example of content to include in an internal data use agreement" title="" id="242" name="Picture"/>
            <a:graphic>
              <a:graphicData uri="http://schemas.openxmlformats.org/drawingml/2006/picture">
                <pic:pic>
                  <pic:nvPicPr>
                    <pic:cNvPr descr="img/DUA2.PNG" id="243" name="Picture"/>
                    <pic:cNvPicPr>
                      <a:picLocks noChangeArrowheads="1" noChangeAspect="1"/>
                    </pic:cNvPicPr>
                  </pic:nvPicPr>
                  <pic:blipFill>
                    <a:blip r:embed="rId241"/>
                    <a:stretch>
                      <a:fillRect/>
                    </a:stretch>
                  </pic:blipFill>
                  <pic:spPr bwMode="auto">
                    <a:xfrm>
                      <a:off x="0" y="0"/>
                      <a:ext cx="5334000" cy="2891462"/>
                    </a:xfrm>
                    <a:prstGeom prst="rect">
                      <a:avLst/>
                    </a:prstGeom>
                    <a:noFill/>
                    <a:ln w="9525">
                      <a:noFill/>
                      <a:headEnd/>
                      <a:tailEnd/>
                    </a:ln>
                  </pic:spPr>
                </pic:pic>
              </a:graphicData>
            </a:graphic>
          </wp:inline>
        </w:drawing>
      </w:r>
    </w:p>
    <w:p>
      <w:pPr>
        <w:pStyle w:val="ImageCaption"/>
      </w:pPr>
      <w:r>
        <w:t xml:space="preserve">Figure 7.5: Example of content to include in an internal data use agreement</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Example of content to include in an internal data use agreement</w:t>
            </w:r>
            <w:r>
              <w:t xml:space="preserve"> </w:t>
            </w:r>
            <w:r>
              <w:rPr>
                <w:rStyle w:val="FootnoteReference"/>
              </w:rPr>
              <w:footnoteReference w:id="244"/>
            </w:r>
          </w:p>
        </w:tc>
      </w:tr>
    </w:tbl>
    <w:bookmarkEnd w:id="246"/>
    <w:bookmarkStart w:id="251" w:name="styleshort"/>
    <w:p>
      <w:pPr>
        <w:pStyle w:val="Heading3"/>
      </w:pPr>
      <w:r>
        <w:rPr>
          <w:rStyle w:val="SectionNumber"/>
        </w:rPr>
        <w:t xml:space="preserve">7.1.5</w:t>
      </w:r>
      <w:r>
        <w:tab/>
      </w:r>
      <w:r>
        <w:t xml:space="preserve">Style Guide</w:t>
      </w:r>
    </w:p>
    <w:p>
      <w:pPr>
        <w:pStyle w:val="FirstParagraph"/>
      </w:pPr>
      <w:r>
        <w:t xml:space="preserve">A style guide is a set of standards for the formatting of information</w:t>
      </w:r>
      <w:r>
        <w:t xml:space="preserve"> </w:t>
      </w:r>
      <w:r>
        <w:t xml:space="preserve">(</w:t>
      </w:r>
      <w:hyperlink w:anchor="ref-noauthor_style_2023">
        <w:r>
          <w:rPr>
            <w:rStyle w:val="Hyperlink"/>
          </w:rPr>
          <w:t xml:space="preserve">“Style Guide”</w:t>
        </w:r>
        <w:r>
          <w:rPr>
            <w:rStyle w:val="Hyperlink"/>
          </w:rPr>
          <w:t xml:space="preserve"> </w:t>
        </w:r>
        <w:r>
          <w:rPr>
            <w:rStyle w:val="Hyperlink"/>
          </w:rPr>
          <w:t xml:space="preserve">2023</w:t>
        </w:r>
      </w:hyperlink>
      <w:r>
        <w:t xml:space="preserve">)</w:t>
      </w:r>
      <w:r>
        <w:t xml:space="preserve">. It improves consistency and a shared understanding within and across files and projects. This document includes conventions for procedures such as variable naming, variable value coding, file naming, versioning, file structure, and even coding practices. It can be created in one large document or separate files for each type of procedure. I highly recommend applying your style guide consistently across all projects, hence why this is included in the team documentation. Since style guides are so important, and there are so many recommended practices to cover, I have given this document its own chapter. See Chapter</w:t>
      </w:r>
      <w:r>
        <w:t xml:space="preserve"> </w:t>
      </w:r>
      <w:r>
        <w:t xml:space="preserve">8</w:t>
      </w:r>
      <w:r>
        <w:t xml:space="preserve"> </w:t>
      </w:r>
      <w:r>
        <w:t xml:space="preserve">for more information.</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Hadley Wickham</w:t>
            </w:r>
          </w:p>
        </w:tc>
        <w:tc>
          <w:tcPr/>
          <w:p>
            <w:pPr>
              <w:pStyle w:val="Compact"/>
              <w:jc w:val="left"/>
            </w:pPr>
            <w:r>
              <w:t xml:space="preserve">Example R coding style guide</w:t>
            </w:r>
            <w:r>
              <w:t xml:space="preserve"> </w:t>
            </w:r>
            <w:r>
              <w:rPr>
                <w:rStyle w:val="FootnoteReference"/>
              </w:rPr>
              <w:footnoteReference w:id="247"/>
            </w:r>
          </w:p>
        </w:tc>
      </w:tr>
      <w:tr>
        <w:tc>
          <w:tcPr/>
          <w:p>
            <w:pPr>
              <w:pStyle w:val="Compact"/>
              <w:jc w:val="left"/>
            </w:pPr>
            <w:r>
              <w:t xml:space="preserve">Strategic Data Project</w:t>
            </w:r>
          </w:p>
        </w:tc>
        <w:tc>
          <w:tcPr/>
          <w:p>
            <w:pPr>
              <w:pStyle w:val="Compact"/>
              <w:jc w:val="left"/>
            </w:pPr>
            <w:r>
              <w:t xml:space="preserve">Example style guide</w:t>
            </w:r>
            <w:r>
              <w:t xml:space="preserve"> </w:t>
            </w:r>
            <w:r>
              <w:rPr>
                <w:rStyle w:val="FootnoteReference"/>
              </w:rPr>
              <w:footnoteReference w:id="249"/>
            </w:r>
          </w:p>
        </w:tc>
      </w:tr>
    </w:tbl>
    <w:bookmarkEnd w:id="251"/>
    <w:bookmarkEnd w:id="252"/>
    <w:bookmarkStart w:id="291" w:name="project-level"/>
    <w:p>
      <w:pPr>
        <w:pStyle w:val="Heading2"/>
      </w:pPr>
      <w:r>
        <w:rPr>
          <w:rStyle w:val="SectionNumber"/>
        </w:rPr>
        <w:t xml:space="preserve">7.2</w:t>
      </w:r>
      <w:r>
        <w:tab/>
      </w:r>
      <w:r>
        <w:t xml:space="preserve">Project Level</w:t>
      </w:r>
    </w:p>
    <w:p>
      <w:pPr>
        <w:pStyle w:val="FirstParagraph"/>
      </w:pPr>
      <w:r>
        <w:t xml:space="preserve">Project-level documentation is where all descriptive information about your project is contained, as well as any planning decisions and process documentation specifically related to your project. Again, while most of these documents are created in the documentation phase, some documents such as the data management plan (started before your project is funded), checklists and meeting notes (started during the planning phase), or a participant flow diagram (started after data is collected) will begin at other points throughout the cycle.</w:t>
      </w:r>
    </w:p>
    <w:bookmarkStart w:id="253" w:name="data-management-plan"/>
    <w:p>
      <w:pPr>
        <w:pStyle w:val="Heading3"/>
      </w:pPr>
      <w:r>
        <w:rPr>
          <w:rStyle w:val="SectionNumber"/>
        </w:rPr>
        <w:t xml:space="preserve">7.2.1</w:t>
      </w:r>
      <w:r>
        <w:tab/>
      </w:r>
      <w:r>
        <w:t xml:space="preserve">Data Management Plan</w:t>
      </w:r>
    </w:p>
    <w:p>
      <w:pPr>
        <w:pStyle w:val="FirstParagraph"/>
      </w:pPr>
      <w:r>
        <w:t xml:space="preserve">This is the first project-level document that will be created in your research project life cycle. See Chapter</w:t>
      </w:r>
      <w:r>
        <w:t xml:space="preserve"> </w:t>
      </w:r>
      <w:r>
        <w:t xml:space="preserve">4</w:t>
      </w:r>
      <w:r>
        <w:t xml:space="preserve"> </w:t>
      </w:r>
      <w:r>
        <w:t xml:space="preserve">to review details about this document. The only other note to mention here is that your DMP can continue to be modified throughout your entire study. If any major changes are made, it may be helpful to reach out to your program officer to keep them in the loop as well.</w:t>
      </w:r>
    </w:p>
    <w:bookmarkEnd w:id="253"/>
    <w:bookmarkStart w:id="254" w:name="checklists-and-meeting-notes"/>
    <w:p>
      <w:pPr>
        <w:pStyle w:val="Heading3"/>
      </w:pPr>
      <w:r>
        <w:rPr>
          <w:rStyle w:val="SectionNumber"/>
        </w:rPr>
        <w:t xml:space="preserve">7.2.2</w:t>
      </w:r>
      <w:r>
        <w:tab/>
      </w:r>
      <w:r>
        <w:t xml:space="preserve">Checklists and meeting notes</w:t>
      </w:r>
    </w:p>
    <w:p>
      <w:pPr>
        <w:pStyle w:val="FirstParagraph"/>
      </w:pPr>
      <w:r>
        <w:t xml:space="preserve">See Chapter @ref(#plan) to learn more about these documents. Both checklists and meeting notes are key planning documents as you start to build your other project as well as data and variable-level documents.</w:t>
      </w:r>
    </w:p>
    <w:bookmarkEnd w:id="254"/>
    <w:bookmarkStart w:id="257" w:name="roles-and-responsibilities-document"/>
    <w:p>
      <w:pPr>
        <w:pStyle w:val="Heading3"/>
      </w:pPr>
      <w:r>
        <w:rPr>
          <w:rStyle w:val="SectionNumber"/>
        </w:rPr>
        <w:t xml:space="preserve">7.2.3</w:t>
      </w:r>
      <w:r>
        <w:tab/>
      </w:r>
      <w:r>
        <w:t xml:space="preserve">Roles and responsibilities document</w:t>
      </w:r>
    </w:p>
    <w:p>
      <w:pPr>
        <w:pStyle w:val="FirstParagraph"/>
      </w:pPr>
      <w:r>
        <w:t xml:space="preserve">Using the checklists created during the planning phase, your team should begin assigning roles and responsibilities for your project. In the planning and documentation phase, those designations should be formally documented and shared with the team. In Chapter @ref(#roles) we reviewed ways to structure this document. Once this document is created, make sure to store it in a central location for easy referral and update the document as needed.</w:t>
      </w:r>
    </w:p>
    <w:p>
      <w:pPr>
        <w:pStyle w:val="BodyText"/>
      </w:pPr>
      <w:r>
        <w:rPr>
          <w:bCs/>
          <w:b/>
        </w:rPr>
        <w:t xml:space="preserve">Templates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Three roles and responsibilities templates</w:t>
            </w:r>
            <w:r>
              <w:t xml:space="preserve"> </w:t>
            </w:r>
            <w:r>
              <w:rPr>
                <w:rStyle w:val="FootnoteReference"/>
              </w:rPr>
              <w:footnoteReference w:id="255"/>
            </w:r>
          </w:p>
        </w:tc>
      </w:tr>
    </w:tbl>
    <w:bookmarkEnd w:id="257"/>
    <w:bookmarkStart w:id="271" w:name="protocol"/>
    <w:p>
      <w:pPr>
        <w:pStyle w:val="Heading3"/>
      </w:pPr>
      <w:r>
        <w:rPr>
          <w:rStyle w:val="SectionNumber"/>
        </w:rPr>
        <w:t xml:space="preserve">7.2.4</w:t>
      </w:r>
      <w:r>
        <w:tab/>
      </w:r>
      <w:r>
        <w:t xml:space="preserve">Research Protocol</w:t>
      </w:r>
    </w:p>
    <w:p>
      <w:pPr>
        <w:pStyle w:val="FirstParagraph"/>
      </w:pPr>
      <w:r>
        <w:t xml:space="preserve">The research protocol is a comprehensive project summary document that describes what, who, when, where, and how of your study. If you are submitting your study to your Institutional Review Board, you will most likely be required to submit this document as part of your application. A research protocol assists the board in determining if your methods provide adequate protection for human subjects. In addition to serving this required purpose, the research protocol is also an excellent document to share along with your data at the time of data sharing, and an excellent resource for you when writing technical reports or manuscripts. This document provides all context needed for you and others to effectively interpret and use your data. Make sure to follow your university’s specific template if provided, but common items typically included in a protocol are provided in Figure</w:t>
      </w:r>
      <w:r>
        <w:t xml:space="preserve"> </w:t>
      </w:r>
      <w:r>
        <w:t xml:space="preserve">7.6</w:t>
      </w:r>
      <w:r>
        <w:t xml:space="preserve">.</w:t>
      </w:r>
    </w:p>
    <w:p>
      <w:pPr>
        <w:pStyle w:val="CaptionedFigure"/>
      </w:pPr>
      <w:r>
        <w:drawing>
          <wp:inline>
            <wp:extent cx="5334000" cy="1654581"/>
            <wp:effectExtent b="0" l="0" r="0" t="0"/>
            <wp:docPr descr="Figure 7.6: Common research protocol elements" title="" id="259" name="Picture"/>
            <a:graphic>
              <a:graphicData uri="http://schemas.openxmlformats.org/drawingml/2006/picture">
                <pic:pic>
                  <pic:nvPicPr>
                    <pic:cNvPr descr="img/protocol2.PNG" id="260" name="Picture"/>
                    <pic:cNvPicPr>
                      <a:picLocks noChangeArrowheads="1" noChangeAspect="1"/>
                    </pic:cNvPicPr>
                  </pic:nvPicPr>
                  <pic:blipFill>
                    <a:blip r:embed="rId258"/>
                    <a:stretch>
                      <a:fillRect/>
                    </a:stretch>
                  </pic:blipFill>
                  <pic:spPr bwMode="auto">
                    <a:xfrm>
                      <a:off x="0" y="0"/>
                      <a:ext cx="5334000" cy="1654581"/>
                    </a:xfrm>
                    <a:prstGeom prst="rect">
                      <a:avLst/>
                    </a:prstGeom>
                    <a:noFill/>
                    <a:ln w="9525">
                      <a:noFill/>
                      <a:headEnd/>
                      <a:tailEnd/>
                    </a:ln>
                  </pic:spPr>
                </pic:pic>
              </a:graphicData>
            </a:graphic>
          </wp:inline>
        </w:drawing>
      </w:r>
    </w:p>
    <w:p>
      <w:pPr>
        <w:pStyle w:val="ImageCaption"/>
      </w:pPr>
      <w:r>
        <w:t xml:space="preserve">Figure 7.6: Common research protocol elements</w:t>
      </w:r>
    </w:p>
    <w:p>
      <w:pPr>
        <w:pStyle w:val="BodyText"/>
      </w:pPr>
      <w:r>
        <w:t xml:space="preserve">When it comes time to deposit your data in a repository, the protocol can be revised to contain information helpful for a data end user. Content such as risks and benefits to participants might be removed, and numbers such as study sample count should be updated to show your final numbers. Additional</w:t>
      </w:r>
      <w:r>
        <w:t xml:space="preserve"> </w:t>
      </w:r>
      <w:hyperlink w:anchor="supplement">
        <w:r>
          <w:rPr>
            <w:rStyle w:val="Hyperlink"/>
          </w:rPr>
          <w:t xml:space="preserve">supplemental information</w:t>
        </w:r>
      </w:hyperlink>
      <w:r>
        <w:t xml:space="preserve"> </w:t>
      </w:r>
      <w:r>
        <w:t xml:space="preserve">can also be added as needed.</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A template to create a project-level summary document for data sharing (based on an IRB research protocol)</w:t>
            </w:r>
            <w:r>
              <w:t xml:space="preserve"> </w:t>
            </w:r>
            <w:r>
              <w:rPr>
                <w:rStyle w:val="FootnoteReference"/>
              </w:rPr>
              <w:footnoteReference w:id="261"/>
            </w:r>
          </w:p>
        </w:tc>
      </w:tr>
      <w:tr>
        <w:tc>
          <w:tcPr/>
          <w:p>
            <w:pPr>
              <w:pStyle w:val="Compact"/>
              <w:jc w:val="left"/>
            </w:pPr>
            <w:r>
              <w:t xml:space="preserve">Jeffrey Shero, Sara Hart</w:t>
            </w:r>
          </w:p>
        </w:tc>
        <w:tc>
          <w:tcPr/>
          <w:p>
            <w:pPr>
              <w:pStyle w:val="Compact"/>
              <w:jc w:val="left"/>
            </w:pPr>
            <w:r>
              <w:t xml:space="preserve">IRB protocol template with a focus on data sharing</w:t>
            </w:r>
            <w:r>
              <w:t xml:space="preserve"> </w:t>
            </w:r>
            <w:r>
              <w:rPr>
                <w:rStyle w:val="FootnoteReference"/>
              </w:rPr>
              <w:footnoteReference w:id="263"/>
            </w:r>
          </w:p>
        </w:tc>
      </w:tr>
      <w:tr>
        <w:tc>
          <w:tcPr/>
          <w:p>
            <w:pPr>
              <w:pStyle w:val="Compact"/>
              <w:jc w:val="left"/>
            </w:pPr>
            <w:r>
              <w:t xml:space="preserve">The Ohio State University</w:t>
            </w:r>
          </w:p>
        </w:tc>
        <w:tc>
          <w:tcPr/>
          <w:p>
            <w:pPr>
              <w:pStyle w:val="Compact"/>
              <w:jc w:val="left"/>
            </w:pPr>
            <w:r>
              <w:t xml:space="preserve">Protocol template</w:t>
            </w:r>
            <w:r>
              <w:t xml:space="preserve"> </w:t>
            </w:r>
            <w:r>
              <w:rPr>
                <w:rStyle w:val="FootnoteReference"/>
              </w:rPr>
              <w:footnoteReference w:id="265"/>
            </w:r>
          </w:p>
        </w:tc>
      </w:tr>
      <w:tr>
        <w:tc>
          <w:tcPr/>
          <w:p>
            <w:pPr>
              <w:pStyle w:val="Compact"/>
              <w:jc w:val="left"/>
            </w:pPr>
            <w:r>
              <w:t xml:space="preserve">University of Missouri</w:t>
            </w:r>
          </w:p>
        </w:tc>
        <w:tc>
          <w:tcPr/>
          <w:p>
            <w:pPr>
              <w:pStyle w:val="Compact"/>
              <w:jc w:val="left"/>
            </w:pPr>
            <w:r>
              <w:t xml:space="preserve">Protocol template</w:t>
            </w:r>
            <w:r>
              <w:t xml:space="preserve"> </w:t>
            </w:r>
            <w:r>
              <w:rPr>
                <w:rStyle w:val="FootnoteReference"/>
              </w:rPr>
              <w:footnoteReference w:id="267"/>
            </w:r>
          </w:p>
        </w:tc>
      </w:tr>
      <w:tr>
        <w:tc>
          <w:tcPr/>
          <w:p>
            <w:pPr>
              <w:pStyle w:val="Compact"/>
              <w:jc w:val="left"/>
            </w:pPr>
            <w:r>
              <w:t xml:space="preserve">University of Washington</w:t>
            </w:r>
          </w:p>
        </w:tc>
        <w:tc>
          <w:tcPr/>
          <w:p>
            <w:pPr>
              <w:pStyle w:val="Compact"/>
              <w:jc w:val="left"/>
            </w:pPr>
            <w:r>
              <w:t xml:space="preserve">Protocol checklist</w:t>
            </w:r>
            <w:r>
              <w:t xml:space="preserve"> </w:t>
            </w:r>
            <w:r>
              <w:rPr>
                <w:rStyle w:val="FootnoteReference"/>
              </w:rPr>
              <w:footnoteReference w:id="269"/>
            </w:r>
          </w:p>
        </w:tc>
      </w:tr>
    </w:tbl>
    <w:bookmarkEnd w:id="271"/>
    <w:bookmarkStart w:id="281" w:name="supplement"/>
    <w:p>
      <w:pPr>
        <w:pStyle w:val="Heading3"/>
      </w:pPr>
      <w:r>
        <w:rPr>
          <w:rStyle w:val="SectionNumber"/>
        </w:rPr>
        <w:t xml:space="preserve">7.2.5</w:t>
      </w:r>
      <w:r>
        <w:tab/>
      </w:r>
      <w:r>
        <w:t xml:space="preserve">Supplemental Documents</w:t>
      </w:r>
    </w:p>
    <w:p>
      <w:pPr>
        <w:pStyle w:val="FirstParagraph"/>
      </w:pPr>
      <w:r>
        <w:t xml:space="preserve">There is a series of documents, that while they can absolutely be standalone documents, I am calling supplemental documents here because they can be added to your research protocol as an addendum at any point to further clarify specifics of your project.</w:t>
      </w:r>
    </w:p>
    <w:p>
      <w:pPr>
        <w:numPr>
          <w:ilvl w:val="0"/>
          <w:numId w:val="1061"/>
        </w:numPr>
        <w:pStyle w:val="Compact"/>
      </w:pPr>
      <w:r>
        <w:t xml:space="preserve">Timeline</w:t>
      </w:r>
    </w:p>
    <w:p>
      <w:pPr>
        <w:pStyle w:val="FirstParagraph"/>
      </w:pPr>
      <w:r>
        <w:t xml:space="preserve">The first supplemental document that I highly recommend creating is a visual representation of your data collection timeline. When you first create these timelines they will be based on your best estimates of the time it will take to complete milestones, but like all documents we’ve discussed, they can be updated as you learn more about the reality of the workload. This document can be both a helpful planning tool (for both project and data teams) in preparing for times of heavier and lighter workloads, as well as an excellent document to share with future data users to better understand waves of data collection. There is no one format for how to create this document. Figure</w:t>
      </w:r>
      <w:r>
        <w:t xml:space="preserve"> </w:t>
      </w:r>
      <w:r>
        <w:t xml:space="preserve">7.7</w:t>
      </w:r>
      <w:r>
        <w:t xml:space="preserve"> </w:t>
      </w:r>
      <w:r>
        <w:t xml:space="preserve">is an example of one way to visualize a data collection timeline.</w:t>
      </w:r>
    </w:p>
    <w:p>
      <w:pPr>
        <w:pStyle w:val="CaptionedFigure"/>
      </w:pPr>
      <w:r>
        <w:drawing>
          <wp:inline>
            <wp:extent cx="5334000" cy="1153933"/>
            <wp:effectExtent b="0" l="0" r="0" t="0"/>
            <wp:docPr descr="Figure 7.7: Example data collection timeline" title="" id="273" name="Picture"/>
            <a:graphic>
              <a:graphicData uri="http://schemas.openxmlformats.org/drawingml/2006/picture">
                <pic:pic>
                  <pic:nvPicPr>
                    <pic:cNvPr descr="img/timeline.PNG" id="274" name="Picture"/>
                    <pic:cNvPicPr>
                      <a:picLocks noChangeArrowheads="1" noChangeAspect="1"/>
                    </pic:cNvPicPr>
                  </pic:nvPicPr>
                  <pic:blipFill>
                    <a:blip r:embed="rId272"/>
                    <a:stretch>
                      <a:fillRect/>
                    </a:stretch>
                  </pic:blipFill>
                  <pic:spPr bwMode="auto">
                    <a:xfrm>
                      <a:off x="0" y="0"/>
                      <a:ext cx="5334000" cy="1153933"/>
                    </a:xfrm>
                    <a:prstGeom prst="rect">
                      <a:avLst/>
                    </a:prstGeom>
                    <a:noFill/>
                    <a:ln w="9525">
                      <a:noFill/>
                      <a:headEnd/>
                      <a:tailEnd/>
                    </a:ln>
                  </pic:spPr>
                </pic:pic>
              </a:graphicData>
            </a:graphic>
          </wp:inline>
        </w:drawing>
      </w:r>
    </w:p>
    <w:p>
      <w:pPr>
        <w:pStyle w:val="ImageCaption"/>
      </w:pPr>
      <w:r>
        <w:t xml:space="preserve">Figure 7.7: Example data collection timeline</w:t>
      </w:r>
    </w:p>
    <w:p>
      <w:pPr>
        <w:numPr>
          <w:ilvl w:val="0"/>
          <w:numId w:val="1062"/>
        </w:numPr>
        <w:pStyle w:val="Compact"/>
      </w:pPr>
      <w:r>
        <w:t xml:space="preserve">Participant Flow Diagram</w:t>
      </w:r>
    </w:p>
    <w:p>
      <w:pPr>
        <w:pStyle w:val="FirstParagraph"/>
      </w:pPr>
      <w:r>
        <w:t xml:space="preserve">A participant flow diagram displays the movement of participants through a study, assisting researchers in better understanding milestones such as eligibility, enrollment, and final sample counts. These diagrams are helpful for assessing study attrition and reasons for missing data can be described in the diagram</w:t>
      </w:r>
      <w:r>
        <w:t xml:space="preserve"> </w:t>
      </w:r>
      <w:r>
        <w:t xml:space="preserve">(</w:t>
      </w:r>
      <w:hyperlink w:anchor="ref-nahmias_effects_2022">
        <w:r>
          <w:rPr>
            <w:rStyle w:val="Hyperlink"/>
          </w:rPr>
          <w:t xml:space="preserve">Nahmias et al. 2022</w:t>
        </w:r>
      </w:hyperlink>
      <w:r>
        <w:t xml:space="preserve">)</w:t>
      </w:r>
      <w:r>
        <w:t xml:space="preserve">. In randomized controlled trial studies, these visualizations are more formally referred to as CONSORT (Consolidated Standards of Reporting Trials) diagrams,</w:t>
      </w:r>
      <w:r>
        <w:t xml:space="preserve"> </w:t>
      </w:r>
      <w:r>
        <w:t xml:space="preserve">(</w:t>
      </w:r>
      <w:hyperlink w:anchor="ref-schulz_consort_2010">
        <w:r>
          <w:rPr>
            <w:rStyle w:val="Hyperlink"/>
          </w:rPr>
          <w:t xml:space="preserve">Schulz et al. 2010</w:t>
        </w:r>
      </w:hyperlink>
      <w:r>
        <w:t xml:space="preserve">;</w:t>
      </w:r>
      <w:r>
        <w:t xml:space="preserve"> </w:t>
      </w:r>
      <w:hyperlink w:anchor="ref-noauthor_consort_nodate">
        <w:r>
          <w:rPr>
            <w:rStyle w:val="Hyperlink"/>
          </w:rPr>
          <w:t xml:space="preserve">“</w:t>
        </w:r>
        <w:r>
          <w:rPr>
            <w:rStyle w:val="Hyperlink"/>
          </w:rPr>
          <w:t xml:space="preserve">CONSORT</w:t>
        </w:r>
        <w:r>
          <w:rPr>
            <w:rStyle w:val="Hyperlink"/>
          </w:rPr>
          <w:t xml:space="preserve"> </w:t>
        </w:r>
        <w:r>
          <w:rPr>
            <w:rStyle w:val="Hyperlink"/>
          </w:rPr>
          <w:t xml:space="preserve">2010</w:t>
        </w:r>
        <w:r>
          <w:rPr>
            <w:rStyle w:val="Hyperlink"/>
          </w:rPr>
          <w:t xml:space="preserve"> </w:t>
        </w:r>
        <w:r>
          <w:rPr>
            <w:rStyle w:val="Hyperlink"/>
          </w:rPr>
          <w:t xml:space="preserve">Flow</w:t>
        </w:r>
        <w:r>
          <w:rPr>
            <w:rStyle w:val="Hyperlink"/>
          </w:rPr>
          <w:t xml:space="preserve"> </w:t>
        </w:r>
        <w:r>
          <w:rPr>
            <w:rStyle w:val="Hyperlink"/>
          </w:rPr>
          <w:t xml:space="preserve">Diagram</w:t>
        </w:r>
        <w:r>
          <w:rPr>
            <w:rStyle w:val="Hyperlink"/>
          </w:rPr>
          <w:t xml:space="preserve">”</w:t>
        </w:r>
        <w:r>
          <w:rPr>
            <w:rStyle w:val="Hyperlink"/>
          </w:rPr>
          <w:t xml:space="preserve"> </w:t>
        </w:r>
        <w:r>
          <w:rPr>
            <w:rStyle w:val="Hyperlink"/>
          </w:rPr>
          <w:t xml:space="preserve">n.d.</w:t>
        </w:r>
      </w:hyperlink>
      <w:r>
        <w:t xml:space="preserve">)</w:t>
      </w:r>
      <w:r>
        <w:t xml:space="preserve"> </w:t>
      </w:r>
      <w:r>
        <w:t xml:space="preserve">as seen in Figure</w:t>
      </w:r>
      <w:r>
        <w:t xml:space="preserve"> </w:t>
      </w:r>
      <w:r>
        <w:t xml:space="preserve">7.8</w:t>
      </w:r>
      <w:r>
        <w:t xml:space="preserve">. They provide a means to understand how participants are randomized and assigned to treatment groups. As you can imagine though, this diagram cannot be created until at least one wave of data has been collected, and must be updated as more waves are collected. Your participant tracking database, which we will discuss in Chapter</w:t>
      </w:r>
      <w:r>
        <w:t xml:space="preserve"> </w:t>
      </w:r>
      <w:r>
        <w:t xml:space="preserve">9</w:t>
      </w:r>
      <w:r>
        <w:t xml:space="preserve">, will inform the creation of this diagram.</w:t>
      </w:r>
    </w:p>
    <w:p>
      <w:pPr>
        <w:pStyle w:val="CaptionedFigure"/>
      </w:pPr>
      <w:r>
        <w:drawing>
          <wp:inline>
            <wp:extent cx="4245885" cy="3804671"/>
            <wp:effectExtent b="0" l="0" r="0" t="0"/>
            <wp:docPr descr="Figure 7.8: 2010 CONSORT flow diagram template" title="" id="276" name="Picture"/>
            <a:graphic>
              <a:graphicData uri="http://schemas.openxmlformats.org/drawingml/2006/picture">
                <pic:pic>
                  <pic:nvPicPr>
                    <pic:cNvPr descr="img/consort.PNG" id="277" name="Picture"/>
                    <pic:cNvPicPr>
                      <a:picLocks noChangeArrowheads="1" noChangeAspect="1"/>
                    </pic:cNvPicPr>
                  </pic:nvPicPr>
                  <pic:blipFill>
                    <a:blip r:embed="rId275"/>
                    <a:stretch>
                      <a:fillRect/>
                    </a:stretch>
                  </pic:blipFill>
                  <pic:spPr bwMode="auto">
                    <a:xfrm>
                      <a:off x="0" y="0"/>
                      <a:ext cx="4245885" cy="3804671"/>
                    </a:xfrm>
                    <a:prstGeom prst="rect">
                      <a:avLst/>
                    </a:prstGeom>
                    <a:noFill/>
                    <a:ln w="9525">
                      <a:noFill/>
                      <a:headEnd/>
                      <a:tailEnd/>
                    </a:ln>
                  </pic:spPr>
                </pic:pic>
              </a:graphicData>
            </a:graphic>
          </wp:inline>
        </w:drawing>
      </w:r>
    </w:p>
    <w:p>
      <w:pPr>
        <w:pStyle w:val="ImageCaption"/>
      </w:pPr>
      <w:r>
        <w:t xml:space="preserve">Figure 7.8: 2010 CONSORT flow diagram template</w:t>
      </w:r>
    </w:p>
    <w:p>
      <w:pPr>
        <w:numPr>
          <w:ilvl w:val="0"/>
          <w:numId w:val="1063"/>
        </w:numPr>
        <w:pStyle w:val="Compact"/>
      </w:pPr>
      <w:r>
        <w:t xml:space="preserve">Instruments</w:t>
      </w:r>
    </w:p>
    <w:p>
      <w:pPr>
        <w:pStyle w:val="FirstParagraph"/>
      </w:pPr>
      <w:r>
        <w:t xml:space="preserve">Actual copies of instruments can be included as supplemental documentation. This includes copies of surveys, assessments, forms, and so forth. It can also include any technical documents associated with your instruments or measures (i.e. a technical document for an assessment or a publication associated with a measure you used). Sometimes researchers will annotate instruments to show how items were named or coded.</w:t>
      </w:r>
    </w:p>
    <w:p>
      <w:pPr>
        <w:numPr>
          <w:ilvl w:val="0"/>
          <w:numId w:val="1064"/>
        </w:numPr>
        <w:pStyle w:val="Compact"/>
      </w:pPr>
      <w:r>
        <w:t xml:space="preserve">Flowchart of data collection instruments/screeners</w:t>
      </w:r>
    </w:p>
    <w:p>
      <w:pPr>
        <w:pStyle w:val="FirstParagraph"/>
      </w:pPr>
      <w:r>
        <w:t xml:space="preserve">You can also include flowcharts of how participants were provided or assigned to different instruments or screeners to help users better understand issues such as missing data</w:t>
      </w:r>
      <w:r>
        <w:t xml:space="preserve"> </w:t>
      </w:r>
      <w:r>
        <w:t xml:space="preserve">(</w:t>
      </w:r>
      <w:hyperlink w:anchor="ref-tourangeau_early_2015">
        <w:r>
          <w:rPr>
            <w:rStyle w:val="Hyperlink"/>
          </w:rPr>
          <w:t xml:space="preserve">Tourangeau 2015</w:t>
        </w:r>
      </w:hyperlink>
      <w:r>
        <w:t xml:space="preserve">)</w:t>
      </w:r>
      <w:r>
        <w:t xml:space="preserve">.</w:t>
      </w:r>
    </w:p>
    <w:p>
      <w:pPr>
        <w:pStyle w:val="CaptionedFigure"/>
      </w:pPr>
      <w:r>
        <w:drawing>
          <wp:inline>
            <wp:extent cx="5334000" cy="4916439"/>
            <wp:effectExtent b="0" l="0" r="0" t="0"/>
            <wp:docPr descr="Figure 7.9: Flowchart of an ECLS-K:2011 kindergarten assessment" title="" id="279" name="Picture"/>
            <a:graphic>
              <a:graphicData uri="http://schemas.openxmlformats.org/drawingml/2006/picture">
                <pic:pic>
                  <pic:nvPicPr>
                    <pic:cNvPr descr="img/flowchart.PNG" id="280" name="Picture"/>
                    <pic:cNvPicPr>
                      <a:picLocks noChangeArrowheads="1" noChangeAspect="1"/>
                    </pic:cNvPicPr>
                  </pic:nvPicPr>
                  <pic:blipFill>
                    <a:blip r:embed="rId278"/>
                    <a:stretch>
                      <a:fillRect/>
                    </a:stretch>
                  </pic:blipFill>
                  <pic:spPr bwMode="auto">
                    <a:xfrm>
                      <a:off x="0" y="0"/>
                      <a:ext cx="5334000" cy="4916439"/>
                    </a:xfrm>
                    <a:prstGeom prst="rect">
                      <a:avLst/>
                    </a:prstGeom>
                    <a:noFill/>
                    <a:ln w="9525">
                      <a:noFill/>
                      <a:headEnd/>
                      <a:tailEnd/>
                    </a:ln>
                  </pic:spPr>
                </pic:pic>
              </a:graphicData>
            </a:graphic>
          </wp:inline>
        </w:drawing>
      </w:r>
    </w:p>
    <w:p>
      <w:pPr>
        <w:pStyle w:val="ImageCaption"/>
      </w:pPr>
      <w:r>
        <w:t xml:space="preserve">Figure 7.9: Flowchart of an ECLS-K:2011 kindergarten assessment</w:t>
      </w:r>
    </w:p>
    <w:p>
      <w:pPr>
        <w:numPr>
          <w:ilvl w:val="0"/>
          <w:numId w:val="1065"/>
        </w:numPr>
        <w:pStyle w:val="Compact"/>
      </w:pPr>
      <w:r>
        <w:t xml:space="preserve">Consent Forms</w:t>
      </w:r>
    </w:p>
    <w:p>
      <w:pPr>
        <w:pStyle w:val="FirstParagraph"/>
      </w:pPr>
      <w:hyperlink w:anchor="consent">
        <w:r>
          <w:rPr>
            <w:rStyle w:val="Hyperlink"/>
          </w:rPr>
          <w:t xml:space="preserve">Consent forms</w:t>
        </w:r>
      </w:hyperlink>
      <w:r>
        <w:t xml:space="preserve"> </w:t>
      </w:r>
      <w:r>
        <w:t xml:space="preserve">can also be added as an addendum to research protocols to give further insight into what information was provided to study participants.</w:t>
      </w:r>
    </w:p>
    <w:p>
      <w:pPr>
        <w:numPr>
          <w:ilvl w:val="0"/>
          <w:numId w:val="1066"/>
        </w:numPr>
        <w:pStyle w:val="Compact"/>
      </w:pPr>
      <w:r>
        <w:t xml:space="preserve">Related publications</w:t>
      </w:r>
    </w:p>
    <w:p>
      <w:pPr>
        <w:pStyle w:val="FirstParagraph"/>
      </w:pPr>
      <w:r>
        <w:t xml:space="preserve">You may also choose to attach any publications that have come from your data as an addendum to your protocol.</w:t>
      </w:r>
    </w:p>
    <w:bookmarkEnd w:id="281"/>
    <w:bookmarkStart w:id="290" w:name="sop"/>
    <w:p>
      <w:pPr>
        <w:pStyle w:val="Heading3"/>
      </w:pPr>
      <w:r>
        <w:rPr>
          <w:rStyle w:val="SectionNumber"/>
        </w:rPr>
        <w:t xml:space="preserve">7.2.6</w:t>
      </w:r>
      <w:r>
        <w:tab/>
      </w:r>
      <w:r>
        <w:t xml:space="preserve">Standard Operating Procedures</w:t>
      </w:r>
    </w:p>
    <w:p>
      <w:pPr>
        <w:pStyle w:val="FirstParagraph"/>
      </w:pPr>
      <w:r>
        <w:t xml:space="preserve">While the research protocol provides summary information for all decisions and procedures associated with a project, we still need documents to inform how the procedures are actually implemented on a daily basis</w:t>
      </w:r>
      <w:r>
        <w:t xml:space="preserve"> </w:t>
      </w:r>
      <w:r>
        <w:t xml:space="preserve">(</w:t>
      </w:r>
      <w:hyperlink w:anchor="ref-nucats_standard_nodate">
        <w:r>
          <w:rPr>
            <w:rStyle w:val="Hyperlink"/>
          </w:rPr>
          <w:t xml:space="preserve">NUCATS n.d.</w:t>
        </w:r>
      </w:hyperlink>
      <w:r>
        <w:t xml:space="preserve">)</w:t>
      </w:r>
      <w:r>
        <w:t xml:space="preserve">. Standard operating procedures (SOPs) provide a set of detailed instructions for routine tasks and decision making processes. If you recall from Chapter</w:t>
      </w:r>
      <w:r>
        <w:t xml:space="preserve"> </w:t>
      </w:r>
      <w:r>
        <w:t xml:space="preserve">5</w:t>
      </w:r>
      <w:r>
        <w:t xml:space="preserve">, every step that we added to a data collection workflow is then added to an SOP and the details fleshed out. Not only will you have an SOP for each type of data you are collecting (i.e., survey, assessments, observations), you should also have SOPs for any other decisions or processes that need to be repeated in a reproducible manner or followed in a specific way to maintain compliance</w:t>
      </w:r>
      <w:r>
        <w:t xml:space="preserve"> </w:t>
      </w:r>
      <w:r>
        <w:t xml:space="preserve">(</w:t>
      </w:r>
      <w:hyperlink w:anchor="ref-hollmann_ten_2020">
        <w:r>
          <w:rPr>
            <w:rStyle w:val="Hyperlink"/>
          </w:rPr>
          <w:t xml:space="preserve">Hollmann et al. 2020</w:t>
        </w:r>
      </w:hyperlink>
      <w:r>
        <w:t xml:space="preserve">)</w:t>
      </w:r>
      <w:r>
        <w:t xml:space="preserve">. Many of the decisions laid out in your protocol will be further detailed in an SOP. Examples of data management procedures to include in an SOP are provided in Figure</w:t>
      </w:r>
      <w:r>
        <w:t xml:space="preserve"> </w:t>
      </w:r>
      <w:r>
        <w:t xml:space="preserve">7.10</w:t>
      </w:r>
      <w:r>
        <w:t xml:space="preserve">. Additional project management tasks such as recruitment procedures, personnel training, data collection scheduling, or in-field data collection routines, should also be documented in SOPs, ensuring fidelity of implementation for all project procedures.</w:t>
      </w:r>
    </w:p>
    <w:p>
      <w:pPr>
        <w:pStyle w:val="CaptionedFigure"/>
      </w:pPr>
      <w:r>
        <w:drawing>
          <wp:inline>
            <wp:extent cx="5334000" cy="1506233"/>
            <wp:effectExtent b="0" l="0" r="0" t="0"/>
            <wp:docPr descr="Figure 7.10: Examples of processes or decisions to develop an SOP for" title="" id="283" name="Picture"/>
            <a:graphic>
              <a:graphicData uri="http://schemas.openxmlformats.org/drawingml/2006/picture">
                <pic:pic>
                  <pic:nvPicPr>
                    <pic:cNvPr descr="img/sopchecks.PNG" id="284" name="Picture"/>
                    <pic:cNvPicPr>
                      <a:picLocks noChangeArrowheads="1" noChangeAspect="1"/>
                    </pic:cNvPicPr>
                  </pic:nvPicPr>
                  <pic:blipFill>
                    <a:blip r:embed="rId282"/>
                    <a:stretch>
                      <a:fillRect/>
                    </a:stretch>
                  </pic:blipFill>
                  <pic:spPr bwMode="auto">
                    <a:xfrm>
                      <a:off x="0" y="0"/>
                      <a:ext cx="5334000" cy="1506233"/>
                    </a:xfrm>
                    <a:prstGeom prst="rect">
                      <a:avLst/>
                    </a:prstGeom>
                    <a:noFill/>
                    <a:ln w="9525">
                      <a:noFill/>
                      <a:headEnd/>
                      <a:tailEnd/>
                    </a:ln>
                  </pic:spPr>
                </pic:pic>
              </a:graphicData>
            </a:graphic>
          </wp:inline>
        </w:drawing>
      </w:r>
    </w:p>
    <w:p>
      <w:pPr>
        <w:pStyle w:val="ImageCaption"/>
      </w:pPr>
      <w:r>
        <w:t xml:space="preserve">Figure 7.10: Examples of processes or decisions to develop an SOP for</w:t>
      </w:r>
    </w:p>
    <w:p>
      <w:pPr>
        <w:pStyle w:val="BodyText"/>
      </w:pPr>
      <w:r>
        <w:t xml:space="preserve">In addition to giving staff instruction on how to perform tasks, SOPs also create transparency in practices, allow for continuity when staff turnover or go out on leave, create standardization in procedures, and last, because an SOP should include versioning information, they allow you to accurately report changes in procedures throughout the project. You will want to create a template that is used consistently across all procedures, by all staff who build SOPs.</w:t>
      </w:r>
    </w:p>
    <w:p>
      <w:pPr>
        <w:pStyle w:val="CaptionedFigure"/>
      </w:pPr>
      <w:r>
        <w:drawing>
          <wp:inline>
            <wp:extent cx="5300962" cy="4098813"/>
            <wp:effectExtent b="0" l="0" r="0" t="0"/>
            <wp:docPr descr="Figure 7.11: Standard operating procedure minimal template" title="" id="286" name="Picture"/>
            <a:graphic>
              <a:graphicData uri="http://schemas.openxmlformats.org/drawingml/2006/picture">
                <pic:pic>
                  <pic:nvPicPr>
                    <pic:cNvPr descr="img/sop.PNG" id="287" name="Picture"/>
                    <pic:cNvPicPr>
                      <a:picLocks noChangeArrowheads="1" noChangeAspect="1"/>
                    </pic:cNvPicPr>
                  </pic:nvPicPr>
                  <pic:blipFill>
                    <a:blip r:embed="rId285"/>
                    <a:stretch>
                      <a:fillRect/>
                    </a:stretch>
                  </pic:blipFill>
                  <pic:spPr bwMode="auto">
                    <a:xfrm>
                      <a:off x="0" y="0"/>
                      <a:ext cx="5300962" cy="4098813"/>
                    </a:xfrm>
                    <a:prstGeom prst="rect">
                      <a:avLst/>
                    </a:prstGeom>
                    <a:noFill/>
                    <a:ln w="9525">
                      <a:noFill/>
                      <a:headEnd/>
                      <a:tailEnd/>
                    </a:ln>
                  </pic:spPr>
                </pic:pic>
              </a:graphicData>
            </a:graphic>
          </wp:inline>
        </w:drawing>
      </w:r>
    </w:p>
    <w:p>
      <w:pPr>
        <w:pStyle w:val="ImageCaption"/>
      </w:pPr>
      <w:r>
        <w:t xml:space="preserve">Figure 7.11: Standard operating procedure minimal template</w:t>
      </w:r>
    </w:p>
    <w:p>
      <w:pPr>
        <w:pStyle w:val="BodyText"/>
      </w:pPr>
      <w:r>
        <w:t xml:space="preserve">In developing your SOP template, like the one in Figure</w:t>
      </w:r>
      <w:r>
        <w:t xml:space="preserve"> </w:t>
      </w:r>
      <w:r>
        <w:t xml:space="preserve">7.11</w:t>
      </w:r>
      <w:r>
        <w:t xml:space="preserve">, you should begin with</w:t>
      </w:r>
      <w:r>
        <w:t xml:space="preserve"> </w:t>
      </w:r>
      <w:r>
        <w:rPr>
          <w:bCs/>
          <w:b/>
        </w:rPr>
        <w:t xml:space="preserve">general information</w:t>
      </w:r>
      <w:r>
        <w:t xml:space="preserve"> </w:t>
      </w:r>
      <w:r>
        <w:t xml:space="preserve">about the scope and purpose of the procedure, as well as any relevant tools, terminology, or documentation. This provides context for the user and gives them the background to use and interpret the SOP. The next section in the SOP template,</w:t>
      </w:r>
      <w:r>
        <w:t xml:space="preserve"> </w:t>
      </w:r>
      <w:r>
        <w:rPr>
          <w:bCs/>
          <w:b/>
        </w:rPr>
        <w:t xml:space="preserve">procedures</w:t>
      </w:r>
      <w:r>
        <w:t xml:space="preserve">, lists all steps in order. Each step provides the name of the staff member/s associated with that activity to ensure no ambiguity. Each step should be as detailed as possible so that you could hand your SOP over to any new staff member with no background in this process and be confident they can implement the procedure with little trouble. Specifics such as names of files and links to their locations, names of contacts, methods of communication (e.g., email vs instant message), and so forth should be included. Additions such as screenshots, links to other SOPs or workflow diagrams, or even links to tutorials can also be embedded. Last, any time revisions are made to the SOP, clarifying information about the update is added to the</w:t>
      </w:r>
      <w:r>
        <w:t xml:space="preserve"> </w:t>
      </w:r>
      <w:r>
        <w:rPr>
          <w:bCs/>
          <w:b/>
        </w:rPr>
        <w:t xml:space="preserve">revision</w:t>
      </w:r>
      <w:r>
        <w:t xml:space="preserve"> </w:t>
      </w:r>
      <w:r>
        <w:t xml:space="preserve">section and a new version of the SOP is saved. This allows you to keep track of what changes were made over time, including when they were made and who made them.</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SOP template</w:t>
            </w:r>
            <w:r>
              <w:t xml:space="preserve"> </w:t>
            </w:r>
            <w:r>
              <w:rPr>
                <w:rStyle w:val="FootnoteReference"/>
              </w:rPr>
              <w:footnoteReference w:id="288"/>
            </w:r>
          </w:p>
        </w:tc>
      </w:tr>
    </w:tbl>
    <w:bookmarkEnd w:id="290"/>
    <w:bookmarkEnd w:id="291"/>
    <w:bookmarkStart w:id="308" w:name="dataset-level"/>
    <w:p>
      <w:pPr>
        <w:pStyle w:val="Heading2"/>
      </w:pPr>
      <w:r>
        <w:rPr>
          <w:rStyle w:val="SectionNumber"/>
        </w:rPr>
        <w:t xml:space="preserve">7.3</w:t>
      </w:r>
      <w:r>
        <w:tab/>
      </w:r>
      <w:r>
        <w:t xml:space="preserve">Dataset Level</w:t>
      </w:r>
    </w:p>
    <w:p>
      <w:pPr>
        <w:pStyle w:val="FirstParagraph"/>
      </w:pPr>
      <w:r>
        <w:t xml:space="preserve">Our next type of documentation applies solely to your datasets and includes information about what data they contain and how they are related. It also captures things such as planned transformations for the data, potential issues to be aware of, and any alterations to the data. In addition to being helpful descriptive documentation, a huge reason for creating dataset documentation is authenticity. Datasets go through many iterations of processing which can result in multiple versions of a dataset</w:t>
      </w:r>
      <w:r>
        <w:t xml:space="preserve"> </w:t>
      </w:r>
      <w:r>
        <w:t xml:space="preserve">(</w:t>
      </w:r>
      <w:hyperlink w:anchor="ref-cessda_data_nodate">
        <w:r>
          <w:rPr>
            <w:rStyle w:val="Hyperlink"/>
          </w:rPr>
          <w:t xml:space="preserve">CESSDA n.d.a</w:t>
        </w:r>
      </w:hyperlink>
      <w:r>
        <w:t xml:space="preserve">;</w:t>
      </w:r>
      <w:r>
        <w:t xml:space="preserve"> </w:t>
      </w:r>
      <w:hyperlink w:anchor="ref-uk_data_service_quality_nodate">
        <w:r>
          <w:rPr>
            <w:rStyle w:val="Hyperlink"/>
          </w:rPr>
          <w:t xml:space="preserve">UK Data Service n.d.b</w:t>
        </w:r>
      </w:hyperlink>
      <w:r>
        <w:t xml:space="preserve">)</w:t>
      </w:r>
      <w:r>
        <w:t xml:space="preserve">. Preserving data lineage by tracking transformations and errors found is key to ensuring that you know where your data come from, what processing has already been completed, and that you are using the correct version of the data.</w:t>
      </w:r>
    </w:p>
    <w:p>
      <w:pPr>
        <w:pStyle w:val="BodyText"/>
      </w:pPr>
      <w:r>
        <w:t xml:space="preserve">Not</w:t>
      </w:r>
      <w:r>
        <w:t xml:space="preserve"> </w:t>
      </w:r>
      <w:r>
        <w:rPr>
          <w:bCs/>
          <w:b/>
        </w:rPr>
        <w:t xml:space="preserve">all</w:t>
      </w:r>
      <w:r>
        <w:t xml:space="preserve"> </w:t>
      </w:r>
      <w:r>
        <w:t xml:space="preserve">of your dataset-level documentation will be created in the documentation phase and we will talk about the timing as we review each document.</w:t>
      </w:r>
    </w:p>
    <w:bookmarkStart w:id="299" w:name="readme"/>
    <w:p>
      <w:pPr>
        <w:pStyle w:val="Heading3"/>
      </w:pPr>
      <w:r>
        <w:rPr>
          <w:rStyle w:val="SectionNumber"/>
        </w:rPr>
        <w:t xml:space="preserve">7.3.1</w:t>
      </w:r>
      <w:r>
        <w:tab/>
      </w:r>
      <w:r>
        <w:t xml:space="preserve">Readme</w:t>
      </w:r>
    </w:p>
    <w:p>
      <w:pPr>
        <w:pStyle w:val="FirstParagraph"/>
      </w:pPr>
      <w:r>
        <w:t xml:space="preserve">A Readme is a plain text document that contains information about your files. These stem from the field of computer science but are now prevalent in the research world. These documents are a way to convey pertinent information to collaborators in a simple, no frills manner. Readmes can be used in many different ways but I will cover three ways they are often used in data management.</w:t>
      </w:r>
    </w:p>
    <w:p>
      <w:pPr>
        <w:numPr>
          <w:ilvl w:val="0"/>
          <w:numId w:val="1067"/>
        </w:numPr>
        <w:pStyle w:val="Compact"/>
      </w:pPr>
      <w:r>
        <w:t xml:space="preserve">For conveying information to your colleagues</w:t>
      </w:r>
    </w:p>
    <w:p>
      <w:pPr>
        <w:numPr>
          <w:ilvl w:val="1"/>
          <w:numId w:val="1068"/>
        </w:numPr>
        <w:pStyle w:val="Compact"/>
      </w:pPr>
      <w:r>
        <w:t xml:space="preserve">An example of this is if a study participant reaches out to a project coordinator to let them know that they entered the incorrect ID in their survey. When the project coordinator downloads the raw data file to be cleaned by the data manager for instance, they also create a file named</w:t>
      </w:r>
      <w:r>
        <w:t xml:space="preserve"> </w:t>
      </w:r>
      <w:r>
        <w:t xml:space="preserve">“</w:t>
      </w:r>
      <w:r>
        <w:t xml:space="preserve">readme.txt</w:t>
      </w:r>
      <w:r>
        <w:t xml:space="preserve">”</w:t>
      </w:r>
      <w:r>
        <w:t xml:space="preserve"> </w:t>
      </w:r>
      <w:r>
        <w:t xml:space="preserve">that contains this information and is saved alongside the file in the raw data folder. That way when the data manager goes to retrieve the file, they will see that a Readme is included and know to review that document first.</w:t>
      </w:r>
    </w:p>
    <w:p>
      <w:pPr>
        <w:pStyle w:val="SourceCode"/>
      </w:pPr>
      <w:r>
        <w:rPr>
          <w:rStyle w:val="VerbatimChar"/>
        </w:rPr>
        <w:t xml:space="preserve">  - ID 5051 entered incorrectly. Should be 5015.</w:t>
      </w:r>
      <w:r>
        <w:br/>
      </w:r>
      <w:r>
        <w:rPr>
          <w:rStyle w:val="VerbatimChar"/>
        </w:rPr>
        <w:t xml:space="preserve">  - ID 5089 completed the survey twice</w:t>
      </w:r>
      <w:r>
        <w:br/>
      </w:r>
      <w:r>
        <w:rPr>
          <w:rStyle w:val="VerbatimChar"/>
        </w:rPr>
        <w:t xml:space="preserve">    - First survey is only partially completed</w:t>
      </w:r>
    </w:p>
    <w:p>
      <w:pPr>
        <w:numPr>
          <w:ilvl w:val="0"/>
          <w:numId w:val="1069"/>
        </w:numPr>
        <w:pStyle w:val="Compact"/>
      </w:pPr>
      <w:r>
        <w:t xml:space="preserve">For conveying steps in a process (sometimes also called a setup file)</w:t>
      </w:r>
    </w:p>
    <w:p>
      <w:pPr>
        <w:numPr>
          <w:ilvl w:val="1"/>
          <w:numId w:val="1070"/>
        </w:numPr>
        <w:pStyle w:val="Compact"/>
      </w:pPr>
      <w:r>
        <w:t xml:space="preserve">There may be times that a specific data pipeline or reporting process requires multiple steps, opening different files and running different scripts. This information</w:t>
      </w:r>
      <w:r>
        <w:t xml:space="preserve"> </w:t>
      </w:r>
      <w:r>
        <w:rPr>
          <w:bCs/>
          <w:b/>
        </w:rPr>
        <w:t xml:space="preserve">can</w:t>
      </w:r>
      <w:r>
        <w:t xml:space="preserve"> </w:t>
      </w:r>
      <w:r>
        <w:t xml:space="preserve">go in an SOP, but if it is a programmatic type process completed using a series of scripts, it might be easiest to put a simple file named</w:t>
      </w:r>
      <w:r>
        <w:t xml:space="preserve"> </w:t>
      </w:r>
      <w:r>
        <w:t xml:space="preserve">“</w:t>
      </w:r>
      <w:r>
        <w:t xml:space="preserve">readme_setup.txt</w:t>
      </w:r>
      <w:r>
        <w:t xml:space="preserve">”</w:t>
      </w:r>
      <w:r>
        <w:t xml:space="preserve"> </w:t>
      </w:r>
      <w:r>
        <w:t xml:space="preserve">in the same folder as your scripts so that someone can easily open the file to see what they need to run.</w:t>
      </w:r>
    </w:p>
    <w:p>
      <w:pPr>
        <w:pStyle w:val="SourceCode"/>
      </w:pPr>
      <w:r>
        <w:rPr>
          <w:rStyle w:val="VerbatimChar"/>
        </w:rPr>
        <w:t xml:space="preserve">  Step 1: Run the file 01_clean_data.R to clean the data  </w:t>
      </w:r>
      <w:r>
        <w:br/>
      </w:r>
      <w:r>
        <w:rPr>
          <w:rStyle w:val="VerbatimChar"/>
        </w:rPr>
        <w:t xml:space="preserve">  Step 2: Run the file 02_check_errors.R to check for errors  </w:t>
      </w:r>
      <w:r>
        <w:br/>
      </w:r>
      <w:r>
        <w:rPr>
          <w:rStyle w:val="VerbatimChar"/>
        </w:rPr>
        <w:t xml:space="preserve">  Step 3: Run the file 03_run_report.R to create report </w:t>
      </w:r>
    </w:p>
    <w:p>
      <w:pPr>
        <w:numPr>
          <w:ilvl w:val="0"/>
          <w:numId w:val="1071"/>
        </w:numPr>
        <w:pStyle w:val="Compact"/>
      </w:pPr>
      <w:r>
        <w:t xml:space="preserve">For providing information about a set of files in a directory</w:t>
      </w:r>
    </w:p>
    <w:p>
      <w:pPr>
        <w:numPr>
          <w:ilvl w:val="1"/>
          <w:numId w:val="1072"/>
        </w:numPr>
        <w:pStyle w:val="Compact"/>
      </w:pPr>
      <w:r>
        <w:t xml:space="preserve">It can be helpful to add Readmes to the top of your directories when both sharing data internally with colleagues, or when sharing files in an external repository. Doing so can provide information about what datasets are available in the directory and pertinent information about those datasets, including how the datasets are related and can be linked, information associated with different versions, definitions of common prefixes or suffixes used in datasets, or instrument response rates. Figure</w:t>
      </w:r>
      <w:r>
        <w:t xml:space="preserve"> </w:t>
      </w:r>
      <w:r>
        <w:t xml:space="preserve">7.12</w:t>
      </w:r>
      <w:r>
        <w:t xml:space="preserve"> </w:t>
      </w:r>
      <w:r>
        <w:t xml:space="preserve">is an example readme that can be used to describe all data sources shared in a project repository</w:t>
      </w:r>
      <w:r>
        <w:t xml:space="preserve"> </w:t>
      </w:r>
      <w:r>
        <w:t xml:space="preserve">(</w:t>
      </w:r>
      <w:hyperlink w:anchor="ref-neild_sharing_2022">
        <w:r>
          <w:rPr>
            <w:rStyle w:val="Hyperlink"/>
          </w:rPr>
          <w:t xml:space="preserve">Neild, Robinson, and Agufa 2022</w:t>
        </w:r>
      </w:hyperlink>
      <w:r>
        <w:t xml:space="preserve">)</w:t>
      </w:r>
      <w:r>
        <w:t xml:space="preserve">.</w:t>
      </w:r>
    </w:p>
    <w:p>
      <w:pPr>
        <w:pStyle w:val="CaptionedFigure"/>
      </w:pPr>
      <w:r>
        <w:drawing>
          <wp:inline>
            <wp:extent cx="5334000" cy="2871807"/>
            <wp:effectExtent b="0" l="0" r="0" t="0"/>
            <wp:docPr descr="Figure 7.12: Institute of Education Sciences example Readme for conveying information on files in a directory" title="" id="293" name="Picture"/>
            <a:graphic>
              <a:graphicData uri="http://schemas.openxmlformats.org/drawingml/2006/picture">
                <pic:pic>
                  <pic:nvPicPr>
                    <pic:cNvPr descr="img/readme3.PNG" id="294" name="Picture"/>
                    <pic:cNvPicPr>
                      <a:picLocks noChangeArrowheads="1" noChangeAspect="1"/>
                    </pic:cNvPicPr>
                  </pic:nvPicPr>
                  <pic:blipFill>
                    <a:blip r:embed="rId292"/>
                    <a:stretch>
                      <a:fillRect/>
                    </a:stretch>
                  </pic:blipFill>
                  <pic:spPr bwMode="auto">
                    <a:xfrm>
                      <a:off x="0" y="0"/>
                      <a:ext cx="5334000" cy="2871807"/>
                    </a:xfrm>
                    <a:prstGeom prst="rect">
                      <a:avLst/>
                    </a:prstGeom>
                    <a:noFill/>
                    <a:ln w="9525">
                      <a:noFill/>
                      <a:headEnd/>
                      <a:tailEnd/>
                    </a:ln>
                  </pic:spPr>
                </pic:pic>
              </a:graphicData>
            </a:graphic>
          </wp:inline>
        </w:drawing>
      </w:r>
    </w:p>
    <w:p>
      <w:pPr>
        <w:pStyle w:val="ImageCaption"/>
      </w:pPr>
      <w:r>
        <w:t xml:space="preserve">Figure 7.12: Institute of Education Sciences example Readme for conveying information on files in a directory</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Readme template for sharing information about a set of files in a directory</w:t>
            </w:r>
            <w:r>
              <w:t xml:space="preserve"> </w:t>
            </w:r>
            <w:r>
              <w:rPr>
                <w:rStyle w:val="FootnoteReference"/>
              </w:rPr>
              <w:footnoteReference w:id="295"/>
            </w:r>
          </w:p>
        </w:tc>
      </w:tr>
      <w:tr>
        <w:tc>
          <w:tcPr/>
          <w:p>
            <w:pPr>
              <w:pStyle w:val="Compact"/>
              <w:jc w:val="left"/>
            </w:pPr>
            <w:r>
              <w:t xml:space="preserve">Crystal Lewis</w:t>
            </w:r>
          </w:p>
        </w:tc>
        <w:tc>
          <w:tcPr/>
          <w:p>
            <w:pPr>
              <w:pStyle w:val="Compact"/>
              <w:jc w:val="left"/>
            </w:pPr>
            <w:r>
              <w:t xml:space="preserve">Readme template for sharing project-level information</w:t>
            </w:r>
            <w:r>
              <w:t xml:space="preserve"> </w:t>
            </w:r>
            <w:r>
              <w:rPr>
                <w:rStyle w:val="FootnoteReference"/>
              </w:rPr>
              <w:footnoteReference w:id="297"/>
            </w:r>
          </w:p>
        </w:tc>
      </w:tr>
    </w:tbl>
    <w:bookmarkEnd w:id="299"/>
    <w:bookmarkStart w:id="303" w:name="change"/>
    <w:p>
      <w:pPr>
        <w:pStyle w:val="Heading3"/>
      </w:pPr>
      <w:r>
        <w:rPr>
          <w:rStyle w:val="SectionNumber"/>
        </w:rPr>
        <w:t xml:space="preserve">7.3.2</w:t>
      </w:r>
      <w:r>
        <w:tab/>
      </w:r>
      <w:r>
        <w:t xml:space="preserve">Changelog</w:t>
      </w:r>
    </w:p>
    <w:p>
      <w:pPr>
        <w:pStyle w:val="FirstParagraph"/>
      </w:pPr>
      <w:r>
        <w:t xml:space="preserve">A changelog is a record of all of the versions of your data and code</w:t>
      </w:r>
      <w:r>
        <w:t xml:space="preserve"> </w:t>
      </w:r>
      <w:r>
        <w:t xml:space="preserve">(</w:t>
      </w:r>
      <w:hyperlink w:anchor="ref-wilson_good_2017">
        <w:r>
          <w:rPr>
            <w:rStyle w:val="Hyperlink"/>
          </w:rPr>
          <w:t xml:space="preserve">Wilson et al. 2017</w:t>
        </w:r>
      </w:hyperlink>
      <w:r>
        <w:t xml:space="preserve">)</w:t>
      </w:r>
      <w:r>
        <w:t xml:space="preserve">. While there are automatic ways to track your data and code through programs such as Git and GitHub, in the education field where researchers often work with human subjects and identifiable data, users are most often not keeping their study data, during an active project, in a remote repository. Instead, data are usually kept in an institution-approved storage location. Even if a storage location has versioning such as Box or SharePoint, unless users are able to add contextual messages about changes made when saving versions (like a commit message with Git), users will still want to keep a changelog.</w:t>
      </w:r>
    </w:p>
    <w:p>
      <w:pPr>
        <w:pStyle w:val="BodyText"/>
      </w:pPr>
      <w:r>
        <w:t xml:space="preserve">A changelog provides data lineage, allowing the user to understand where the data originated as well as all transformations made to the data. It also supports data confidence, allowing the user to understand what version of the data they are currently using and to see if more recent versions have been created and why.</w:t>
      </w:r>
    </w:p>
    <w:p>
      <w:pPr>
        <w:pStyle w:val="BodyText"/>
      </w:pPr>
      <w:r>
        <w:t xml:space="preserve">In its simplest form a changelog should contain the following:</w:t>
      </w:r>
    </w:p>
    <w:p>
      <w:pPr>
        <w:numPr>
          <w:ilvl w:val="0"/>
          <w:numId w:val="1073"/>
        </w:numPr>
        <w:pStyle w:val="Compact"/>
      </w:pPr>
      <w:r>
        <w:t xml:space="preserve">The file name (versioned consistently)</w:t>
      </w:r>
    </w:p>
    <w:p>
      <w:pPr>
        <w:numPr>
          <w:ilvl w:val="0"/>
          <w:numId w:val="1073"/>
        </w:numPr>
        <w:pStyle w:val="Compact"/>
      </w:pPr>
      <w:r>
        <w:t xml:space="preserve">The date the file was created</w:t>
      </w:r>
    </w:p>
    <w:p>
      <w:pPr>
        <w:numPr>
          <w:ilvl w:val="0"/>
          <w:numId w:val="1073"/>
        </w:numPr>
        <w:pStyle w:val="Compact"/>
      </w:pPr>
      <w:r>
        <w:t xml:space="preserve">A description of the dataset (including what changes were made compared to the previous version)</w:t>
      </w:r>
    </w:p>
    <w:p>
      <w:pPr>
        <w:pStyle w:val="FirstParagraph"/>
      </w:pPr>
      <w:r>
        <w:t xml:space="preserve">It could also include additional information such as who made the change and a link to any code used to transform the data</w:t>
      </w:r>
      <w:r>
        <w:t xml:space="preserve"> </w:t>
      </w:r>
      <w:r>
        <w:t xml:space="preserve">(</w:t>
      </w:r>
      <w:hyperlink w:anchor="ref-uk_data_service_versioning_nodate">
        <w:r>
          <w:rPr>
            <w:rStyle w:val="Hyperlink"/>
          </w:rPr>
          <w:t xml:space="preserve">UK Data Service n.d.d</w:t>
        </w:r>
      </w:hyperlink>
      <w:r>
        <w:t xml:space="preserve">)</w:t>
      </w:r>
      <w:r>
        <w:t xml:space="preserve">.</w:t>
      </w:r>
    </w:p>
    <w:p>
      <w:pPr>
        <w:pStyle w:val="CaptionedFigure"/>
      </w:pPr>
      <w:r>
        <w:drawing>
          <wp:inline>
            <wp:extent cx="5334000" cy="1804705"/>
            <wp:effectExtent b="0" l="0" r="0" t="0"/>
            <wp:docPr descr="Figure 7.13: Example changelog for a clean student survey data file" title="" id="301" name="Picture"/>
            <a:graphic>
              <a:graphicData uri="http://schemas.openxmlformats.org/drawingml/2006/picture">
                <pic:pic>
                  <pic:nvPicPr>
                    <pic:cNvPr descr="img/changelog.PNG" id="302" name="Picture"/>
                    <pic:cNvPicPr>
                      <a:picLocks noChangeArrowheads="1" noChangeAspect="1"/>
                    </pic:cNvPicPr>
                  </pic:nvPicPr>
                  <pic:blipFill>
                    <a:blip r:embed="rId300"/>
                    <a:stretch>
                      <a:fillRect/>
                    </a:stretch>
                  </pic:blipFill>
                  <pic:spPr bwMode="auto">
                    <a:xfrm>
                      <a:off x="0" y="0"/>
                      <a:ext cx="5334000" cy="1804705"/>
                    </a:xfrm>
                    <a:prstGeom prst="rect">
                      <a:avLst/>
                    </a:prstGeom>
                    <a:noFill/>
                    <a:ln w="9525">
                      <a:noFill/>
                      <a:headEnd/>
                      <a:tailEnd/>
                    </a:ln>
                  </pic:spPr>
                </pic:pic>
              </a:graphicData>
            </a:graphic>
          </wp:inline>
        </w:drawing>
      </w:r>
    </w:p>
    <w:p>
      <w:pPr>
        <w:pStyle w:val="ImageCaption"/>
      </w:pPr>
      <w:r>
        <w:t xml:space="preserve">Figure 7.13: Example changelog for a clean student survey data file</w:t>
      </w:r>
    </w:p>
    <w:p>
      <w:pPr>
        <w:pStyle w:val="BodyText"/>
      </w:pPr>
      <w:r>
        <w:t xml:space="preserve">These changelogs will most likely not be created until the data capture and data cleaning phases of the life cycle when data transformations begin happening, and can be updated at any point as needed.</w:t>
      </w:r>
    </w:p>
    <w:bookmarkEnd w:id="303"/>
    <w:bookmarkStart w:id="307" w:name="data-cleaning-plan"/>
    <w:p>
      <w:pPr>
        <w:pStyle w:val="Heading3"/>
      </w:pPr>
      <w:r>
        <w:rPr>
          <w:rStyle w:val="SectionNumber"/>
        </w:rPr>
        <w:t xml:space="preserve">7.3.3</w:t>
      </w:r>
      <w:r>
        <w:tab/>
      </w:r>
      <w:r>
        <w:t xml:space="preserve">Data Cleaning Plan</w:t>
      </w:r>
    </w:p>
    <w:p>
      <w:pPr>
        <w:pStyle w:val="FirstParagraph"/>
      </w:pPr>
      <w:r>
        <w:t xml:space="preserve">A data cleaning plan is a written proposal outlining how you plan to transform your raw data into clean, usable data. This document contains no code and is not technical skills dependent. A data cleaning plan is created for each dataset you plan to collect (e.g., student survey, student assessment, teacher survey, district student demographic data). Because this document lays out your intended transformations for each raw dataset, it allows any team member to provide feedback on the data cleaning process.</w:t>
      </w:r>
    </w:p>
    <w:p>
      <w:pPr>
        <w:pStyle w:val="BodyText"/>
      </w:pPr>
      <w:r>
        <w:t xml:space="preserve">This document can be started in the documentation phase, but will most likely continue to be updated throughout the study, especially as you start digging in to your collected raw data and seeing what additional transformations are needed. Typically the person responsible for cleaning the data will write the data cleaning plans, but those documents can then be brought to a planning meeting allowing other team members, such as PIs, to provide input on the plan. This ensures that everyone agrees on the transformations to be performed. Once finalized, this data cleaning plan serves as a guide in the cleaning process. In addition to the changelog, this data cleaning plan (as well as any syntax used) provides all documentation necessary to assess data provenance, a historical record of a data file’s journey.</w:t>
      </w:r>
    </w:p>
    <w:p>
      <w:pPr>
        <w:pStyle w:val="BodyText"/>
      </w:pPr>
      <w:r>
        <w:t xml:space="preserve">Before writing any data cleaning plans, it can be very helpful for your team to have agreed upon general norms for what constitutes a clean dataset to help ensure that all datasets are cleaned and formatted consistently. These standards can be written down and stored in a central team or project location for referral and then used to guide your process as you write your data cleaning plan. We will review what types of transformations you should consider adding to this type of norms document in Chapter</w:t>
      </w:r>
      <w:r>
        <w:t xml:space="preserve"> </w:t>
      </w:r>
      <w:r>
        <w:t xml:space="preserve">13</w:t>
      </w:r>
      <w:r>
        <w:t xml:space="preserve">.</w:t>
      </w:r>
    </w:p>
    <w:p>
      <w:pPr>
        <w:pStyle w:val="CaptionedFigure"/>
      </w:pPr>
      <w:r>
        <w:drawing>
          <wp:inline>
            <wp:extent cx="3855826" cy="2877482"/>
            <wp:effectExtent b="0" l="0" r="0" t="0"/>
            <wp:docPr descr="Figure 7.14: A simplistic data cleaning plan" title="" id="305" name="Picture"/>
            <a:graphic>
              <a:graphicData uri="http://schemas.openxmlformats.org/drawingml/2006/picture">
                <pic:pic>
                  <pic:nvPicPr>
                    <pic:cNvPr descr="img/data_cleaning_plan.PNG" id="306" name="Picture"/>
                    <pic:cNvPicPr>
                      <a:picLocks noChangeArrowheads="1" noChangeAspect="1"/>
                    </pic:cNvPicPr>
                  </pic:nvPicPr>
                  <pic:blipFill>
                    <a:blip r:embed="rId304"/>
                    <a:stretch>
                      <a:fillRect/>
                    </a:stretch>
                  </pic:blipFill>
                  <pic:spPr bwMode="auto">
                    <a:xfrm>
                      <a:off x="0" y="0"/>
                      <a:ext cx="3855826" cy="2877482"/>
                    </a:xfrm>
                    <a:prstGeom prst="rect">
                      <a:avLst/>
                    </a:prstGeom>
                    <a:noFill/>
                    <a:ln w="9525">
                      <a:noFill/>
                      <a:headEnd/>
                      <a:tailEnd/>
                    </a:ln>
                  </pic:spPr>
                </pic:pic>
              </a:graphicData>
            </a:graphic>
          </wp:inline>
        </w:drawing>
      </w:r>
    </w:p>
    <w:p>
      <w:pPr>
        <w:pStyle w:val="ImageCaption"/>
      </w:pPr>
      <w:r>
        <w:t xml:space="preserve">Figure 7.14: A simplistic data cleaning plan</w:t>
      </w:r>
    </w:p>
    <w:bookmarkEnd w:id="307"/>
    <w:bookmarkEnd w:id="308"/>
    <w:bookmarkStart w:id="332" w:name="variable-level"/>
    <w:p>
      <w:pPr>
        <w:pStyle w:val="Heading2"/>
      </w:pPr>
      <w:r>
        <w:rPr>
          <w:rStyle w:val="SectionNumber"/>
        </w:rPr>
        <w:t xml:space="preserve">7.4</w:t>
      </w:r>
      <w:r>
        <w:tab/>
      </w:r>
      <w:r>
        <w:t xml:space="preserve">Variable Level</w:t>
      </w:r>
    </w:p>
    <w:p>
      <w:pPr>
        <w:pStyle w:val="FirstParagraph"/>
      </w:pPr>
      <w:r>
        <w:t xml:space="preserve">Our last category of documentation is variable-level documentation. When we think about data management, I think this is most likely the first type of documentation that pops into people’s minds. This documentation tells us all pertinent information about the variables in our datasets: variable names, descriptions, types, and allowable values. While variable-level documentation is often used to interpret existing datasets, it can also serve many other vital purposes including guiding the construction of data collection instruments, assisting in data cleaning, or validating the accuracy of data</w:t>
      </w:r>
      <w:r>
        <w:t xml:space="preserve"> </w:t>
      </w:r>
      <w:r>
        <w:t xml:space="preserve">(</w:t>
      </w:r>
      <w:hyperlink w:anchor="ref-lewis_using_2022">
        <w:r>
          <w:rPr>
            <w:rStyle w:val="Hyperlink"/>
          </w:rPr>
          <w:t xml:space="preserve">Lewis 2022</w:t>
        </w:r>
      </w:hyperlink>
      <w:r>
        <w:t xml:space="preserve">)</w:t>
      </w:r>
      <w:r>
        <w:t xml:space="preserve">. We will discuss this more throughout the chapters in this book.</w:t>
      </w:r>
    </w:p>
    <w:bookmarkStart w:id="320" w:name="data-dictionary"/>
    <w:p>
      <w:pPr>
        <w:pStyle w:val="Heading3"/>
      </w:pPr>
      <w:r>
        <w:rPr>
          <w:rStyle w:val="SectionNumber"/>
        </w:rPr>
        <w:t xml:space="preserve">7.4.1</w:t>
      </w:r>
      <w:r>
        <w:tab/>
      </w:r>
      <w:r>
        <w:t xml:space="preserve">Data dictionary</w:t>
      </w:r>
    </w:p>
    <w:p>
      <w:pPr>
        <w:pStyle w:val="FirstParagraph"/>
      </w:pPr>
      <w:r>
        <w:t xml:space="preserve">A data dictionary is a rectangular formatted collection of names, definitions, and attributes about variables in a dataset</w:t>
      </w:r>
      <w:r>
        <w:t xml:space="preserve"> </w:t>
      </w:r>
      <w:r>
        <w:t xml:space="preserve">(</w:t>
      </w:r>
      <w:hyperlink w:anchor="ref-bordelon_guides_nodate-1">
        <w:r>
          <w:rPr>
            <w:rStyle w:val="Hyperlink"/>
          </w:rPr>
          <w:t xml:space="preserve">Bordelon n.d.a</w:t>
        </w:r>
      </w:hyperlink>
      <w:r>
        <w:t xml:space="preserve">;</w:t>
      </w:r>
      <w:r>
        <w:t xml:space="preserve"> </w:t>
      </w:r>
      <w:hyperlink w:anchor="ref-gonzales_ten_2022">
        <w:r>
          <w:rPr>
            <w:rStyle w:val="Hyperlink"/>
          </w:rPr>
          <w:t xml:space="preserve">Gonzales, Carson, and Holmes 2022</w:t>
        </w:r>
      </w:hyperlink>
      <w:r>
        <w:t xml:space="preserve">;</w:t>
      </w:r>
      <w:r>
        <w:t xml:space="preserve"> </w:t>
      </w:r>
      <w:hyperlink w:anchor="ref-uc_merced_library_what_nodate">
        <w:r>
          <w:rPr>
            <w:rStyle w:val="Hyperlink"/>
          </w:rPr>
          <w:t xml:space="preserve">UC Merced Library n.d.</w:t>
        </w:r>
      </w:hyperlink>
      <w:r>
        <w:t xml:space="preserve">)</w:t>
      </w:r>
      <w:r>
        <w:t xml:space="preserve">. This document is both a planning tool and a tool used for interpretation. A data dictionary is most useful if created in the documentation phase, before a project begins, because it is integral to many other phases of a study.</w:t>
      </w:r>
      <w:r>
        <w:t xml:space="preserve"> </w:t>
      </w:r>
      <w:r>
        <w:t xml:space="preserve">This document should be structured similar to a dataset, with variable names in the first row</w:t>
      </w:r>
      <w:r>
        <w:t xml:space="preserve"> </w:t>
      </w:r>
      <w:r>
        <w:t xml:space="preserve">(</w:t>
      </w:r>
      <w:hyperlink w:anchor="ref-broman_data_2018">
        <w:r>
          <w:rPr>
            <w:rStyle w:val="Hyperlink"/>
          </w:rPr>
          <w:t xml:space="preserve">Broman and Woo 2018</w:t>
        </w:r>
      </w:hyperlink>
      <w:r>
        <w:t xml:space="preserve">)</w:t>
      </w:r>
      <w:r>
        <w:t xml:space="preserve">. What tool you use to build your data dictionary is up to you, but there are key pieces of information that should be included, as well as optional fields that can be helpful as well</w:t>
      </w:r>
      <w:r>
        <w:t xml:space="preserve"> </w:t>
      </w:r>
      <w:r>
        <w:t xml:space="preserve">(</w:t>
      </w:r>
      <w:hyperlink w:anchor="Xd1423447ed18ab30821e77f49f5ecffc46872cc">
        <w:r>
          <w:rPr>
            <w:rStyle w:val="Hyperlink"/>
          </w:rPr>
          <w:t xml:space="preserve">Johns Hopkins Institute for Clinical and Translational Research n.d.</w:t>
        </w:r>
      </w:hyperlink>
      <w:r>
        <w:t xml:space="preserve">)</w:t>
      </w:r>
      <w:r>
        <w:t xml:space="preserve">.</w:t>
      </w:r>
    </w:p>
    <w:p>
      <w:pPr>
        <w:pStyle w:val="CaptionedFigure"/>
      </w:pPr>
      <w:r>
        <w:drawing>
          <wp:inline>
            <wp:extent cx="5334000" cy="3108632"/>
            <wp:effectExtent b="0" l="0" r="0" t="0"/>
            <wp:docPr descr="Figure 7.15: Fields to include in a data dictionary" title="" id="310" name="Picture"/>
            <a:graphic>
              <a:graphicData uri="http://schemas.openxmlformats.org/drawingml/2006/picture">
                <pic:pic>
                  <pic:nvPicPr>
                    <pic:cNvPr descr="img/dictionary.PNG" id="311" name="Picture"/>
                    <pic:cNvPicPr>
                      <a:picLocks noChangeArrowheads="1" noChangeAspect="1"/>
                    </pic:cNvPicPr>
                  </pic:nvPicPr>
                  <pic:blipFill>
                    <a:blip r:embed="rId309"/>
                    <a:stretch>
                      <a:fillRect/>
                    </a:stretch>
                  </pic:blipFill>
                  <pic:spPr bwMode="auto">
                    <a:xfrm>
                      <a:off x="0" y="0"/>
                      <a:ext cx="5334000" cy="3108632"/>
                    </a:xfrm>
                    <a:prstGeom prst="rect">
                      <a:avLst/>
                    </a:prstGeom>
                    <a:noFill/>
                    <a:ln w="9525">
                      <a:noFill/>
                      <a:headEnd/>
                      <a:tailEnd/>
                    </a:ln>
                  </pic:spPr>
                </pic:pic>
              </a:graphicData>
            </a:graphic>
          </wp:inline>
        </w:drawing>
      </w:r>
    </w:p>
    <w:p>
      <w:pPr>
        <w:pStyle w:val="ImageCaption"/>
      </w:pPr>
      <w:r>
        <w:t xml:space="preserve">Figure 7.15: Fields to include in a data dictionary</w:t>
      </w:r>
    </w:p>
    <w:bookmarkStart w:id="315" w:name="Xbb371636aa30827eb73304c9333e985a635dea2"/>
    <w:p>
      <w:pPr>
        <w:pStyle w:val="Heading4"/>
      </w:pPr>
      <w:r>
        <w:rPr>
          <w:rStyle w:val="SectionNumber"/>
        </w:rPr>
        <w:t xml:space="preserve">7.4.1.1</w:t>
      </w:r>
      <w:r>
        <w:tab/>
      </w:r>
      <w:r>
        <w:t xml:space="preserve">Creating a data dictionary for an original data source</w:t>
      </w:r>
    </w:p>
    <w:p>
      <w:pPr>
        <w:pStyle w:val="FirstParagraph"/>
      </w:pPr>
      <w:r>
        <w:t xml:space="preserve">Before you begin to build these dictionaries you will need to have the following:</w:t>
      </w:r>
    </w:p>
    <w:p>
      <w:pPr>
        <w:numPr>
          <w:ilvl w:val="0"/>
          <w:numId w:val="1074"/>
        </w:numPr>
        <w:pStyle w:val="Compact"/>
      </w:pPr>
      <w:r>
        <w:t xml:space="preserve">Your style guide already created: We will talk more about</w:t>
      </w:r>
      <w:r>
        <w:t xml:space="preserve"> </w:t>
      </w:r>
      <w:hyperlink w:anchor="style">
        <w:r>
          <w:rPr>
            <w:rStyle w:val="Hyperlink"/>
          </w:rPr>
          <w:t xml:space="preserve">style guides</w:t>
        </w:r>
      </w:hyperlink>
      <w:r>
        <w:t xml:space="preserve"> </w:t>
      </w:r>
      <w:r>
        <w:t xml:space="preserve">in the next chapter, but this document will provide standards for naming variables and coding response values.</w:t>
      </w:r>
      <w:r>
        <w:br/>
      </w:r>
    </w:p>
    <w:p>
      <w:pPr>
        <w:numPr>
          <w:ilvl w:val="0"/>
          <w:numId w:val="1074"/>
        </w:numPr>
        <w:pStyle w:val="Compact"/>
      </w:pPr>
      <w:r>
        <w:t xml:space="preserve">Documentation for your measures: If you are collecting data using existing measures, you will want to collect any documentation on those measures such as technical documents or copies of instruments. You will want your documentation to provide information such as:</w:t>
      </w:r>
    </w:p>
    <w:p>
      <w:pPr>
        <w:numPr>
          <w:ilvl w:val="1"/>
          <w:numId w:val="1075"/>
        </w:numPr>
        <w:pStyle w:val="Compact"/>
      </w:pPr>
      <w:r>
        <w:t xml:space="preserve">What items make up the measures/scales? What is the exact wording of the items?</w:t>
      </w:r>
      <w:r>
        <w:br/>
      </w:r>
    </w:p>
    <w:p>
      <w:pPr>
        <w:numPr>
          <w:ilvl w:val="1"/>
          <w:numId w:val="1075"/>
        </w:numPr>
        <w:pStyle w:val="Compact"/>
      </w:pPr>
      <w:r>
        <w:t xml:space="preserve">How are items coded? What are allowable values?</w:t>
      </w:r>
    </w:p>
    <w:p>
      <w:pPr>
        <w:numPr>
          <w:ilvl w:val="1"/>
          <w:numId w:val="1075"/>
        </w:numPr>
        <w:pStyle w:val="Compact"/>
      </w:pPr>
      <w:r>
        <w:t xml:space="preserve">Are there any calculations/reverse coding needed?</w:t>
      </w:r>
    </w:p>
    <w:p>
      <w:pPr>
        <w:pStyle w:val="FirstParagraph"/>
      </w:pPr>
      <w:r>
        <w:t xml:space="preserve">You will then build one data dictionary for each instrument you plan to collect (e.g., student survey data dictionary, teacher survey data dictionary, student assessment data dictionary). All measures/items for each instrument will be included in the data dictionary.</w:t>
      </w:r>
    </w:p>
    <w:p>
      <w:pPr>
        <w:pStyle w:val="BodyText"/>
      </w:pPr>
      <w:r>
        <w:t xml:space="preserve">As you build your data dictionary, consider the following:</w:t>
      </w:r>
    </w:p>
    <w:p>
      <w:pPr>
        <w:numPr>
          <w:ilvl w:val="0"/>
          <w:numId w:val="1076"/>
        </w:numPr>
        <w:pStyle w:val="Compact"/>
      </w:pPr>
      <w:r>
        <w:t xml:space="preserve">Item names</w:t>
      </w:r>
    </w:p>
    <w:p>
      <w:pPr>
        <w:numPr>
          <w:ilvl w:val="1"/>
          <w:numId w:val="1077"/>
        </w:numPr>
        <w:pStyle w:val="Compact"/>
      </w:pPr>
      <w:r>
        <w:t xml:space="preserve">Are your variable names meeting the requirements laid out in your style guide?</w:t>
      </w:r>
    </w:p>
    <w:p>
      <w:pPr>
        <w:numPr>
          <w:ilvl w:val="1"/>
          <w:numId w:val="1077"/>
        </w:numPr>
        <w:pStyle w:val="Compact"/>
      </w:pPr>
      <w:r>
        <w:t xml:space="preserve">Are there any existing field standards that dictate how an item should be named?</w:t>
      </w:r>
    </w:p>
    <w:p>
      <w:pPr>
        <w:numPr>
          <w:ilvl w:val="0"/>
          <w:numId w:val="1076"/>
        </w:numPr>
        <w:pStyle w:val="Compact"/>
      </w:pPr>
      <w:r>
        <w:t xml:space="preserve">Item wording</w:t>
      </w:r>
    </w:p>
    <w:p>
      <w:pPr>
        <w:numPr>
          <w:ilvl w:val="1"/>
          <w:numId w:val="1078"/>
        </w:numPr>
        <w:pStyle w:val="Compact"/>
      </w:pPr>
      <w:r>
        <w:t xml:space="preserve">If your items come from an existing scale, does the item wording match the wording in the scale documentation? Do you plan to reword the item?</w:t>
      </w:r>
    </w:p>
    <w:p>
      <w:pPr>
        <w:numPr>
          <w:ilvl w:val="0"/>
          <w:numId w:val="1076"/>
        </w:numPr>
        <w:pStyle w:val="Compact"/>
      </w:pPr>
      <w:r>
        <w:t xml:space="preserve">Item value codes</w:t>
      </w:r>
    </w:p>
    <w:p>
      <w:pPr>
        <w:numPr>
          <w:ilvl w:val="1"/>
          <w:numId w:val="1079"/>
        </w:numPr>
        <w:pStyle w:val="Compact"/>
      </w:pPr>
      <w:r>
        <w:t xml:space="preserve">If your items come from an existing scale, does your value coding (the numeric values assigned to response options) align with the coding laid out in the scale documentation?</w:t>
      </w:r>
    </w:p>
    <w:p>
      <w:pPr>
        <w:numPr>
          <w:ilvl w:val="1"/>
          <w:numId w:val="1079"/>
        </w:numPr>
        <w:pStyle w:val="Compact"/>
      </w:pPr>
      <w:r>
        <w:t xml:space="preserve">If your items do not come from an existing scale, does your value coding align with the requirements in your style guide? Are there any field standards that dictate how an items values should be coded?</w:t>
      </w:r>
      <w:r>
        <w:br/>
      </w:r>
    </w:p>
    <w:p>
      <w:pPr>
        <w:numPr>
          <w:ilvl w:val="0"/>
          <w:numId w:val="1076"/>
        </w:numPr>
        <w:pStyle w:val="Compact"/>
      </w:pPr>
      <w:r>
        <w:t xml:space="preserve">Items</w:t>
      </w:r>
    </w:p>
    <w:p>
      <w:pPr>
        <w:numPr>
          <w:ilvl w:val="1"/>
          <w:numId w:val="1080"/>
        </w:numPr>
        <w:pStyle w:val="Compact"/>
      </w:pPr>
      <w:r>
        <w:t xml:space="preserve">What additional items will make up your final dataset (it could be items that you plan to add to the data after it is collected, e.g., treatment, unique identifiers, calculated variables)?</w:t>
      </w:r>
      <w:r>
        <w:br/>
      </w:r>
    </w:p>
    <w:p>
      <w:pPr>
        <w:numPr>
          <w:ilvl w:val="1"/>
          <w:numId w:val="1080"/>
        </w:numPr>
        <w:pStyle w:val="Compact"/>
      </w:pPr>
      <w:r>
        <w:t xml:space="preserve">What items should be removed before public data sharing (i.e.,</w:t>
      </w:r>
      <w:r>
        <w:t xml:space="preserve"> </w:t>
      </w:r>
      <w:hyperlink w:anchor="Xa39a3ee5e6b4b0d3255bfef95601890afd80709">
        <w:r>
          <w:rPr>
            <w:rStyle w:val="Hyperlink"/>
          </w:rPr>
          <w:t xml:space="preserve">personally identifiable information</w:t>
        </w:r>
      </w:hyperlink>
      <w:r>
        <w:t xml:space="preserve">)</w:t>
      </w:r>
    </w:p>
    <w:p>
      <w:pPr>
        <w:pStyle w:val="FirstParagraph"/>
      </w:pPr>
      <w:r>
        <w:t xml:space="preserve">For demonstration purposes only, the data dictionary in Figure</w:t>
      </w:r>
      <w:r>
        <w:t xml:space="preserve"> </w:t>
      </w:r>
      <w:r>
        <w:t xml:space="preserve">7.16</w:t>
      </w:r>
      <w:r>
        <w:t xml:space="preserve"> </w:t>
      </w:r>
      <w:r>
        <w:t xml:space="preserve">uses items from Patterns of Adaptive Learning Scales (PALS)</w:t>
      </w:r>
      <w:r>
        <w:t xml:space="preserve"> </w:t>
      </w:r>
      <w:r>
        <w:t xml:space="preserve">(</w:t>
      </w:r>
      <w:hyperlink w:anchor="ref-midgley_manual_2000">
        <w:r>
          <w:rPr>
            <w:rStyle w:val="Hyperlink"/>
          </w:rPr>
          <w:t xml:space="preserve">Midgley 2000</w:t>
        </w:r>
      </w:hyperlink>
      <w:r>
        <w:t xml:space="preserve">)</w:t>
      </w:r>
      <w:r>
        <w:t xml:space="preserve">. In an actual research study your dictionary would most likely include many more items and a variety of measures.</w:t>
      </w:r>
    </w:p>
    <w:p>
      <w:pPr>
        <w:pStyle w:val="CaptionedFigure"/>
      </w:pPr>
      <w:r>
        <w:drawing>
          <wp:inline>
            <wp:extent cx="5334000" cy="2512540"/>
            <wp:effectExtent b="0" l="0" r="0" t="0"/>
            <wp:docPr descr="Figure 7.16: Example student survey data dictionary" title="" id="313" name="Picture"/>
            <a:graphic>
              <a:graphicData uri="http://schemas.openxmlformats.org/drawingml/2006/picture">
                <pic:pic>
                  <pic:nvPicPr>
                    <pic:cNvPr descr="img/dictionary3.PNG" id="314" name="Picture"/>
                    <pic:cNvPicPr>
                      <a:picLocks noChangeArrowheads="1" noChangeAspect="1"/>
                    </pic:cNvPicPr>
                  </pic:nvPicPr>
                  <pic:blipFill>
                    <a:blip r:embed="rId312"/>
                    <a:stretch>
                      <a:fillRect/>
                    </a:stretch>
                  </pic:blipFill>
                  <pic:spPr bwMode="auto">
                    <a:xfrm>
                      <a:off x="0" y="0"/>
                      <a:ext cx="5334000" cy="2512540"/>
                    </a:xfrm>
                    <a:prstGeom prst="rect">
                      <a:avLst/>
                    </a:prstGeom>
                    <a:noFill/>
                    <a:ln w="9525">
                      <a:noFill/>
                      <a:headEnd/>
                      <a:tailEnd/>
                    </a:ln>
                  </pic:spPr>
                </pic:pic>
              </a:graphicData>
            </a:graphic>
          </wp:inline>
        </w:drawing>
      </w:r>
    </w:p>
    <w:p>
      <w:pPr>
        <w:pStyle w:val="ImageCaption"/>
      </w:pPr>
      <w:r>
        <w:t xml:space="preserve">Figure 7.16: Example student survey data dictionary</w:t>
      </w:r>
    </w:p>
    <w:p>
      <w:pPr>
        <w:pStyle w:val="BodyText"/>
      </w:pPr>
      <w:r>
        <w:t xml:space="preserve">The last step of creating your data dictionary, as it should be for every document you create in this documentation phase, is to review the document/s with your team.</w:t>
      </w:r>
    </w:p>
    <w:p>
      <w:pPr>
        <w:numPr>
          <w:ilvl w:val="0"/>
          <w:numId w:val="1081"/>
        </w:numPr>
        <w:pStyle w:val="Compact"/>
      </w:pPr>
      <w:r>
        <w:t xml:space="preserve">Is everyone in agreement about how variables are named, how values are coded, and our variable types?</w:t>
      </w:r>
    </w:p>
    <w:p>
      <w:pPr>
        <w:numPr>
          <w:ilvl w:val="0"/>
          <w:numId w:val="1081"/>
        </w:numPr>
        <w:pStyle w:val="Compact"/>
      </w:pPr>
      <w:r>
        <w:t xml:space="preserve">Is everyone in agreement about who gets each item?</w:t>
      </w:r>
      <w:r>
        <w:br/>
      </w:r>
    </w:p>
    <w:p>
      <w:pPr>
        <w:numPr>
          <w:ilvl w:val="0"/>
          <w:numId w:val="1081"/>
        </w:numPr>
        <w:pStyle w:val="Compact"/>
      </w:pPr>
      <w:r>
        <w:t xml:space="preserve">Does the team want to adjust any of the question/item wording?</w:t>
      </w:r>
    </w:p>
    <w:p>
      <w:pPr>
        <w:numPr>
          <w:ilvl w:val="0"/>
          <w:numId w:val="1081"/>
        </w:numPr>
        <w:pStyle w:val="Compact"/>
      </w:pPr>
      <w:r>
        <w:t xml:space="preserve">You’ll also want to confirm that the data dictionary includes everything the team plans to collect and no items are missing.</w:t>
      </w:r>
    </w:p>
    <w:p>
      <w:pPr>
        <w:numPr>
          <w:ilvl w:val="0"/>
          <w:numId w:val="1081"/>
        </w:numPr>
        <w:pStyle w:val="Compact"/>
      </w:pPr>
      <w:r>
        <w:t xml:space="preserve">If additional items are added to instruments at later time points, adding fields to your data dictionary, such as</w:t>
      </w:r>
      <w:r>
        <w:t xml:space="preserve"> </w:t>
      </w:r>
      <w:r>
        <w:t xml:space="preserve">“</w:t>
      </w:r>
      <w:r>
        <w:t xml:space="preserve">time periods available</w:t>
      </w:r>
      <w:r>
        <w:t xml:space="preserve">”</w:t>
      </w:r>
      <w:r>
        <w:t xml:space="preserve">, can be really helpful to future users in understanding why some items may be missing data at certain time points.</w:t>
      </w:r>
    </w:p>
    <w:bookmarkEnd w:id="315"/>
    <w:bookmarkStart w:id="316" w:name="X17630cc52bbfb2ea830bee93c6a43c660df02b3"/>
    <w:p>
      <w:pPr>
        <w:pStyle w:val="Heading4"/>
      </w:pPr>
      <w:r>
        <w:rPr>
          <w:rStyle w:val="SectionNumber"/>
        </w:rPr>
        <w:t xml:space="preserve">7.4.1.2</w:t>
      </w:r>
      <w:r>
        <w:tab/>
      </w:r>
      <w:r>
        <w:t xml:space="preserve">Creating a data dictionary from an existing data source</w:t>
      </w:r>
    </w:p>
    <w:p>
      <w:pPr>
        <w:pStyle w:val="FirstParagraph"/>
      </w:pPr>
      <w:r>
        <w:t xml:space="preserve">Not all research study data will be gathered through original data collection methods. You may be collecting external data sources from organizations like school districts or state departments of education. In these cases, you will begin building your data dictionaries later in the cycle, when data is received. Rather than the forward-moving flow we discussed before where the dictionary is built first, we will now have to work backwards to answer questions about our data.</w:t>
      </w:r>
    </w:p>
    <w:p>
      <w:pPr>
        <w:pStyle w:val="BodyText"/>
      </w:pPr>
      <w:r>
        <w:t xml:space="preserve">The first step in building your data dictionary is to review your existing data. Yet, it turns out that all this tells you is what</w:t>
      </w:r>
      <w:r>
        <w:t xml:space="preserve"> </w:t>
      </w:r>
      <w:r>
        <w:rPr>
          <w:bCs/>
          <w:b/>
        </w:rPr>
        <w:t xml:space="preserve">does</w:t>
      </w:r>
      <w:r>
        <w:t xml:space="preserve"> </w:t>
      </w:r>
      <w:r>
        <w:t xml:space="preserve">exist in the data, not what</w:t>
      </w:r>
      <w:r>
        <w:t xml:space="preserve"> </w:t>
      </w:r>
      <w:r>
        <w:rPr>
          <w:bCs/>
          <w:b/>
        </w:rPr>
        <w:t xml:space="preserve">should</w:t>
      </w:r>
      <w:r>
        <w:t xml:space="preserve"> </w:t>
      </w:r>
      <w:r>
        <w:t xml:space="preserve">exist in the data. Items could be incorrectly coded, columns could be assigned the incorrect variable type, etc. As you review your data, start to collect questions such as:</w:t>
      </w:r>
    </w:p>
    <w:p>
      <w:pPr>
        <w:numPr>
          <w:ilvl w:val="0"/>
          <w:numId w:val="1082"/>
        </w:numPr>
        <w:pStyle w:val="Compact"/>
      </w:pPr>
      <w:r>
        <w:t xml:space="preserve">What do these variables represent?</w:t>
      </w:r>
    </w:p>
    <w:p>
      <w:pPr>
        <w:numPr>
          <w:ilvl w:val="1"/>
          <w:numId w:val="1083"/>
        </w:numPr>
        <w:pStyle w:val="Compact"/>
      </w:pPr>
      <w:r>
        <w:t xml:space="preserve">What was the wording of these items?</w:t>
      </w:r>
    </w:p>
    <w:p>
      <w:pPr>
        <w:numPr>
          <w:ilvl w:val="0"/>
          <w:numId w:val="1082"/>
        </w:numPr>
        <w:pStyle w:val="Compact"/>
      </w:pPr>
      <w:r>
        <w:t xml:space="preserve">Who received the items?</w:t>
      </w:r>
    </w:p>
    <w:p>
      <w:pPr>
        <w:numPr>
          <w:ilvl w:val="0"/>
          <w:numId w:val="1082"/>
        </w:numPr>
        <w:pStyle w:val="Compact"/>
      </w:pPr>
      <w:r>
        <w:t xml:space="preserve">What do these values represent?</w:t>
      </w:r>
    </w:p>
    <w:p>
      <w:pPr>
        <w:numPr>
          <w:ilvl w:val="1"/>
          <w:numId w:val="1084"/>
        </w:numPr>
        <w:pStyle w:val="Compact"/>
      </w:pPr>
      <w:r>
        <w:t xml:space="preserve">Am I seeing the full range of values/categorical options for each item? Or was the range larger than what I am seeing?</w:t>
      </w:r>
    </w:p>
    <w:p>
      <w:pPr>
        <w:numPr>
          <w:ilvl w:val="1"/>
          <w:numId w:val="1084"/>
        </w:numPr>
        <w:pStyle w:val="Compact"/>
      </w:pPr>
      <w:r>
        <w:t xml:space="preserve">Do I have values in my data that don’t make sense for an item?</w:t>
      </w:r>
    </w:p>
    <w:p>
      <w:pPr>
        <w:numPr>
          <w:ilvl w:val="0"/>
          <w:numId w:val="1082"/>
        </w:numPr>
        <w:pStyle w:val="Compact"/>
      </w:pPr>
      <w:r>
        <w:t xml:space="preserve">What data types are the items currently? What types should they be?</w:t>
      </w:r>
    </w:p>
    <w:p>
      <w:pPr>
        <w:pStyle w:val="FirstParagraph"/>
      </w:pPr>
      <w:r>
        <w:t xml:space="preserve">To answer those questions, you may need to do some additional detective work.</w:t>
      </w:r>
    </w:p>
    <w:p>
      <w:pPr>
        <w:numPr>
          <w:ilvl w:val="0"/>
          <w:numId w:val="1085"/>
        </w:numPr>
        <w:pStyle w:val="Compact"/>
      </w:pPr>
      <w:r>
        <w:t xml:space="preserve">Contact the person who originally collected the data to learn more about the instrument and the data.</w:t>
      </w:r>
      <w:r>
        <w:br/>
      </w:r>
    </w:p>
    <w:p>
      <w:pPr>
        <w:numPr>
          <w:ilvl w:val="0"/>
          <w:numId w:val="1085"/>
        </w:numPr>
        <w:pStyle w:val="Compact"/>
      </w:pPr>
      <w:r>
        <w:t xml:space="preserve">Contact the person who cleaned the data (if cleaned) to see what transformations they completed on the raw data.</w:t>
      </w:r>
      <w:r>
        <w:br/>
      </w:r>
    </w:p>
    <w:p>
      <w:pPr>
        <w:numPr>
          <w:ilvl w:val="0"/>
          <w:numId w:val="1085"/>
        </w:numPr>
        <w:pStyle w:val="Compact"/>
      </w:pPr>
      <w:r>
        <w:t xml:space="preserve">Request access to the original instruments to review exact question wording, item response options, skip patterns, etc.</w:t>
      </w:r>
    </w:p>
    <w:p>
      <w:pPr>
        <w:numPr>
          <w:ilvl w:val="0"/>
          <w:numId w:val="1085"/>
        </w:numPr>
        <w:pStyle w:val="Compact"/>
      </w:pPr>
      <w:r>
        <w:t xml:space="preserve">Request any documentation that the original owners have. For example, do they have their own data dictionaries, codebooks, or syntax that might help you understand what is going on in the data?</w:t>
      </w:r>
    </w:p>
    <w:p>
      <w:pPr>
        <w:pStyle w:val="FirstParagraph"/>
      </w:pPr>
      <w:r>
        <w:t xml:space="preserve">Ultimately you should end up with a data dictionary structured similarly to the one above. You may add additional fields that help you keep track of further changes (e.g., a column for the old variable name and a column for your new variable name), and your transformations section may become more verbose as the values assigned previously may not align with the values you prefer based on your style guide or the existing measures. Otherwise, the data dictionary should still be constructed in the same manner mentioned above.</w:t>
      </w:r>
    </w:p>
    <w:bookmarkEnd w:id="316"/>
    <w:bookmarkStart w:id="319" w:name="time-well-spent"/>
    <w:p>
      <w:pPr>
        <w:pStyle w:val="Heading4"/>
      </w:pPr>
      <w:r>
        <w:rPr>
          <w:rStyle w:val="SectionNumber"/>
        </w:rPr>
        <w:t xml:space="preserve">7.4.1.3</w:t>
      </w:r>
      <w:r>
        <w:tab/>
      </w:r>
      <w:r>
        <w:t xml:space="preserve">Time well spent</w:t>
      </w:r>
    </w:p>
    <w:p>
      <w:pPr>
        <w:pStyle w:val="FirstParagraph"/>
      </w:pPr>
      <w:r>
        <w:t xml:space="preserve">The process described in this section is a manual, time consuming process. This is intentional. Building your data dictionary is an information seeking journey where you take time to understand your dataset, create standardization of items, and plan for data transformations. Spending time manually creating this document before collecting data prevents many potential errors and time lost fixing data in the future. While there are absolutely ways you can automate the creation of a data dictionary using an existing dataset, the only time I can imagine that being useful is when you have a clean dataset that you have confidently already verified is accurate and ready to be shared. However, as mentioned before, a data dictionary is so much more than a document to be shared alongside a public dataset. It is a tool for guiding many other processes in your research data life cycle.</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Data dictionary template</w:t>
            </w:r>
            <w:r>
              <w:t xml:space="preserve"> </w:t>
            </w:r>
            <w:r>
              <w:rPr>
                <w:rStyle w:val="FootnoteReference"/>
              </w:rPr>
              <w:footnoteReference w:id="317"/>
            </w:r>
          </w:p>
        </w:tc>
      </w:tr>
    </w:tbl>
    <w:bookmarkEnd w:id="319"/>
    <w:bookmarkEnd w:id="320"/>
    <w:bookmarkStart w:id="331" w:name="codebook"/>
    <w:p>
      <w:pPr>
        <w:pStyle w:val="Heading3"/>
      </w:pPr>
      <w:r>
        <w:rPr>
          <w:rStyle w:val="SectionNumber"/>
        </w:rPr>
        <w:t xml:space="preserve">7.4.2</w:t>
      </w:r>
      <w:r>
        <w:tab/>
      </w:r>
      <w:r>
        <w:t xml:space="preserve">Codebook</w:t>
      </w:r>
    </w:p>
    <w:p>
      <w:pPr>
        <w:pStyle w:val="FirstParagraph"/>
      </w:pPr>
      <w:r>
        <w:t xml:space="preserve">A codebook documents the contents, structure, and layout of a data file</w:t>
      </w:r>
      <w:r>
        <w:t xml:space="preserve">(</w:t>
      </w:r>
      <w:hyperlink w:anchor="ref-icpsr_guide_2011">
        <w:r>
          <w:rPr>
            <w:rStyle w:val="Hyperlink"/>
          </w:rPr>
          <w:t xml:space="preserve">ICPSR 2011</w:t>
        </w:r>
      </w:hyperlink>
      <w:r>
        <w:t xml:space="preserve">)</w:t>
      </w:r>
      <w:r>
        <w:t xml:space="preserve">. It enables the user to quickly ascertain some of the details about a dataset without ever opening the file. Unlike a data dictionary, a codebook is created</w:t>
      </w:r>
      <w:r>
        <w:t xml:space="preserve"> </w:t>
      </w:r>
      <w:r>
        <w:rPr>
          <w:bCs/>
          <w:b/>
        </w:rPr>
        <w:t xml:space="preserve">after</w:t>
      </w:r>
      <w:r>
        <w:t xml:space="preserve"> </w:t>
      </w:r>
      <w:r>
        <w:t xml:space="preserve">your data is collected and cleaned and its value lies in data interpretation and data validation.</w:t>
      </w:r>
    </w:p>
    <w:p>
      <w:pPr>
        <w:pStyle w:val="BodyText"/>
      </w:pPr>
      <w:r>
        <w:t xml:space="preserve">The codebook contains some information that overlaps with a data dictionary, but is more of a summary document of what actually exists in your dataset.</w:t>
      </w:r>
    </w:p>
    <w:p>
      <w:pPr>
        <w:pStyle w:val="CaptionedFigure"/>
      </w:pPr>
      <w:r>
        <w:drawing>
          <wp:inline>
            <wp:extent cx="5334000" cy="1727133"/>
            <wp:effectExtent b="0" l="0" r="0" t="0"/>
            <wp:docPr descr="Figure 7.17: Codebook content that overlaps and is unique to a data dictionary" title="" id="322" name="Picture"/>
            <a:graphic>
              <a:graphicData uri="http://schemas.openxmlformats.org/drawingml/2006/picture">
                <pic:pic>
                  <pic:nvPicPr>
                    <pic:cNvPr descr="img/codebook.PNG" id="323" name="Picture"/>
                    <pic:cNvPicPr>
                      <a:picLocks noChangeArrowheads="1" noChangeAspect="1"/>
                    </pic:cNvPicPr>
                  </pic:nvPicPr>
                  <pic:blipFill>
                    <a:blip r:embed="rId321"/>
                    <a:stretch>
                      <a:fillRect/>
                    </a:stretch>
                  </pic:blipFill>
                  <pic:spPr bwMode="auto">
                    <a:xfrm>
                      <a:off x="0" y="0"/>
                      <a:ext cx="5334000" cy="1727133"/>
                    </a:xfrm>
                    <a:prstGeom prst="rect">
                      <a:avLst/>
                    </a:prstGeom>
                    <a:noFill/>
                    <a:ln w="9525">
                      <a:noFill/>
                      <a:headEnd/>
                      <a:tailEnd/>
                    </a:ln>
                  </pic:spPr>
                </pic:pic>
              </a:graphicData>
            </a:graphic>
          </wp:inline>
        </w:drawing>
      </w:r>
    </w:p>
    <w:p>
      <w:pPr>
        <w:pStyle w:val="ImageCaption"/>
      </w:pPr>
      <w:r>
        <w:t xml:space="preserve">Figure 7.17: Codebook content that overlaps and is unique to a data dictionary</w:t>
      </w:r>
    </w:p>
    <w:p>
      <w:pPr>
        <w:pStyle w:val="BodyText"/>
      </w:pPr>
      <w:r>
        <w:t xml:space="preserve">Ultimately, you want to export a codebook that contains variable-level information like this document in Figure</w:t>
      </w:r>
      <w:r>
        <w:t xml:space="preserve"> </w:t>
      </w:r>
      <w:r>
        <w:t xml:space="preserve">7.18</w:t>
      </w:r>
      <w:r>
        <w:t xml:space="preserve"> </w:t>
      </w:r>
      <w:r>
        <w:t xml:space="preserve">from the United States Department of Health and Human Services</w:t>
      </w:r>
      <w:r>
        <w:t xml:space="preserve"> </w:t>
      </w:r>
      <w:r>
        <w:t xml:space="preserve">(</w:t>
      </w:r>
      <w:hyperlink w:anchor="X3df9d6f9d14e55876f7a5471a823d557014026a">
        <w:r>
          <w:rPr>
            <w:rStyle w:val="Hyperlink"/>
          </w:rPr>
          <w:t xml:space="preserve">2022</w:t>
        </w:r>
      </w:hyperlink>
      <w:r>
        <w:t xml:space="preserve">)</w:t>
      </w:r>
      <w:r>
        <w:t xml:space="preserve">.</w:t>
      </w:r>
    </w:p>
    <w:p>
      <w:pPr>
        <w:pStyle w:val="CaptionedFigure"/>
      </w:pPr>
      <w:r>
        <w:drawing>
          <wp:inline>
            <wp:extent cx="4968453" cy="5492794"/>
            <wp:effectExtent b="0" l="0" r="0" t="0"/>
            <wp:docPr descr="Figure 7.18: Example codebook content from the SCOPE Coach Survey" title="" id="325" name="Picture"/>
            <a:graphic>
              <a:graphicData uri="http://schemas.openxmlformats.org/drawingml/2006/picture">
                <pic:pic>
                  <pic:nvPicPr>
                    <pic:cNvPr descr="img/codebook2.PNG" id="326" name="Picture"/>
                    <pic:cNvPicPr>
                      <a:picLocks noChangeArrowheads="1" noChangeAspect="1"/>
                    </pic:cNvPicPr>
                  </pic:nvPicPr>
                  <pic:blipFill>
                    <a:blip r:embed="rId324"/>
                    <a:stretch>
                      <a:fillRect/>
                    </a:stretch>
                  </pic:blipFill>
                  <pic:spPr bwMode="auto">
                    <a:xfrm>
                      <a:off x="0" y="0"/>
                      <a:ext cx="4968453" cy="5492794"/>
                    </a:xfrm>
                    <a:prstGeom prst="rect">
                      <a:avLst/>
                    </a:prstGeom>
                    <a:noFill/>
                    <a:ln w="9525">
                      <a:noFill/>
                      <a:headEnd/>
                      <a:tailEnd/>
                    </a:ln>
                  </pic:spPr>
                </pic:pic>
              </a:graphicData>
            </a:graphic>
          </wp:inline>
        </w:drawing>
      </w:r>
    </w:p>
    <w:p>
      <w:pPr>
        <w:pStyle w:val="ImageCaption"/>
      </w:pPr>
      <w:r>
        <w:t xml:space="preserve">Figure 7.18: Example codebook content from the SCOPE Coach Survey</w:t>
      </w:r>
    </w:p>
    <w:p>
      <w:pPr>
        <w:pStyle w:val="BodyText"/>
      </w:pPr>
      <w:r>
        <w:t xml:space="preserve">In addition to being an excellent resource for users to review your data without ever opening the file, this document may also help you catch errors in your data is out of range or unexpected values appear.</w:t>
      </w:r>
    </w:p>
    <w:p>
      <w:pPr>
        <w:pStyle w:val="BodyText"/>
      </w:pPr>
      <w:r>
        <w:t xml:space="preserve">You can create separate codebooks per dataset or have them all contained in one document, clickable through a table of contents. Unlike a data dictionary, which I recommend creating manually, a codebook should be created through an automated process. Automating codebooks will not only save you tons of time, but it will also reduce errors that are made in manual entry. You can use many tools to create codebooks, including point and click statistical programs such as SPSS, or with a little programming knowledge you can more flexibly design codebooks using programs like R or SAS. For example, the R programming language has many packages that will create and export codebooks in a variety of formats from your existing dataset by just running a few functions</w:t>
      </w:r>
      <w:r>
        <w:t xml:space="preserve"> </w:t>
      </w:r>
      <w:r>
        <w:t xml:space="preserve">(</w:t>
      </w:r>
      <w:hyperlink w:anchor="ref-lewis_codebook_2023">
        <w:r>
          <w:rPr>
            <w:rStyle w:val="Hyperlink"/>
          </w:rPr>
          <w:t xml:space="preserve">Lewis 2023</w:t>
        </w:r>
      </w:hyperlink>
      <w:r>
        <w:t xml:space="preserve">)</w:t>
      </w:r>
      <w:r>
        <w:t xml:space="preserve">.</w:t>
      </w:r>
    </w:p>
    <w:p>
      <w:pPr>
        <w:pStyle w:val="BodyText"/>
      </w:pPr>
      <w:r>
        <w:t xml:space="preserve">Last, you may notice as you review codebooks, that many will start with several pages of text, usually containing information about the project. When it comes time to share their data, it’s common for people to combine information from their research protocol or Readme files, into their codebooks, rather than sharing separate documents.</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ICPSR</w:t>
            </w:r>
          </w:p>
        </w:tc>
        <w:tc>
          <w:tcPr/>
          <w:p>
            <w:pPr>
              <w:pStyle w:val="Compact"/>
              <w:jc w:val="left"/>
            </w:pPr>
            <w:r>
              <w:t xml:space="preserve">Guide to Codebooks</w:t>
            </w:r>
            <w:r>
              <w:t xml:space="preserve"> </w:t>
            </w:r>
            <w:r>
              <w:rPr>
                <w:rStyle w:val="FootnoteReference"/>
              </w:rPr>
              <w:footnoteReference w:id="327"/>
            </w:r>
          </w:p>
        </w:tc>
      </w:tr>
      <w:tr>
        <w:tc>
          <w:tcPr/>
          <w:p>
            <w:pPr>
              <w:pStyle w:val="Compact"/>
              <w:jc w:val="left"/>
            </w:pPr>
            <w:r>
              <w:t xml:space="preserve">National Center for Health Statistics</w:t>
            </w:r>
          </w:p>
        </w:tc>
        <w:tc>
          <w:tcPr/>
          <w:p>
            <w:pPr>
              <w:pStyle w:val="Compact"/>
              <w:jc w:val="left"/>
            </w:pPr>
            <w:r>
              <w:t xml:space="preserve">Example codebook</w:t>
            </w:r>
            <w:r>
              <w:t xml:space="preserve"> </w:t>
            </w:r>
            <w:r>
              <w:rPr>
                <w:rStyle w:val="FootnoteReference"/>
              </w:rPr>
              <w:footnoteReference w:id="329"/>
            </w:r>
          </w:p>
        </w:tc>
      </w:tr>
    </w:tbl>
    <w:bookmarkEnd w:id="331"/>
    <w:bookmarkEnd w:id="332"/>
    <w:bookmarkStart w:id="354" w:name="metadata"/>
    <w:p>
      <w:pPr>
        <w:pStyle w:val="Heading2"/>
      </w:pPr>
      <w:r>
        <w:rPr>
          <w:rStyle w:val="SectionNumber"/>
        </w:rPr>
        <w:t xml:space="preserve">7.5</w:t>
      </w:r>
      <w:r>
        <w:tab/>
      </w:r>
      <w:r>
        <w:t xml:space="preserve">Metadata</w:t>
      </w:r>
    </w:p>
    <w:p>
      <w:pPr>
        <w:pStyle w:val="FirstParagraph"/>
      </w:pPr>
      <w:r>
        <w:t xml:space="preserve">The last type of documentation to discuss is metadata, which is created in the</w:t>
      </w:r>
      <w:r>
        <w:t xml:space="preserve"> </w:t>
      </w:r>
      <w:r>
        <w:t xml:space="preserve">“</w:t>
      </w:r>
      <w:r>
        <w:t xml:space="preserve">prepare for archiving</w:t>
      </w:r>
      <w:r>
        <w:t xml:space="preserve">”</w:t>
      </w:r>
      <w:r>
        <w:t xml:space="preserve"> </w:t>
      </w:r>
      <w:r>
        <w:t xml:space="preserve">phase. When depositing your data in a repository, you will submit two types of documentation, human-readable documentation, which includes any of the documents we’ve previously discussed, and metadata. Metadata, data about your data, is documentation that is meant to be processed by machines and serves the purpose of making your files searchable</w:t>
      </w:r>
      <w:r>
        <w:t xml:space="preserve"> </w:t>
      </w:r>
      <w:r>
        <w:t xml:space="preserve">(</w:t>
      </w:r>
      <w:hyperlink w:anchor="ref-cessda_documentation_nodate">
        <w:r>
          <w:rPr>
            <w:rStyle w:val="Hyperlink"/>
          </w:rPr>
          <w:t xml:space="preserve">CESSDA n.d.b</w:t>
        </w:r>
      </w:hyperlink>
      <w:r>
        <w:t xml:space="preserve">;</w:t>
      </w:r>
      <w:r>
        <w:t xml:space="preserve"> </w:t>
      </w:r>
      <w:hyperlink w:anchor="Xb6fde4699a3a569528f1ebb5291fe3ae7840150">
        <w:r>
          <w:rPr>
            <w:rStyle w:val="Hyperlink"/>
          </w:rPr>
          <w:t xml:space="preserve">Danish National Forum for Research Data Management n.d.</w:t>
        </w:r>
      </w:hyperlink>
      <w:r>
        <w:t xml:space="preserve">)</w:t>
      </w:r>
      <w:r>
        <w:t xml:space="preserve">. Metadata aids in the cataloging, citing, discovering, and retrieving of data and its creation is a critical step in creating</w:t>
      </w:r>
      <w:r>
        <w:t xml:space="preserve"> </w:t>
      </w:r>
      <w:bookmarkStart w:id="333" w:name="fair"/>
      <w:r>
        <w:t xml:space="preserve">FAIR</w:t>
      </w:r>
      <w:bookmarkEnd w:id="333"/>
      <w:r>
        <w:t xml:space="preserve"> </w:t>
      </w:r>
      <w:r>
        <w:t xml:space="preserve">data</w:t>
      </w:r>
      <w:r>
        <w:t xml:space="preserve">(</w:t>
      </w:r>
      <w:hyperlink w:anchor="ref-go_fair_fair_nodate">
        <w:r>
          <w:rPr>
            <w:rStyle w:val="Hyperlink"/>
          </w:rPr>
          <w:t xml:space="preserve">GO FAIR n.d.</w:t>
        </w:r>
      </w:hyperlink>
      <w:r>
        <w:t xml:space="preserve">;</w:t>
      </w:r>
      <w:r>
        <w:t xml:space="preserve"> </w:t>
      </w:r>
      <w:hyperlink w:anchor="ref-logan_data_2021">
        <w:r>
          <w:rPr>
            <w:rStyle w:val="Hyperlink"/>
          </w:rPr>
          <w:t xml:space="preserve">Logan, Hart, and Schatschneider 2021</w:t>
        </w:r>
      </w:hyperlink>
      <w:r>
        <w:t xml:space="preserve">;</w:t>
      </w:r>
      <w:r>
        <w:t xml:space="preserve"> </w:t>
      </w:r>
      <w:hyperlink w:anchor="ref-uk_data_service_metadata_nodate">
        <w:r>
          <w:rPr>
            <w:rStyle w:val="Hyperlink"/>
          </w:rPr>
          <w:t xml:space="preserve">UK Data Service n.d.a</w:t>
        </w:r>
      </w:hyperlink>
      <w:r>
        <w:t xml:space="preserve">)</w:t>
      </w:r>
      <w:r>
        <w:t xml:space="preserve">.</w:t>
      </w:r>
    </w:p>
    <w:p>
      <w:pPr>
        <w:pStyle w:val="BodyText"/>
      </w:pPr>
      <w:r>
        <w:t xml:space="preserve">For the most part, no additional work is needed to create metadata when depositing your data in a repository. It will simply be created as part of the depositing process</w:t>
      </w:r>
      <w:r>
        <w:t xml:space="preserve"> </w:t>
      </w:r>
      <w:r>
        <w:t xml:space="preserve">(</w:t>
      </w:r>
      <w:hyperlink w:anchor="ref-cessda_documentation_nodate">
        <w:r>
          <w:rPr>
            <w:rStyle w:val="Hyperlink"/>
          </w:rPr>
          <w:t xml:space="preserve">CESSDA n.d.b</w:t>
        </w:r>
      </w:hyperlink>
      <w:r>
        <w:t xml:space="preserve">;</w:t>
      </w:r>
      <w:r>
        <w:t xml:space="preserve"> </w:t>
      </w:r>
      <w:hyperlink w:anchor="Xde77f99fd3804727ede33d315e2d6ad339f132f">
        <w:r>
          <w:rPr>
            <w:rStyle w:val="Hyperlink"/>
          </w:rPr>
          <w:t xml:space="preserve">University of Iowa Libraries n.d.</w:t>
        </w:r>
      </w:hyperlink>
      <w:r>
        <w:t xml:space="preserve">)</w:t>
      </w:r>
      <w:r>
        <w:t xml:space="preserve">. As you deposit your data, the repository may have you fill out a form that contains descriptive (description of project and files), administrative (licensing and ownership as well as technical information), and structural (relationships between objects) metadata</w:t>
      </w:r>
      <w:r>
        <w:t xml:space="preserve"> </w:t>
      </w:r>
      <w:r>
        <w:t xml:space="preserve">(</w:t>
      </w:r>
      <w:hyperlink w:anchor="ref-cofield_libguides_nodate">
        <w:r>
          <w:rPr>
            <w:rStyle w:val="Hyperlink"/>
          </w:rPr>
          <w:t xml:space="preserve">Cofield n.d.</w:t>
        </w:r>
      </w:hyperlink>
      <w:r>
        <w:t xml:space="preserve">;</w:t>
      </w:r>
      <w:r>
        <w:t xml:space="preserve"> </w:t>
      </w:r>
      <w:hyperlink w:anchor="Xb6fde4699a3a569528f1ebb5291fe3ae7840150">
        <w:r>
          <w:rPr>
            <w:rStyle w:val="Hyperlink"/>
          </w:rPr>
          <w:t xml:space="preserve">Danish National Forum for Research Data Management n.d.</w:t>
        </w:r>
      </w:hyperlink>
      <w:r>
        <w:t xml:space="preserve">)</w:t>
      </w:r>
      <w:r>
        <w:t xml:space="preserve">. The information from this form will become your metadata</w:t>
      </w:r>
      <w:r>
        <w:t xml:space="preserve"> </w:t>
      </w:r>
      <w:r>
        <w:t xml:space="preserve">(</w:t>
      </w:r>
      <w:hyperlink w:anchor="ref-figshare_figshare_nodate">
        <w:r>
          <w:rPr>
            <w:rStyle w:val="Hyperlink"/>
          </w:rPr>
          <w:t xml:space="preserve">Figshare n.d.</w:t>
        </w:r>
      </w:hyperlink>
      <w:r>
        <w:t xml:space="preserve">)</w:t>
      </w:r>
      <w:r>
        <w:t xml:space="preserve">. Figure</w:t>
      </w:r>
      <w:r>
        <w:t xml:space="preserve"> </w:t>
      </w:r>
      <w:r>
        <w:t xml:space="preserve">7.19</w:t>
      </w:r>
      <w:r>
        <w:t xml:space="preserve"> </w:t>
      </w:r>
      <w:r>
        <w:t xml:space="preserve">is an example of an intake form for the repository, Figshare (</w:t>
      </w:r>
      <w:hyperlink r:id="rId334">
        <w:r>
          <w:rPr>
            <w:rStyle w:val="Hyperlink"/>
          </w:rPr>
          <w:t xml:space="preserve">https://figshare.com/</w:t>
        </w:r>
      </w:hyperlink>
      <w:r>
        <w:t xml:space="preserve">).</w:t>
      </w:r>
    </w:p>
    <w:p>
      <w:pPr>
        <w:pStyle w:val="CaptionedFigure"/>
      </w:pPr>
      <w:r>
        <w:drawing>
          <wp:inline>
            <wp:extent cx="5334000" cy="7252297"/>
            <wp:effectExtent b="0" l="0" r="0" t="0"/>
            <wp:docPr descr="Figure 7.19: Example intake metadata form for Figshare repository" title="" id="336" name="Picture"/>
            <a:graphic>
              <a:graphicData uri="http://schemas.openxmlformats.org/drawingml/2006/picture">
                <pic:pic>
                  <pic:nvPicPr>
                    <pic:cNvPr descr="img/metadata4.PNG" id="337" name="Picture"/>
                    <pic:cNvPicPr>
                      <a:picLocks noChangeArrowheads="1" noChangeAspect="1"/>
                    </pic:cNvPicPr>
                  </pic:nvPicPr>
                  <pic:blipFill>
                    <a:blip r:embed="rId335"/>
                    <a:stretch>
                      <a:fillRect/>
                    </a:stretch>
                  </pic:blipFill>
                  <pic:spPr bwMode="auto">
                    <a:xfrm>
                      <a:off x="0" y="0"/>
                      <a:ext cx="5334000" cy="7252297"/>
                    </a:xfrm>
                    <a:prstGeom prst="rect">
                      <a:avLst/>
                    </a:prstGeom>
                    <a:noFill/>
                    <a:ln w="9525">
                      <a:noFill/>
                      <a:headEnd/>
                      <a:tailEnd/>
                    </a:ln>
                  </pic:spPr>
                </pic:pic>
              </a:graphicData>
            </a:graphic>
          </wp:inline>
        </w:drawing>
      </w:r>
    </w:p>
    <w:p>
      <w:pPr>
        <w:pStyle w:val="ImageCaption"/>
      </w:pPr>
      <w:r>
        <w:t xml:space="preserve">Figure 7.19: Example intake metadata form for Figshare repository</w:t>
      </w:r>
    </w:p>
    <w:p>
      <w:pPr>
        <w:pStyle w:val="BodyText"/>
      </w:pPr>
      <w:r>
        <w:t xml:space="preserve">The most common metadata elements</w:t>
      </w:r>
      <w:r>
        <w:t xml:space="preserve">(</w:t>
      </w:r>
      <w:hyperlink w:anchor="ref-dahdul_research_nodate">
        <w:r>
          <w:rPr>
            <w:rStyle w:val="Hyperlink"/>
          </w:rPr>
          <w:t xml:space="preserve">Dahdul n.d.</w:t>
        </w:r>
      </w:hyperlink>
      <w:r>
        <w:t xml:space="preserve">;</w:t>
      </w:r>
      <w:r>
        <w:t xml:space="preserve"> </w:t>
      </w:r>
      <w:hyperlink w:anchor="ref-hayslett_libguides_nodate">
        <w:r>
          <w:rPr>
            <w:rStyle w:val="Hyperlink"/>
          </w:rPr>
          <w:t xml:space="preserve">Hayslett n.d.</w:t>
        </w:r>
      </w:hyperlink>
      <w:r>
        <w:t xml:space="preserve">)</w:t>
      </w:r>
      <w:r>
        <w:t xml:space="preserve"> </w:t>
      </w:r>
      <w:r>
        <w:t xml:space="preserve">are included in Figure</w:t>
      </w:r>
      <w:r>
        <w:t xml:space="preserve"> </w:t>
      </w:r>
      <w:r>
        <w:t xml:space="preserve">7.20</w:t>
      </w:r>
      <w:r>
        <w:t xml:space="preserve">.</w:t>
      </w:r>
    </w:p>
    <w:p>
      <w:pPr>
        <w:pStyle w:val="CaptionedFigure"/>
      </w:pPr>
      <w:r>
        <w:drawing>
          <wp:inline>
            <wp:extent cx="5334000" cy="3233017"/>
            <wp:effectExtent b="0" l="0" r="0" t="0"/>
            <wp:docPr descr="Figure 7.20: Common metadata elements" title="" id="339" name="Picture"/>
            <a:graphic>
              <a:graphicData uri="http://schemas.openxmlformats.org/drawingml/2006/picture">
                <pic:pic>
                  <pic:nvPicPr>
                    <pic:cNvPr descr="img/metadata.PNG" id="340" name="Picture"/>
                    <pic:cNvPicPr>
                      <a:picLocks noChangeArrowheads="1" noChangeAspect="1"/>
                    </pic:cNvPicPr>
                  </pic:nvPicPr>
                  <pic:blipFill>
                    <a:blip r:embed="rId338"/>
                    <a:stretch>
                      <a:fillRect/>
                    </a:stretch>
                  </pic:blipFill>
                  <pic:spPr bwMode="auto">
                    <a:xfrm>
                      <a:off x="0" y="0"/>
                      <a:ext cx="5334000" cy="3233017"/>
                    </a:xfrm>
                    <a:prstGeom prst="rect">
                      <a:avLst/>
                    </a:prstGeom>
                    <a:noFill/>
                    <a:ln w="9525">
                      <a:noFill/>
                      <a:headEnd/>
                      <a:tailEnd/>
                    </a:ln>
                  </pic:spPr>
                </pic:pic>
              </a:graphicData>
            </a:graphic>
          </wp:inline>
        </w:drawing>
      </w:r>
    </w:p>
    <w:p>
      <w:pPr>
        <w:pStyle w:val="ImageCaption"/>
      </w:pPr>
      <w:r>
        <w:t xml:space="preserve">Figure 7.20: Common metadata elements</w:t>
      </w:r>
    </w:p>
    <w:p>
      <w:pPr>
        <w:pStyle w:val="BodyText"/>
      </w:pPr>
      <w:r>
        <w:t xml:space="preserve">Depending on the repository, at minimum, you will enter basic project-level metadata similar to above, but you may be required or have the option to enter more comprehensive information, such as project-level information covered in your research protocol. You may also have the option to enter additional levels of metadata that will help make each level more searchable, such as file-level or variable-level metadata</w:t>
      </w:r>
      <w:r>
        <w:t xml:space="preserve"> </w:t>
      </w:r>
      <w:r>
        <w:t xml:space="preserve">(</w:t>
      </w:r>
      <w:hyperlink w:anchor="ref-gilmore_practical_2018">
        <w:r>
          <w:rPr>
            <w:rStyle w:val="Hyperlink"/>
          </w:rPr>
          <w:t xml:space="preserve">Gilmore, Kennedy, and Adolph 2018</w:t>
        </w:r>
      </w:hyperlink>
      <w:r>
        <w:t xml:space="preserve">;</w:t>
      </w:r>
      <w:r>
        <w:t xml:space="preserve"> </w:t>
      </w:r>
      <w:hyperlink w:anchor="ref-icpsr_icpsr_nodate">
        <w:r>
          <w:rPr>
            <w:rStyle w:val="Hyperlink"/>
          </w:rPr>
          <w:t xml:space="preserve">ICPSR n.d.b</w:t>
        </w:r>
      </w:hyperlink>
      <w:r>
        <w:t xml:space="preserve">;</w:t>
      </w:r>
      <w:r>
        <w:t xml:space="preserve"> </w:t>
      </w:r>
      <w:hyperlink w:anchor="ref-ldbase_information_nodate">
        <w:r>
          <w:rPr>
            <w:rStyle w:val="Hyperlink"/>
          </w:rPr>
          <w:t xml:space="preserve">LDbase n.d.b</w:t>
        </w:r>
      </w:hyperlink>
      <w:r>
        <w:t xml:space="preserve">)</w:t>
      </w:r>
      <w:r>
        <w:t xml:space="preserve">. All of the information needed for this metadata can be gathered from the documents we’ve discussed earlier in this chapter.</w:t>
      </w:r>
    </w:p>
    <w:p>
      <w:pPr>
        <w:pStyle w:val="BodyText"/>
      </w:pPr>
      <w:r>
        <w:t xml:space="preserve">Once entered into the form, the repository converts entries into both human-readable and machine-readable, searchable formats such as XML</w:t>
      </w:r>
      <w:r>
        <w:t xml:space="preserve"> </w:t>
      </w:r>
      <w:r>
        <w:t xml:space="preserve">(</w:t>
      </w:r>
      <w:hyperlink w:anchor="ref-icpsr_icpsr_nodate">
        <w:r>
          <w:rPr>
            <w:rStyle w:val="Hyperlink"/>
          </w:rPr>
          <w:t xml:space="preserve">ICPSR n.d.b</w:t>
        </w:r>
      </w:hyperlink>
      <w:r>
        <w:t xml:space="preserve">)</w:t>
      </w:r>
      <w:r>
        <w:t xml:space="preserve"> </w:t>
      </w:r>
      <w:r>
        <w:t xml:space="preserve">or JSON-LD. We can see what this metadata looks like to humans once it is submitted. Figure</w:t>
      </w:r>
      <w:r>
        <w:t xml:space="preserve"> </w:t>
      </w:r>
      <w:r>
        <w:t xml:space="preserve">7.21</w:t>
      </w:r>
      <w:r>
        <w:t xml:space="preserve"> </w:t>
      </w:r>
      <w:r>
        <w:t xml:space="preserve">is an example of how ICPSR Open displays the metadata information on a project page</w:t>
      </w:r>
      <w:r>
        <w:t xml:space="preserve"> </w:t>
      </w:r>
      <w:r>
        <w:t xml:space="preserve">(</w:t>
      </w:r>
      <w:hyperlink w:anchor="ref-page_design_2020">
        <w:r>
          <w:rPr>
            <w:rStyle w:val="Hyperlink"/>
          </w:rPr>
          <w:t xml:space="preserve">Page, Lenard, and Keele 2020</w:t>
        </w:r>
      </w:hyperlink>
      <w:r>
        <w:t xml:space="preserve">)</w:t>
      </w:r>
      <w:r>
        <w:t xml:space="preserve">. Notice we even have the option to download the XML formatted metadata files in one of two</w:t>
      </w:r>
      <w:r>
        <w:t xml:space="preserve"> </w:t>
      </w:r>
      <w:hyperlink w:anchor="metastandards">
        <w:r>
          <w:rPr>
            <w:rStyle w:val="Hyperlink"/>
          </w:rPr>
          <w:t xml:space="preserve">standards</w:t>
        </w:r>
      </w:hyperlink>
      <w:r>
        <w:t xml:space="preserve"> </w:t>
      </w:r>
      <w:r>
        <w:t xml:space="preserve">if we want as well.</w:t>
      </w:r>
    </w:p>
    <w:p>
      <w:pPr>
        <w:pStyle w:val="CaptionedFigure"/>
      </w:pPr>
      <w:r>
        <w:drawing>
          <wp:inline>
            <wp:extent cx="5334000" cy="2750769"/>
            <wp:effectExtent b="0" l="0" r="0" t="0"/>
            <wp:docPr descr="Figure 7.21: Example metadata displayed on an ICPSR Open project page" title="" id="342" name="Picture"/>
            <a:graphic>
              <a:graphicData uri="http://schemas.openxmlformats.org/drawingml/2006/picture">
                <pic:pic>
                  <pic:nvPicPr>
                    <pic:cNvPr descr="img/metadata_project.PNG" id="343" name="Picture"/>
                    <pic:cNvPicPr>
                      <a:picLocks noChangeArrowheads="1" noChangeAspect="1"/>
                    </pic:cNvPicPr>
                  </pic:nvPicPr>
                  <pic:blipFill>
                    <a:blip r:embed="rId341"/>
                    <a:stretch>
                      <a:fillRect/>
                    </a:stretch>
                  </pic:blipFill>
                  <pic:spPr bwMode="auto">
                    <a:xfrm>
                      <a:off x="0" y="0"/>
                      <a:ext cx="5334000" cy="2750769"/>
                    </a:xfrm>
                    <a:prstGeom prst="rect">
                      <a:avLst/>
                    </a:prstGeom>
                    <a:noFill/>
                    <a:ln w="9525">
                      <a:noFill/>
                      <a:headEnd/>
                      <a:tailEnd/>
                    </a:ln>
                  </pic:spPr>
                </pic:pic>
              </a:graphicData>
            </a:graphic>
          </wp:inline>
        </w:drawing>
      </w:r>
    </w:p>
    <w:p>
      <w:pPr>
        <w:pStyle w:val="ImageCaption"/>
      </w:pPr>
      <w:r>
        <w:t xml:space="preserve">Figure 7.21: Example metadata displayed on an ICPSR Open project page</w:t>
      </w:r>
    </w:p>
    <w:p>
      <w:pPr>
        <w:pStyle w:val="BodyText"/>
      </w:pPr>
      <w:r>
        <w:t xml:space="preserve">There are other ways metadata can be gathered as well. For instance, for variable-level metadata, rather than having users input metadata, repositories may create metadata from the deposited statistical data files that contain inherent metadata (such as variable types or labels) or from deposited documentation such as data dictionaries or codebooks</w:t>
      </w:r>
      <w:r>
        <w:t xml:space="preserve"> </w:t>
      </w:r>
      <w:r>
        <w:t xml:space="preserve">(</w:t>
      </w:r>
      <w:hyperlink w:anchor="ref-icpsr_icpsr_nodate">
        <w:r>
          <w:rPr>
            <w:rStyle w:val="Hyperlink"/>
          </w:rPr>
          <w:t xml:space="preserve">ICPSR n.d.b</w:t>
        </w:r>
      </w:hyperlink>
      <w:r>
        <w:t xml:space="preserve">)</w:t>
      </w:r>
      <w:r>
        <w:t xml:space="preserve">.</w:t>
      </w:r>
    </w:p>
    <w:p>
      <w:pPr>
        <w:pStyle w:val="BodyText"/>
      </w:pPr>
      <w:r>
        <w:t xml:space="preserve">If your repository provides limited forms for metadata entry, you can also choose to increase the searchability of your files by creating your own machine-readable documents. There are several tools to help users create machine-readable codebooks and data dictionaries that will be findable through search engines such as Google Dataset Search</w:t>
      </w:r>
      <w:r>
        <w:t xml:space="preserve"> </w:t>
      </w:r>
      <w:r>
        <w:t xml:space="preserve">(</w:t>
      </w:r>
      <w:hyperlink w:anchor="ref-arslan_how_2018">
        <w:r>
          <w:rPr>
            <w:rStyle w:val="Hyperlink"/>
          </w:rPr>
          <w:t xml:space="preserve">Arslan 2018</w:t>
        </w:r>
      </w:hyperlink>
      <w:r>
        <w:t xml:space="preserve">;</w:t>
      </w:r>
      <w:r>
        <w:t xml:space="preserve"> </w:t>
      </w:r>
      <w:hyperlink w:anchor="ref-buchanan_getting_2021">
        <w:r>
          <w:rPr>
            <w:rStyle w:val="Hyperlink"/>
          </w:rPr>
          <w:t xml:space="preserve">Buchanan et al. 2021</w:t>
        </w:r>
      </w:hyperlink>
      <w:r>
        <w:t xml:space="preserve">;</w:t>
      </w:r>
      <w:r>
        <w:t xml:space="preserve"> </w:t>
      </w:r>
      <w:hyperlink w:anchor="ref-usgs_tools_nodate">
        <w:r>
          <w:rPr>
            <w:rStyle w:val="Hyperlink"/>
          </w:rPr>
          <w:t xml:space="preserve">USGS, n.d.a</w:t>
        </w:r>
      </w:hyperlink>
      <w:r>
        <w:t xml:space="preserve">)</w:t>
      </w:r>
      <w:r>
        <w:t xml:space="preserve">.</w:t>
      </w:r>
    </w:p>
    <w:bookmarkStart w:id="353" w:name="metastandards"/>
    <w:p>
      <w:pPr>
        <w:pStyle w:val="Heading3"/>
      </w:pPr>
      <w:r>
        <w:rPr>
          <w:rStyle w:val="SectionNumber"/>
        </w:rPr>
        <w:t xml:space="preserve">7.5.1</w:t>
      </w:r>
      <w:r>
        <w:tab/>
      </w:r>
      <w:r>
        <w:t xml:space="preserve">Standards</w:t>
      </w:r>
    </w:p>
    <w:p>
      <w:pPr>
        <w:pStyle w:val="FirstParagraph"/>
      </w:pPr>
      <w:r>
        <w:t xml:space="preserve">Metadata standards, typically field specific, establish a common way to describe your data which improves data interoperability as well as the ability of users to find, understand, and use data</w:t>
      </w:r>
      <w:r>
        <w:t xml:space="preserve"> </w:t>
      </w:r>
      <w:r>
        <w:t xml:space="preserve">(</w:t>
      </w:r>
      <w:hyperlink w:anchor="ref-bolam_guides_nodate">
        <w:r>
          <w:rPr>
            <w:rStyle w:val="Hyperlink"/>
          </w:rPr>
          <w:t xml:space="preserve">Bolam n.d.</w:t>
        </w:r>
      </w:hyperlink>
      <w:r>
        <w:t xml:space="preserve">)</w:t>
      </w:r>
      <w:r>
        <w:t xml:space="preserve">. Metadata standards can be applied in several ways</w:t>
      </w:r>
      <w:r>
        <w:t xml:space="preserve"> </w:t>
      </w:r>
      <w:r>
        <w:t xml:space="preserve">(</w:t>
      </w:r>
      <w:hyperlink w:anchor="ref-bolam_guides_nodate">
        <w:r>
          <w:rPr>
            <w:rStyle w:val="Hyperlink"/>
          </w:rPr>
          <w:t xml:space="preserve">Bolam n.d.</w:t>
        </w:r>
      </w:hyperlink>
      <w:r>
        <w:t xml:space="preserve">;</w:t>
      </w:r>
      <w:r>
        <w:t xml:space="preserve"> </w:t>
      </w:r>
      <w:hyperlink w:anchor="ref-ddi_alliance_controlled_nodate">
        <w:r>
          <w:rPr>
            <w:rStyle w:val="Hyperlink"/>
          </w:rPr>
          <w:t xml:space="preserve">DDI Alliance n.d.a</w:t>
        </w:r>
      </w:hyperlink>
      <w:r>
        <w:t xml:space="preserve">)</w:t>
      </w:r>
      <w:r>
        <w:t xml:space="preserve">.</w:t>
      </w:r>
    </w:p>
    <w:p>
      <w:pPr>
        <w:numPr>
          <w:ilvl w:val="0"/>
          <w:numId w:val="1086"/>
        </w:numPr>
        <w:pStyle w:val="Compact"/>
      </w:pPr>
      <w:r>
        <w:t xml:space="preserve">Formats: What machine-readable format should metadata be in?</w:t>
      </w:r>
      <w:r>
        <w:br/>
      </w:r>
    </w:p>
    <w:p>
      <w:pPr>
        <w:numPr>
          <w:ilvl w:val="0"/>
          <w:numId w:val="1086"/>
        </w:numPr>
        <w:pStyle w:val="Compact"/>
      </w:pPr>
      <w:r>
        <w:t xml:space="preserve">Schema: What fields are recommended verses mandatory for project, dataset, and variable level metadata?</w:t>
      </w:r>
    </w:p>
    <w:p>
      <w:pPr>
        <w:numPr>
          <w:ilvl w:val="0"/>
          <w:numId w:val="1086"/>
        </w:numPr>
        <w:pStyle w:val="Compact"/>
      </w:pPr>
      <w:r>
        <w:t xml:space="preserve">Controlled vocabularies: A controlled list of terms used to index and retrieve data.</w:t>
      </w:r>
    </w:p>
    <w:p>
      <w:pPr>
        <w:pStyle w:val="FirstParagraph"/>
      </w:pPr>
      <w:r>
        <w:t xml:space="preserve">Many fields have chosen metadata standards to adhere to. Some fields, like psychology</w:t>
      </w:r>
      <w:r>
        <w:t xml:space="preserve"> </w:t>
      </w:r>
      <w:r>
        <w:t xml:space="preserve">(</w:t>
      </w:r>
      <w:hyperlink w:anchor="ref-kline_technical_2018">
        <w:r>
          <w:rPr>
            <w:rStyle w:val="Hyperlink"/>
          </w:rPr>
          <w:t xml:space="preserve">Kline 2018</w:t>
        </w:r>
      </w:hyperlink>
      <w:r>
        <w:t xml:space="preserve">)</w:t>
      </w:r>
      <w:r>
        <w:t xml:space="preserve">, are developing their own metadata standards, including formats, schemas, and vocabularies grounded in the FAIR principles and the Schema.org schema</w:t>
      </w:r>
      <w:r>
        <w:t xml:space="preserve"> </w:t>
      </w:r>
      <w:r>
        <w:t xml:space="preserve">(</w:t>
      </w:r>
      <w:hyperlink w:anchor="ref-schemaorg_schemaorg_nodate">
        <w:r>
          <w:rPr>
            <w:rStyle w:val="Hyperlink"/>
          </w:rPr>
          <w:t xml:space="preserve">Schema.org n.d.</w:t>
        </w:r>
      </w:hyperlink>
      <w:r>
        <w:t xml:space="preserve">)</w:t>
      </w:r>
      <w:r>
        <w:t xml:space="preserve">. Yet, the Institute of Education Sciences recognizes that there are currently no agreed upon metadata standards in the field of education</w:t>
      </w:r>
      <w:r>
        <w:t xml:space="preserve"> </w:t>
      </w:r>
      <w:r>
        <w:t xml:space="preserve">(</w:t>
      </w:r>
      <w:hyperlink w:anchor="X2009c37f8a3691fc61520716d6c51727ddbeca2">
        <w:r>
          <w:rPr>
            <w:rStyle w:val="Hyperlink"/>
          </w:rPr>
          <w:t xml:space="preserve">Institute of Education Sciences n.d.a</w:t>
        </w:r>
      </w:hyperlink>
      <w:r>
        <w:t xml:space="preserve">)</w:t>
      </w:r>
      <w:r>
        <w:t xml:space="preserve">.</w:t>
      </w:r>
    </w:p>
    <w:p>
      <w:pPr>
        <w:pStyle w:val="CaptionedFigure"/>
      </w:pPr>
      <w:r>
        <w:drawing>
          <wp:inline>
            <wp:extent cx="5334000" cy="3192834"/>
            <wp:effectExtent b="0" l="0" r="0" t="0"/>
            <wp:docPr descr="Figure 7.22: A sampling of field metadata standards" title="" id="345" name="Picture"/>
            <a:graphic>
              <a:graphicData uri="http://schemas.openxmlformats.org/drawingml/2006/picture">
                <pic:pic>
                  <pic:nvPicPr>
                    <pic:cNvPr descr="img/metadata_standards.PNG" id="346" name="Picture"/>
                    <pic:cNvPicPr>
                      <a:picLocks noChangeArrowheads="1" noChangeAspect="1"/>
                    </pic:cNvPicPr>
                  </pic:nvPicPr>
                  <pic:blipFill>
                    <a:blip r:embed="rId344"/>
                    <a:stretch>
                      <a:fillRect/>
                    </a:stretch>
                  </pic:blipFill>
                  <pic:spPr bwMode="auto">
                    <a:xfrm>
                      <a:off x="0" y="0"/>
                      <a:ext cx="5334000" cy="3192834"/>
                    </a:xfrm>
                    <a:prstGeom prst="rect">
                      <a:avLst/>
                    </a:prstGeom>
                    <a:noFill/>
                    <a:ln w="9525">
                      <a:noFill/>
                      <a:headEnd/>
                      <a:tailEnd/>
                    </a:ln>
                  </pic:spPr>
                </pic:pic>
              </a:graphicData>
            </a:graphic>
          </wp:inline>
        </w:drawing>
      </w:r>
    </w:p>
    <w:p>
      <w:pPr>
        <w:pStyle w:val="ImageCaption"/>
      </w:pPr>
      <w:r>
        <w:t xml:space="preserve">Figure 7.22: A sampling of field metadata standards</w:t>
      </w:r>
    </w:p>
    <w:p>
      <w:pPr>
        <w:pStyle w:val="BodyText"/>
      </w:pPr>
      <w:r>
        <w:t xml:space="preserve">It can be helpful to see how standards differ as well as overlap. The DDI Alliance put together this table in Figure</w:t>
      </w:r>
      <w:r>
        <w:t xml:space="preserve"> </w:t>
      </w:r>
      <w:r>
        <w:t xml:space="preserve">7.23</w:t>
      </w:r>
      <w:r>
        <w:t xml:space="preserve"> </w:t>
      </w:r>
      <w:r>
        <w:t xml:space="preserve">for instance, mapping the DDI Elements (and vocabularies) to the Dublin Core</w:t>
      </w:r>
      <w:r>
        <w:t xml:space="preserve"> </w:t>
      </w:r>
      <w:r>
        <w:t xml:space="preserve">(</w:t>
      </w:r>
      <w:hyperlink w:anchor="ref-ddi_alliance_mapping_nodate">
        <w:r>
          <w:rPr>
            <w:rStyle w:val="Hyperlink"/>
          </w:rPr>
          <w:t xml:space="preserve">DDI Alliance n.d.b</w:t>
        </w:r>
      </w:hyperlink>
      <w:r>
        <w:t xml:space="preserve">)</w:t>
      </w:r>
      <w:r>
        <w:t xml:space="preserve">, two commonly used standards.</w:t>
      </w:r>
    </w:p>
    <w:p>
      <w:pPr>
        <w:pStyle w:val="CaptionedFigure"/>
      </w:pPr>
      <w:r>
        <w:drawing>
          <wp:inline>
            <wp:extent cx="5334000" cy="4612768"/>
            <wp:effectExtent b="0" l="0" r="0" t="0"/>
            <wp:docPr descr="Figure 7.23: A comparison of DDI Version 2 standards to Dublin Core standards" title="" id="348" name="Picture"/>
            <a:graphic>
              <a:graphicData uri="http://schemas.openxmlformats.org/drawingml/2006/picture">
                <pic:pic>
                  <pic:nvPicPr>
                    <pic:cNvPr descr="img/metadata_mapping.PNG" id="349" name="Picture"/>
                    <pic:cNvPicPr>
                      <a:picLocks noChangeArrowheads="1" noChangeAspect="1"/>
                    </pic:cNvPicPr>
                  </pic:nvPicPr>
                  <pic:blipFill>
                    <a:blip r:embed="rId347"/>
                    <a:stretch>
                      <a:fillRect/>
                    </a:stretch>
                  </pic:blipFill>
                  <pic:spPr bwMode="auto">
                    <a:xfrm>
                      <a:off x="0" y="0"/>
                      <a:ext cx="5334000" cy="4612768"/>
                    </a:xfrm>
                    <a:prstGeom prst="rect">
                      <a:avLst/>
                    </a:prstGeom>
                    <a:noFill/>
                    <a:ln w="9525">
                      <a:noFill/>
                      <a:headEnd/>
                      <a:tailEnd/>
                    </a:ln>
                  </pic:spPr>
                </pic:pic>
              </a:graphicData>
            </a:graphic>
          </wp:inline>
        </w:drawing>
      </w:r>
    </w:p>
    <w:p>
      <w:pPr>
        <w:pStyle w:val="ImageCaption"/>
      </w:pPr>
      <w:r>
        <w:t xml:space="preserve">Figure 7.23: A comparison of DDI Version 2 standards to Dublin Core standards</w:t>
      </w:r>
    </w:p>
    <w:p>
      <w:pPr>
        <w:pStyle w:val="BodyText"/>
      </w:pPr>
      <w:r>
        <w:t xml:space="preserve">We can see what this metadata comparison actually looks like if we download the Dublin Core and the DDI 2.5 XML format metadata files from the ICPSR Open project we saw above</w:t>
      </w:r>
      <w:r>
        <w:t xml:space="preserve"> </w:t>
      </w:r>
      <w:r>
        <w:t xml:space="preserve">(</w:t>
      </w:r>
      <w:hyperlink w:anchor="ref-page_design_2020">
        <w:r>
          <w:rPr>
            <w:rStyle w:val="Hyperlink"/>
          </w:rPr>
          <w:t xml:space="preserve">Page, Lenard, and Keele 2020</w:t>
        </w:r>
      </w:hyperlink>
      <w:r>
        <w:t xml:space="preserve">)</w:t>
      </w:r>
      <w:r>
        <w:t xml:space="preserve">. You can start to see the differences and similarities across standards.</w:t>
      </w:r>
    </w:p>
    <w:p>
      <w:pPr>
        <w:pStyle w:val="CaptionedFigure"/>
      </w:pPr>
      <w:r>
        <w:drawing>
          <wp:inline>
            <wp:extent cx="5334000" cy="2101128"/>
            <wp:effectExtent b="0" l="0" r="0" t="0"/>
            <wp:docPr descr="Figure 7.24: Metadata comparison from an AERA Open project" title="" id="351" name="Picture"/>
            <a:graphic>
              <a:graphicData uri="http://schemas.openxmlformats.org/drawingml/2006/picture">
                <pic:pic>
                  <pic:nvPicPr>
                    <pic:cNvPr descr="img/standard_compare.PNG" id="352" name="Picture"/>
                    <pic:cNvPicPr>
                      <a:picLocks noChangeArrowheads="1" noChangeAspect="1"/>
                    </pic:cNvPicPr>
                  </pic:nvPicPr>
                  <pic:blipFill>
                    <a:blip r:embed="rId350"/>
                    <a:stretch>
                      <a:fillRect/>
                    </a:stretch>
                  </pic:blipFill>
                  <pic:spPr bwMode="auto">
                    <a:xfrm>
                      <a:off x="0" y="0"/>
                      <a:ext cx="5334000" cy="2101128"/>
                    </a:xfrm>
                    <a:prstGeom prst="rect">
                      <a:avLst/>
                    </a:prstGeom>
                    <a:noFill/>
                    <a:ln w="9525">
                      <a:noFill/>
                      <a:headEnd/>
                      <a:tailEnd/>
                    </a:ln>
                  </pic:spPr>
                </pic:pic>
              </a:graphicData>
            </a:graphic>
          </wp:inline>
        </w:drawing>
      </w:r>
    </w:p>
    <w:p>
      <w:pPr>
        <w:pStyle w:val="ImageCaption"/>
      </w:pPr>
      <w:r>
        <w:t xml:space="preserve">Figure 7.24: Metadata comparison from an AERA Open project</w:t>
      </w:r>
    </w:p>
    <w:p>
      <w:pPr>
        <w:pStyle w:val="BodyText"/>
      </w:pPr>
      <w:r>
        <w:t xml:space="preserve">If you plan to archive your data, first check with your repository to see if they follow any standards. For example, the OSF repository currently uses the DataCite schema</w:t>
      </w:r>
      <w:r>
        <w:t xml:space="preserve">(</w:t>
      </w:r>
      <w:hyperlink w:anchor="ref-gueguen_new_nodate">
        <w:r>
          <w:rPr>
            <w:rStyle w:val="Hyperlink"/>
          </w:rPr>
          <w:t xml:space="preserve">Gueguen n.d.</w:t>
        </w:r>
      </w:hyperlink>
      <w:r>
        <w:t xml:space="preserve">)</w:t>
      </w:r>
      <w:r>
        <w:t xml:space="preserve">, while ICPSR uses the DDI standard</w:t>
      </w:r>
      <w:r>
        <w:t xml:space="preserve">(</w:t>
      </w:r>
      <w:hyperlink w:anchor="ref-icpsr_icpsr_nodate">
        <w:r>
          <w:rPr>
            <w:rStyle w:val="Hyperlink"/>
          </w:rPr>
          <w:t xml:space="preserve">ICPSR n.d.b</w:t>
        </w:r>
      </w:hyperlink>
      <w:r>
        <w:t xml:space="preserve">)</w:t>
      </w:r>
      <w:r>
        <w:t xml:space="preserve">. If the repository does use certain standards, work with them to ensure your metadata adheres to those standards. Some repositories may even provide curation support free or for a fee. But as I mentioned earlier, depending on your repository, adding metadata to your project may require no additional work on your part. The repository may simply have you enter information into a form and convert all information for you.</w:t>
      </w:r>
    </w:p>
    <w:p>
      <w:pPr>
        <w:pStyle w:val="BodyText"/>
      </w:pPr>
      <w:r>
        <w:t xml:space="preserve">If no standards are provided by your repository and you plan to create your own metadata, you can choose any standard that works for you. Oftentimes researchers may choose to pick a more general standard such as DataCite or Dublin Core</w:t>
      </w:r>
      <w:r>
        <w:t xml:space="preserve"> </w:t>
      </w:r>
      <w:r>
        <w:t xml:space="preserve">(</w:t>
      </w:r>
      <w:hyperlink w:anchor="Xde77f99fd3804727ede33d315e2d6ad339f132f">
        <w:r>
          <w:rPr>
            <w:rStyle w:val="Hyperlink"/>
          </w:rPr>
          <w:t xml:space="preserve">University of Iowa Libraries n.d.</w:t>
        </w:r>
      </w:hyperlink>
      <w:r>
        <w:t xml:space="preserve">)</w:t>
      </w:r>
      <w:r>
        <w:t xml:space="preserve">, and in the field of education, most researchers are at least familiar with the DDI standard so that is another good option. Remember, if you do choose to adhere to a standard, this decision should be documented in your data management plan.</w:t>
      </w:r>
    </w:p>
    <w:bookmarkEnd w:id="353"/>
    <w:bookmarkEnd w:id="354"/>
    <w:bookmarkStart w:id="355" w:name="wrapping-it-up"/>
    <w:p>
      <w:pPr>
        <w:pStyle w:val="Heading2"/>
      </w:pPr>
      <w:r>
        <w:rPr>
          <w:rStyle w:val="SectionNumber"/>
        </w:rPr>
        <w:t xml:space="preserve">7.6</w:t>
      </w:r>
      <w:r>
        <w:tab/>
      </w:r>
      <w:r>
        <w:t xml:space="preserve">Wrapping it up</w:t>
      </w:r>
    </w:p>
    <w:p>
      <w:pPr>
        <w:pStyle w:val="FirstParagraph"/>
      </w:pPr>
      <w:r>
        <w:t xml:space="preserve">At this point your head might be spinning from the amount of documents we’ve covered. It’s important to understand that while each document discussed provides a unique and meaningful purpose, you don’t have to create every document listed. In data management we walk a fine line between creating sufficient documentation, and spending all of our working hours perfecting and documenting every detail of our project. Choose the documents that help you record and structure your processes in the best way for your project while also giving yourself grace to stop when the documents are</w:t>
      </w:r>
      <w:r>
        <w:t xml:space="preserve"> </w:t>
      </w:r>
      <w:r>
        <w:t xml:space="preserve">“</w:t>
      </w:r>
      <w:r>
        <w:t xml:space="preserve">good enough</w:t>
      </w:r>
      <w:r>
        <w:t xml:space="preserve">”</w:t>
      </w:r>
      <w:r>
        <w:t xml:space="preserve">. Each document you create that is well organized and well maintained will improve your data management workflow, decrease errors, and enhance your understanding of your data.</w:t>
      </w:r>
    </w:p>
    <w:bookmarkEnd w:id="355"/>
    <w:bookmarkEnd w:id="356"/>
    <w:bookmarkStart w:id="374" w:name="style"/>
    <w:p>
      <w:pPr>
        <w:pStyle w:val="Heading1"/>
      </w:pPr>
      <w:r>
        <w:rPr>
          <w:rStyle w:val="SectionNumber"/>
        </w:rPr>
        <w:t xml:space="preserve">8</w:t>
      </w:r>
      <w:r>
        <w:tab/>
      </w:r>
      <w:r>
        <w:t xml:space="preserve">Style guide</w:t>
      </w:r>
    </w:p>
    <w:p>
      <w:pPr>
        <w:pStyle w:val="CaptionedFigure"/>
      </w:pPr>
      <w:r>
        <w:drawing>
          <wp:inline>
            <wp:extent cx="5334000" cy="2967945"/>
            <wp:effectExtent b="0" l="0" r="0" t="0"/>
            <wp:docPr descr="Figure 8.1: Style guide in the research project life cycle" title="" id="358" name="Picture"/>
            <a:graphic>
              <a:graphicData uri="http://schemas.openxmlformats.org/drawingml/2006/picture">
                <pic:pic>
                  <pic:nvPicPr>
                    <pic:cNvPr descr="img/lifecycle_team_doc.PNG" id="359" name="Picture"/>
                    <pic:cNvPicPr>
                      <a:picLocks noChangeArrowheads="1" noChangeAspect="1"/>
                    </pic:cNvPicPr>
                  </pic:nvPicPr>
                  <pic:blipFill>
                    <a:blip r:embed="rId357"/>
                    <a:stretch>
                      <a:fillRect/>
                    </a:stretch>
                  </pic:blipFill>
                  <pic:spPr bwMode="auto">
                    <a:xfrm>
                      <a:off x="0" y="0"/>
                      <a:ext cx="5334000" cy="2967945"/>
                    </a:xfrm>
                    <a:prstGeom prst="rect">
                      <a:avLst/>
                    </a:prstGeom>
                    <a:noFill/>
                    <a:ln w="9525">
                      <a:noFill/>
                      <a:headEnd/>
                      <a:tailEnd/>
                    </a:ln>
                  </pic:spPr>
                </pic:pic>
              </a:graphicData>
            </a:graphic>
          </wp:inline>
        </w:drawing>
      </w:r>
    </w:p>
    <w:p>
      <w:pPr>
        <w:pStyle w:val="ImageCaption"/>
      </w:pPr>
      <w:r>
        <w:t xml:space="preserve">Figure 8.1: Style guide in the research project life cycle</w:t>
      </w:r>
    </w:p>
    <w:p>
      <w:pPr>
        <w:pStyle w:val="BodyText"/>
      </w:pPr>
      <w:r>
        <w:t xml:space="preserve">A style guide provides general agreed upon rules for the formatting of information</w:t>
      </w:r>
      <w:r>
        <w:t xml:space="preserve">(</w:t>
      </w:r>
      <w:hyperlink w:anchor="ref-noauthor_style_2023">
        <w:r>
          <w:rPr>
            <w:rStyle w:val="Hyperlink"/>
          </w:rPr>
          <w:t xml:space="preserve">“Style Guide”</w:t>
        </w:r>
        <w:r>
          <w:rPr>
            <w:rStyle w:val="Hyperlink"/>
          </w:rPr>
          <w:t xml:space="preserve"> </w:t>
        </w:r>
        <w:r>
          <w:rPr>
            <w:rStyle w:val="Hyperlink"/>
          </w:rPr>
          <w:t xml:space="preserve">2023</w:t>
        </w:r>
      </w:hyperlink>
      <w:r>
        <w:t xml:space="preserve">)</w:t>
      </w:r>
      <w:r>
        <w:t xml:space="preserve">. As mentioned in the previous Chapter</w:t>
      </w:r>
      <w:r>
        <w:t xml:space="preserve"> </w:t>
      </w:r>
      <w:r>
        <w:t xml:space="preserve">7</w:t>
      </w:r>
      <w:r>
        <w:t xml:space="preserve">, style guides can be created to standardize procedures such as variable naming, variable value coding, file naming, file versioning, file structure, and even coding practices.</w:t>
      </w:r>
    </w:p>
    <w:p>
      <w:pPr>
        <w:pStyle w:val="BodyText"/>
      </w:pPr>
      <w:r>
        <w:t xml:space="preserve">The benefits for creating style guides and using them consistently include:</w:t>
      </w:r>
    </w:p>
    <w:p>
      <w:pPr>
        <w:numPr>
          <w:ilvl w:val="0"/>
          <w:numId w:val="1087"/>
        </w:numPr>
        <w:pStyle w:val="Compact"/>
      </w:pPr>
      <w:r>
        <w:t xml:space="preserve">Creating standardization (within and across projects)</w:t>
      </w:r>
    </w:p>
    <w:p>
      <w:pPr>
        <w:numPr>
          <w:ilvl w:val="0"/>
          <w:numId w:val="1087"/>
        </w:numPr>
        <w:pStyle w:val="Compact"/>
      </w:pPr>
      <w:r>
        <w:t xml:space="preserve">Improving interpretation: Consistent and clear structure, naming, and coding allows your files and variables to be findable and understandable to humans and computers.</w:t>
      </w:r>
    </w:p>
    <w:p>
      <w:pPr>
        <w:numPr>
          <w:ilvl w:val="0"/>
          <w:numId w:val="1087"/>
        </w:numPr>
        <w:pStyle w:val="Compact"/>
      </w:pPr>
      <w:r>
        <w:t xml:space="preserve">Increasing reproducibility: If the organization of your file paths, file naming, or variable naming constantly change it undermines the reproducibility of any data management or analysis code you have written.</w:t>
      </w:r>
    </w:p>
    <w:p>
      <w:pPr>
        <w:pStyle w:val="FirstParagraph"/>
      </w:pPr>
      <w:r>
        <w:t xml:space="preserve">Style guides can be created for individual projects, but they can also be created at the team level, to be applied across all projects. Most importantly, they should be created before a project kicks off so you can implement them as soon as your project begins. If you do not have a team-wide style guide already created, you most likely will want to create a project-level style guide during your planning phase so that you can begin setting up your directory structures and file naming standards before you start creating and saving project-related files.</w:t>
      </w:r>
    </w:p>
    <w:p>
      <w:pPr>
        <w:pStyle w:val="BodyText"/>
      </w:pPr>
      <w:r>
        <w:t xml:space="preserve">Style guides can be housed in one large document, with a table of contents used to reference each section, or they can be created as separate documents. Either way, style guides should be stored in a central location that is easily accessible to all team members (such as a team or project</w:t>
      </w:r>
      <w:r>
        <w:t xml:space="preserve"> </w:t>
      </w:r>
      <w:hyperlink w:anchor="wiki">
        <w:r>
          <w:rPr>
            <w:rStyle w:val="Hyperlink"/>
          </w:rPr>
          <w:t xml:space="preserve">wiki</w:t>
        </w:r>
      </w:hyperlink>
      <w:r>
        <w:t xml:space="preserve">), and all team members should be trained, and periodically retrained, on the style guide to ensure adherence to the rules. If all team members are not consistently implementing the style guide, then the benefits of the guide are lost.</w:t>
      </w:r>
    </w:p>
    <w:p>
      <w:pPr>
        <w:pStyle w:val="BodyText"/>
      </w:pPr>
      <w:r>
        <w:t xml:space="preserve">For the remainder of this chapter, we will spend time reviewing some good practices for rules to add to your style guides for the following purposes:</w:t>
      </w:r>
    </w:p>
    <w:p>
      <w:pPr>
        <w:numPr>
          <w:ilvl w:val="0"/>
          <w:numId w:val="1088"/>
        </w:numPr>
        <w:pStyle w:val="Compact"/>
      </w:pPr>
      <w:r>
        <w:t xml:space="preserve">Structuring directories</w:t>
      </w:r>
    </w:p>
    <w:p>
      <w:pPr>
        <w:numPr>
          <w:ilvl w:val="0"/>
          <w:numId w:val="1088"/>
        </w:numPr>
        <w:pStyle w:val="Compact"/>
      </w:pPr>
      <w:r>
        <w:t xml:space="preserve">Naming files</w:t>
      </w:r>
    </w:p>
    <w:p>
      <w:pPr>
        <w:numPr>
          <w:ilvl w:val="0"/>
          <w:numId w:val="1088"/>
        </w:numPr>
        <w:pStyle w:val="Compact"/>
      </w:pPr>
      <w:r>
        <w:t xml:space="preserve">Naming variables</w:t>
      </w:r>
    </w:p>
    <w:p>
      <w:pPr>
        <w:numPr>
          <w:ilvl w:val="0"/>
          <w:numId w:val="1088"/>
        </w:numPr>
        <w:pStyle w:val="Compact"/>
      </w:pPr>
      <w:r>
        <w:t xml:space="preserve">Assigning variable values</w:t>
      </w:r>
    </w:p>
    <w:p>
      <w:pPr>
        <w:numPr>
          <w:ilvl w:val="0"/>
          <w:numId w:val="1088"/>
        </w:numPr>
        <w:pStyle w:val="Compact"/>
      </w:pPr>
      <w:r>
        <w:t xml:space="preserve">Styling your syntax files</w:t>
      </w:r>
    </w:p>
    <w:p>
      <w:pPr>
        <w:pStyle w:val="FirstParagraph"/>
      </w:pPr>
      <w:r>
        <w:t xml:space="preserve">While some best practices will be provided below, ultimately the rules you choose to add to each style guide should be chosen based on which practices work best for your projects and your team. Whatever rules you settle on, write them in a style guide so that everyone is following the same rules within and across projects.</w:t>
      </w:r>
    </w:p>
    <w:bookmarkStart w:id="360" w:name="general-good-practices"/>
    <w:p>
      <w:pPr>
        <w:pStyle w:val="Heading2"/>
      </w:pPr>
      <w:r>
        <w:rPr>
          <w:rStyle w:val="SectionNumber"/>
        </w:rPr>
        <w:t xml:space="preserve">8.1</w:t>
      </w:r>
      <w:r>
        <w:tab/>
      </w:r>
      <w:r>
        <w:t xml:space="preserve">General good practices</w:t>
      </w:r>
    </w:p>
    <w:p>
      <w:pPr>
        <w:pStyle w:val="FirstParagraph"/>
      </w:pPr>
      <w:r>
        <w:t xml:space="preserve">Before we dive in to particular types of style guides, there are a few things to understand about how computers read names in order to understand the</w:t>
      </w:r>
      <w:r>
        <w:t xml:space="preserve"> </w:t>
      </w:r>
      <w:r>
        <w:t xml:space="preserve">“</w:t>
      </w:r>
      <w:r>
        <w:t xml:space="preserve">why</w:t>
      </w:r>
      <w:r>
        <w:t xml:space="preserve">”</w:t>
      </w:r>
      <w:r>
        <w:t xml:space="preserve"> </w:t>
      </w:r>
      <w:r>
        <w:t xml:space="preserve">behind some of these practices.</w:t>
      </w:r>
    </w:p>
    <w:p>
      <w:pPr>
        <w:numPr>
          <w:ilvl w:val="0"/>
          <w:numId w:val="1089"/>
        </w:numPr>
        <w:pStyle w:val="Compact"/>
      </w:pPr>
      <w:r>
        <w:t xml:space="preserve">Avoid spaces.</w:t>
      </w:r>
    </w:p>
    <w:p>
      <w:pPr>
        <w:numPr>
          <w:ilvl w:val="1"/>
          <w:numId w:val="1090"/>
        </w:numPr>
        <w:pStyle w:val="Compact"/>
      </w:pPr>
      <w:r>
        <w:t xml:space="preserve">While some applications (like Windows) recognize spaces, command line operations and some operating systems still do not support them so it is best to avoid them all together. Furthermore, they can often break a URL when shared</w:t>
      </w:r>
    </w:p>
    <w:p>
      <w:pPr>
        <w:numPr>
          <w:ilvl w:val="1"/>
          <w:numId w:val="1090"/>
        </w:numPr>
        <w:pStyle w:val="Compact"/>
      </w:pPr>
      <w:r>
        <w:t xml:space="preserve">The underscore</w:t>
      </w:r>
      <w:r>
        <w:t xml:space="preserve"> </w:t>
      </w:r>
      <w:r>
        <w:rPr>
          <w:rStyle w:val="VerbatimChar"/>
        </w:rPr>
        <w:t xml:space="preserve">_</w:t>
      </w:r>
      <w:r>
        <w:t xml:space="preserve"> </w:t>
      </w:r>
      <w:r>
        <w:t xml:space="preserve">and hyphen</w:t>
      </w:r>
      <w:r>
        <w:t xml:space="preserve"> </w:t>
      </w:r>
      <w:r>
        <w:rPr>
          <w:rStyle w:val="VerbatimChar"/>
        </w:rPr>
        <w:t xml:space="preserve">-</w:t>
      </w:r>
      <w:r>
        <w:t xml:space="preserve"> </w:t>
      </w:r>
      <w:r>
        <w:t xml:space="preserve">are good delimiters to use in place of spaces</w:t>
      </w:r>
    </w:p>
    <w:p>
      <w:pPr>
        <w:numPr>
          <w:ilvl w:val="2"/>
          <w:numId w:val="1091"/>
        </w:numPr>
        <w:pStyle w:val="Compact"/>
      </w:pPr>
      <w:r>
        <w:t xml:space="preserve">It is worth noting that</w:t>
      </w:r>
      <w:r>
        <w:t xml:space="preserve"> </w:t>
      </w:r>
      <w:r>
        <w:rPr>
          <w:rStyle w:val="VerbatimChar"/>
        </w:rPr>
        <w:t xml:space="preserve">_</w:t>
      </w:r>
      <w:r>
        <w:t xml:space="preserve"> </w:t>
      </w:r>
      <w:r>
        <w:t xml:space="preserve">can be difficult to read when file paths are shared in links that are underlined to denote that the path is clickable (for example when sharing a SharePoint link to a document)</w:t>
      </w:r>
    </w:p>
    <w:p>
      <w:pPr>
        <w:numPr>
          <w:ilvl w:val="0"/>
          <w:numId w:val="1089"/>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avoid special characters</w:t>
      </w:r>
    </w:p>
    <w:p>
      <w:pPr>
        <w:numPr>
          <w:ilvl w:val="1"/>
          <w:numId w:val="1092"/>
        </w:numPr>
        <w:pStyle w:val="Compact"/>
      </w:pPr>
      <w:r>
        <w:t xml:space="preserve">Examples include but are not limited to</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&amp;</w:t>
      </w:r>
      <w:r>
        <w:t xml:space="preserve">,</w:t>
      </w:r>
      <w:r>
        <w:t xml:space="preserve"> </w:t>
      </w:r>
      <w:r>
        <w:rPr>
          <w:rStyle w:val="VerbatimChar"/>
        </w:rPr>
        <w:t xml:space="preserve">"</w:t>
      </w:r>
    </w:p>
    <w:p>
      <w:pPr>
        <w:numPr>
          <w:ilvl w:val="1"/>
          <w:numId w:val="1092"/>
        </w:numPr>
        <w:pStyle w:val="Compact"/>
      </w:pPr>
      <w:r>
        <w:t xml:space="preserve">Computers assign specific meaning to many of these special characters</w:t>
      </w:r>
    </w:p>
    <w:p>
      <w:pPr>
        <w:numPr>
          <w:ilvl w:val="0"/>
          <w:numId w:val="1089"/>
        </w:numPr>
        <w:pStyle w:val="Compact"/>
      </w:pPr>
      <w:r>
        <w:t xml:space="preserve">There are several existing naming conventions that you can choose to add to your style guide. Different naming conventions may work better for different purposes. Using these conventions help you to be consistent with both delimeters and capitalization which not only makes your names more human-readable but also allows your computer to read and search names easier.</w:t>
      </w:r>
    </w:p>
    <w:p>
      <w:pPr>
        <w:numPr>
          <w:ilvl w:val="1"/>
          <w:numId w:val="1093"/>
        </w:numPr>
        <w:pStyle w:val="Compact"/>
      </w:pPr>
      <w:r>
        <w:t xml:space="preserve">Pascal case (ScaleSum)</w:t>
      </w:r>
    </w:p>
    <w:p>
      <w:pPr>
        <w:numPr>
          <w:ilvl w:val="1"/>
          <w:numId w:val="1093"/>
        </w:numPr>
        <w:pStyle w:val="Compact"/>
      </w:pPr>
      <w:r>
        <w:t xml:space="preserve">Snake case (scale_sum)</w:t>
      </w:r>
    </w:p>
    <w:p>
      <w:pPr>
        <w:numPr>
          <w:ilvl w:val="1"/>
          <w:numId w:val="1093"/>
        </w:numPr>
        <w:pStyle w:val="Compact"/>
      </w:pPr>
      <w:r>
        <w:t xml:space="preserve">Camel case (scaleSum)</w:t>
      </w:r>
    </w:p>
    <w:p>
      <w:pPr>
        <w:numPr>
          <w:ilvl w:val="1"/>
          <w:numId w:val="1093"/>
        </w:numPr>
        <w:pStyle w:val="Compact"/>
      </w:pPr>
      <w:r>
        <w:t xml:space="preserve">Kebab case (scale-sum)</w:t>
      </w:r>
    </w:p>
    <w:p>
      <w:pPr>
        <w:numPr>
          <w:ilvl w:val="1"/>
          <w:numId w:val="1093"/>
        </w:numPr>
        <w:pStyle w:val="Compact"/>
      </w:pPr>
      <w:r>
        <w:t xml:space="preserve">Train case (Scale-Sum)</w:t>
      </w:r>
    </w:p>
    <w:p>
      <w:pPr>
        <w:numPr>
          <w:ilvl w:val="0"/>
          <w:numId w:val="1089"/>
        </w:numPr>
        <w:pStyle w:val="Compact"/>
      </w:pPr>
      <w:r>
        <w:t xml:space="preserve">Character length matters. Computers are unable to read names that surpass a certain character length. This applies to file paths, file names, and variable names. Considerations for each type of limit are reviewed below.</w:t>
      </w:r>
    </w:p>
    <w:bookmarkEnd w:id="360"/>
    <w:bookmarkStart w:id="361" w:name="directory-structure"/>
    <w:p>
      <w:pPr>
        <w:pStyle w:val="Heading2"/>
      </w:pPr>
      <w:r>
        <w:rPr>
          <w:rStyle w:val="SectionNumber"/>
        </w:rPr>
        <w:t xml:space="preserve">8.2</w:t>
      </w:r>
      <w:r>
        <w:tab/>
      </w:r>
      <w:r>
        <w:t xml:space="preserve">Directory structure</w:t>
      </w:r>
    </w:p>
    <w:p>
      <w:pPr>
        <w:pStyle w:val="FirstParagraph"/>
      </w:pPr>
      <w:r>
        <w:t xml:space="preserve">When deciding how to structure your project directories (the organization of your operating systems folders and files), there are several things you want to consider.</w:t>
      </w:r>
    </w:p>
    <w:p>
      <w:pPr>
        <w:pStyle w:val="BodyText"/>
      </w:pPr>
      <w:r>
        <w:rPr>
          <w:bCs/>
          <w:b/>
        </w:rPr>
        <w:t xml:space="preserve">When structuring your folders:</w:t>
      </w:r>
    </w:p>
    <w:p>
      <w:pPr>
        <w:numPr>
          <w:ilvl w:val="0"/>
          <w:numId w:val="1094"/>
        </w:numPr>
        <w:pStyle w:val="Compact"/>
      </w:pPr>
      <w:r>
        <w:t xml:space="preserve">First, consider organizing your directory into a hierarchical folder structure to clearly delineate segments of your projects and improve searchability</w:t>
      </w:r>
    </w:p>
    <w:p>
      <w:pPr>
        <w:numPr>
          <w:ilvl w:val="1"/>
          <w:numId w:val="1095"/>
        </w:numPr>
        <w:pStyle w:val="Compact"/>
      </w:pPr>
      <w:r>
        <w:t xml:space="preserve">The alternative to using a folder structure is using metadata and tagging to organize and search for files</w:t>
      </w:r>
      <w:r>
        <w:t xml:space="preserve"> </w:t>
      </w:r>
      <w:r>
        <w:t xml:space="preserve">(</w:t>
      </w:r>
      <w:hyperlink w:anchor="ref-cakici_folders_2017">
        <w:r>
          <w:rPr>
            <w:rStyle w:val="Hyperlink"/>
          </w:rPr>
          <w:t xml:space="preserve">Cakici 2017</w:t>
        </w:r>
      </w:hyperlink>
      <w:r>
        <w:t xml:space="preserve">;</w:t>
      </w:r>
      <w:r>
        <w:t xml:space="preserve"> </w:t>
      </w:r>
      <w:hyperlink w:anchor="ref-fuchs_making_2018">
        <w:r>
          <w:rPr>
            <w:rStyle w:val="Hyperlink"/>
          </w:rPr>
          <w:t xml:space="preserve">Fuchs and Kuusniemi 2018</w:t>
        </w:r>
      </w:hyperlink>
      <w:r>
        <w:t xml:space="preserve">;</w:t>
      </w:r>
      <w:r>
        <w:t xml:space="preserve"> </w:t>
      </w:r>
      <w:hyperlink w:anchor="ref-krishna_how_2018">
        <w:r>
          <w:rPr>
            <w:rStyle w:val="Hyperlink"/>
          </w:rPr>
          <w:t xml:space="preserve">Krishna 2018</w:t>
        </w:r>
      </w:hyperlink>
      <w:r>
        <w:t xml:space="preserve">)</w:t>
      </w:r>
    </w:p>
    <w:p>
      <w:pPr>
        <w:numPr>
          <w:ilvl w:val="0"/>
          <w:numId w:val="1094"/>
        </w:numPr>
        <w:pStyle w:val="Compact"/>
      </w:pPr>
      <w:r>
        <w:t xml:space="preserve">When creating your folder structure, strike a balance between a deep and shallow structure</w:t>
      </w:r>
    </w:p>
    <w:p>
      <w:pPr>
        <w:numPr>
          <w:ilvl w:val="1"/>
          <w:numId w:val="1096"/>
        </w:numPr>
        <w:pStyle w:val="Compact"/>
      </w:pPr>
      <w:r>
        <w:t xml:space="preserve">Too shallow leads to too many files in one folder which is difficult to sort through</w:t>
      </w:r>
    </w:p>
    <w:p>
      <w:pPr>
        <w:numPr>
          <w:ilvl w:val="1"/>
          <w:numId w:val="1096"/>
        </w:numPr>
        <w:pStyle w:val="Compact"/>
      </w:pPr>
      <w:r>
        <w:t xml:space="preserve">Too deep leads to too many clicks to get to one file, plus file paths can max out with too many characters. A file path includes the full length of both folders and file names</w:t>
      </w:r>
    </w:p>
    <w:p>
      <w:pPr>
        <w:numPr>
          <w:ilvl w:val="2"/>
          <w:numId w:val="1097"/>
        </w:numPr>
        <w:pStyle w:val="Compact"/>
      </w:pPr>
      <w:r>
        <w:t xml:space="preserve">An example file path with 69 characters</w:t>
      </w:r>
      <w:r>
        <w:t xml:space="preserve"> </w:t>
      </w:r>
      <w:r>
        <w:rPr>
          <w:rStyle w:val="VerbatimChar"/>
        </w:rPr>
        <w:t xml:space="preserve">W:\team\project\data\wave1\student\survey\projecta-w1-stu-svy-raw.csv</w:t>
      </w:r>
    </w:p>
    <w:p>
      <w:pPr>
        <w:numPr>
          <w:ilvl w:val="1"/>
          <w:numId w:val="1096"/>
        </w:numPr>
        <w:pStyle w:val="Compact"/>
      </w:pPr>
      <w:r>
        <w:t xml:space="preserve">Examples of file path limits:</w:t>
      </w:r>
    </w:p>
    <w:p>
      <w:pPr>
        <w:numPr>
          <w:ilvl w:val="2"/>
          <w:numId w:val="1098"/>
        </w:numPr>
        <w:pStyle w:val="Compact"/>
      </w:pPr>
      <w:r>
        <w:t xml:space="preserve">SharePoint/OneDrive path limit is 400 characters</w:t>
      </w:r>
      <w:r>
        <w:t xml:space="preserve">(</w:t>
      </w:r>
      <w:hyperlink w:anchor="ref-microsoft_restrictions_nodate">
        <w:r>
          <w:rPr>
            <w:rStyle w:val="Hyperlink"/>
          </w:rPr>
          <w:t xml:space="preserve">Microsoft n.d.</w:t>
        </w:r>
      </w:hyperlink>
      <w:r>
        <w:t xml:space="preserve">)</w:t>
      </w:r>
    </w:p>
    <w:p>
      <w:pPr>
        <w:numPr>
          <w:ilvl w:val="2"/>
          <w:numId w:val="1098"/>
        </w:numPr>
        <w:pStyle w:val="Compact"/>
      </w:pPr>
      <w:r>
        <w:t xml:space="preserve">Windows path limit is 260 characters</w:t>
      </w:r>
      <w:r>
        <w:t xml:space="preserve">(</w:t>
      </w:r>
      <w:hyperlink w:anchor="ref-ashcraft_naming_2022">
        <w:r>
          <w:rPr>
            <w:rStyle w:val="Hyperlink"/>
          </w:rPr>
          <w:t xml:space="preserve">Ashcraft 2022</w:t>
        </w:r>
      </w:hyperlink>
      <w:r>
        <w:t xml:space="preserve">)</w:t>
      </w:r>
    </w:p>
    <w:p>
      <w:pPr>
        <w:numPr>
          <w:ilvl w:val="0"/>
          <w:numId w:val="1094"/>
        </w:numPr>
        <w:pStyle w:val="Compact"/>
      </w:pPr>
      <w:r>
        <w:t xml:space="preserve">Create folders that are specific enough that you can limit access</w:t>
      </w:r>
    </w:p>
    <w:p>
      <w:pPr>
        <w:numPr>
          <w:ilvl w:val="1"/>
          <w:numId w:val="1099"/>
        </w:numPr>
        <w:pStyle w:val="Compact"/>
      </w:pPr>
      <w:r>
        <w:t xml:space="preserve">For example you will want to limit user access to folders that hold Personally Identifiable Information (PII)</w:t>
      </w:r>
    </w:p>
    <w:p>
      <w:pPr>
        <w:numPr>
          <w:ilvl w:val="1"/>
          <w:numId w:val="1099"/>
        </w:numPr>
        <w:pStyle w:val="Compact"/>
      </w:pPr>
      <w:r>
        <w:t xml:space="preserve">To protect any files that you don’t want others to accidentally edit (for example your clean datasets), also consider making some files</w:t>
      </w:r>
      <w:r>
        <w:t xml:space="preserve"> </w:t>
      </w:r>
      <w:r>
        <w:t xml:space="preserve">“</w:t>
      </w:r>
      <w:r>
        <w:t xml:space="preserve">read only</w:t>
      </w:r>
      <w:r>
        <w:t xml:space="preserve">”</w:t>
      </w:r>
    </w:p>
    <w:p>
      <w:pPr>
        <w:numPr>
          <w:ilvl w:val="0"/>
          <w:numId w:val="1094"/>
        </w:numPr>
        <w:pStyle w:val="Compact"/>
      </w:pPr>
      <w:r>
        <w:t xml:space="preserve">Decide if you want an</w:t>
      </w:r>
      <w:r>
        <w:t xml:space="preserve"> </w:t>
      </w:r>
      <w:r>
        <w:t xml:space="preserve">“</w:t>
      </w:r>
      <w:r>
        <w:t xml:space="preserve">archive</w:t>
      </w:r>
      <w:r>
        <w:t xml:space="preserve">”</w:t>
      </w:r>
      <w:r>
        <w:t xml:space="preserve"> </w:t>
      </w:r>
      <w:r>
        <w:t xml:space="preserve">folder to move old files into or if you want to leave previous versions in the same folder</w:t>
      </w:r>
    </w:p>
    <w:p>
      <w:pPr>
        <w:pStyle w:val="FirstParagraph"/>
      </w:pPr>
      <w:r>
        <w:rPr>
          <w:bCs/>
          <w:b/>
        </w:rPr>
        <w:t xml:space="preserve">When naming your folders:</w:t>
      </w:r>
    </w:p>
    <w:p>
      <w:pPr>
        <w:numPr>
          <w:ilvl w:val="0"/>
          <w:numId w:val="1100"/>
        </w:numPr>
        <w:pStyle w:val="Compact"/>
      </w:pPr>
      <w:r>
        <w:t xml:space="preserve">Consider setting a character limit on folder names (again to reduce problems with hitting path character limits)</w:t>
      </w:r>
    </w:p>
    <w:p>
      <w:pPr>
        <w:numPr>
          <w:ilvl w:val="0"/>
          <w:numId w:val="1100"/>
        </w:numPr>
        <w:pStyle w:val="Compact"/>
      </w:pPr>
      <w:r>
        <w:t xml:space="preserve">Make your folder names meaningful and easy to interpret</w:t>
      </w:r>
    </w:p>
    <w:p>
      <w:pPr>
        <w:numPr>
          <w:ilvl w:val="0"/>
          <w:numId w:val="1100"/>
        </w:numPr>
        <w:pStyle w:val="Compact"/>
      </w:pPr>
      <w:r>
        <w:t xml:space="preserve">Never use spaces in your folder names</w:t>
      </w:r>
    </w:p>
    <w:p>
      <w:pPr>
        <w:numPr>
          <w:ilvl w:val="1"/>
          <w:numId w:val="1101"/>
        </w:numPr>
        <w:pStyle w:val="Compact"/>
      </w:pPr>
      <w:r>
        <w:t xml:space="preserve">Use</w:t>
      </w:r>
      <w:r>
        <w:t xml:space="preserve"> </w:t>
      </w:r>
      <w:r>
        <w:rPr>
          <w:rStyle w:val="VerbatimChar"/>
        </w:rPr>
        <w:t xml:space="preserve">_</w:t>
      </w:r>
      <w:r>
        <w:t xml:space="preserve"> </w:t>
      </w:r>
      <w:r>
        <w:t xml:space="preserve">or</w:t>
      </w:r>
      <w:r>
        <w:t xml:space="preserve"> </w:t>
      </w:r>
      <w:r>
        <w:rPr>
          <w:rStyle w:val="VerbatimChar"/>
        </w:rPr>
        <w:t xml:space="preserve">-</w:t>
      </w:r>
      <w:r>
        <w:t xml:space="preserve"> </w:t>
      </w:r>
      <w:r>
        <w:t xml:space="preserve">to separate words</w:t>
      </w:r>
    </w:p>
    <w:p>
      <w:pPr>
        <w:numPr>
          <w:ilvl w:val="0"/>
          <w:numId w:val="1100"/>
        </w:numPr>
        <w:pStyle w:val="Compact"/>
      </w:pPr>
      <w:r>
        <w:t xml:space="preserve">With the exception of</w:t>
      </w:r>
      <w:r>
        <w:t xml:space="preserve"> </w:t>
      </w:r>
      <w:r>
        <w:rPr>
          <w:rStyle w:val="VerbatimChar"/>
        </w:rPr>
        <w:t xml:space="preserve">-</w:t>
      </w:r>
      <w:r>
        <w:t xml:space="preserve"> </w:t>
      </w:r>
      <w:r>
        <w:t xml:space="preserve">and</w:t>
      </w:r>
      <w:r>
        <w:t xml:space="preserve"> </w:t>
      </w:r>
      <w:r>
        <w:rPr>
          <w:rStyle w:val="VerbatimChar"/>
        </w:rPr>
        <w:t xml:space="preserve">_</w:t>
      </w:r>
      <w:r>
        <w:t xml:space="preserve">, don’t use special characters in your folder names</w:t>
      </w:r>
    </w:p>
    <w:p>
      <w:pPr>
        <w:numPr>
          <w:ilvl w:val="0"/>
          <w:numId w:val="1100"/>
        </w:numPr>
        <w:pStyle w:val="Compact"/>
      </w:pPr>
      <w:r>
        <w:t xml:space="preserve">Be consistent with delimiters and capitalization. Follow an existing naming convention (as mentioned above).</w:t>
      </w:r>
    </w:p>
    <w:p>
      <w:pPr>
        <w:pStyle w:val="FirstParagraph"/>
      </w:pPr>
      <w:r>
        <w:rPr>
          <w:bCs/>
          <w:b/>
        </w:rPr>
        <w:t xml:space="preserve">Example directory structure style guide</w:t>
      </w:r>
    </w:p>
    <w:p>
      <w:pPr>
        <w:pStyle w:val="SourceCode"/>
      </w:pPr>
      <w:r>
        <w:rPr>
          <w:rStyle w:val="VerbatimChar"/>
        </w:rPr>
        <w:t xml:space="preserve">1. All project directories follow this hierarchical metadata structure  </w:t>
      </w:r>
      <w:r>
        <w:br/>
      </w:r>
      <w:r>
        <w:rPr>
          <w:rStyle w:val="VerbatimChar"/>
        </w:rPr>
        <w:t xml:space="preserve">    - Level 1: Name of project  </w:t>
      </w:r>
      <w:r>
        <w:br/>
      </w:r>
      <w:r>
        <w:rPr>
          <w:rStyle w:val="VerbatimChar"/>
        </w:rPr>
        <w:t xml:space="preserve">    - Level 2: Life cycle folders  </w:t>
      </w:r>
      <w:r>
        <w:br/>
      </w:r>
      <w:r>
        <w:rPr>
          <w:rStyle w:val="VerbatimChar"/>
        </w:rPr>
        <w:t xml:space="preserve">    - Level 3: Data collection wave folders (if relevant)  </w:t>
      </w:r>
      <w:r>
        <w:br/>
      </w:r>
      <w:r>
        <w:rPr>
          <w:rStyle w:val="VerbatimChar"/>
        </w:rPr>
        <w:t xml:space="preserve">    - Level 4: Participant folder (if relevent)</w:t>
      </w:r>
      <w:r>
        <w:br/>
      </w:r>
      <w:r>
        <w:rPr>
          <w:rStyle w:val="VerbatimChar"/>
        </w:rPr>
        <w:t xml:space="preserve">    - Level 5: Specific content folder  </w:t>
      </w:r>
      <w:r>
        <w:br/>
      </w:r>
      <w:r>
        <w:rPr>
          <w:rStyle w:val="VerbatimChar"/>
        </w:rPr>
        <w:t xml:space="preserve">    - Level 6: Archive folders  </w:t>
      </w:r>
      <w:r>
        <w:br/>
      </w:r>
      <w:r>
        <w:rPr>
          <w:rStyle w:val="VerbatimChar"/>
        </w:rPr>
        <w:t xml:space="preserve">2. All folders should be named according to these rules  </w:t>
      </w:r>
      <w:r>
        <w:br/>
      </w:r>
      <w:r>
        <w:rPr>
          <w:rStyle w:val="VerbatimChar"/>
        </w:rPr>
        <w:t xml:space="preserve">    - Meaningful name but no longer than 20 characters  </w:t>
      </w:r>
      <w:r>
        <w:br/>
      </w:r>
      <w:r>
        <w:rPr>
          <w:rStyle w:val="VerbatimChar"/>
        </w:rPr>
        <w:t xml:space="preserve">    - No spaces or special characters in folder names  </w:t>
      </w:r>
      <w:r>
        <w:br/>
      </w:r>
      <w:r>
        <w:rPr>
          <w:rStyle w:val="VerbatimChar"/>
        </w:rPr>
        <w:t xml:space="preserve">    - Only use lower case letters  </w:t>
      </w:r>
      <w:r>
        <w:br/>
      </w:r>
      <w:r>
        <w:rPr>
          <w:rStyle w:val="VerbatimChar"/>
        </w:rPr>
        <w:t xml:space="preserve">    - Use `-` to separate words  </w:t>
      </w:r>
      <w:r>
        <w:br/>
      </w:r>
      <w:r>
        <w:rPr>
          <w:rStyle w:val="VerbatimChar"/>
        </w:rPr>
        <w:t xml:space="preserve">3. All previous versions of files must be placed into their respective "archive" folder</w:t>
      </w:r>
      <w:r>
        <w:br/>
      </w:r>
      <w:r>
        <w:rPr>
          <w:rStyle w:val="VerbatimChar"/>
        </w:rPr>
        <w:t xml:space="preserve">    - A changelog should be placed in each "archive" folder to document changes between document versions</w:t>
      </w:r>
    </w:p>
    <w:p>
      <w:pPr>
        <w:pStyle w:val="FirstParagraph"/>
      </w:pPr>
      <w:r>
        <w:rPr>
          <w:bCs/>
          <w:b/>
        </w:rPr>
        <w:t xml:space="preserve">Example directory structure created using a style guide</w:t>
      </w:r>
    </w:p>
    <w:p>
      <w:pPr>
        <w:pStyle w:val="SourceCode"/>
      </w:pPr>
      <w:r>
        <w:rPr>
          <w:rStyle w:val="VerbatimChar"/>
        </w:rPr>
        <w:t xml:space="preserve">                               levelName</w:t>
      </w:r>
      <w:r>
        <w:br/>
      </w:r>
      <w:r>
        <w:rPr>
          <w:rStyle w:val="VerbatimChar"/>
        </w:rPr>
        <w:t xml:space="preserve">1  project-new                          </w:t>
      </w:r>
      <w:r>
        <w:br/>
      </w:r>
      <w:r>
        <w:rPr>
          <w:rStyle w:val="VerbatimChar"/>
        </w:rPr>
        <w:t xml:space="preserve">2   ¦--intervention                     </w:t>
      </w:r>
      <w:r>
        <w:br/>
      </w:r>
      <w:r>
        <w:rPr>
          <w:rStyle w:val="VerbatimChar"/>
        </w:rPr>
        <w:t xml:space="preserve">3   ¦   °--cohort-1                     </w:t>
      </w:r>
      <w:r>
        <w:br/>
      </w:r>
      <w:r>
        <w:rPr>
          <w:rStyle w:val="VerbatimChar"/>
        </w:rPr>
        <w:t xml:space="preserve">4   ¦       °--coaching_materials       </w:t>
      </w:r>
      <w:r>
        <w:br/>
      </w:r>
      <w:r>
        <w:rPr>
          <w:rStyle w:val="VerbatimChar"/>
        </w:rPr>
        <w:t xml:space="preserve">5   ¦           °--archive              </w:t>
      </w:r>
      <w:r>
        <w:br/>
      </w:r>
      <w:r>
        <w:rPr>
          <w:rStyle w:val="VerbatimChar"/>
        </w:rPr>
        <w:t xml:space="preserve">6   ¦               °--changelog.txt    </w:t>
      </w:r>
      <w:r>
        <w:br/>
      </w:r>
      <w:r>
        <w:rPr>
          <w:rStyle w:val="VerbatimChar"/>
        </w:rPr>
        <w:t xml:space="preserve">7   ¦--project-mgmt                     </w:t>
      </w:r>
      <w:r>
        <w:br/>
      </w:r>
      <w:r>
        <w:rPr>
          <w:rStyle w:val="VerbatimChar"/>
        </w:rPr>
        <w:t xml:space="preserve">8   ¦   °--cohort-1                     </w:t>
      </w:r>
      <w:r>
        <w:br/>
      </w:r>
      <w:r>
        <w:rPr>
          <w:rStyle w:val="VerbatimChar"/>
        </w:rPr>
        <w:t xml:space="preserve">9   ¦       °--scheduling-materials     </w:t>
      </w:r>
      <w:r>
        <w:br/>
      </w:r>
      <w:r>
        <w:rPr>
          <w:rStyle w:val="VerbatimChar"/>
        </w:rPr>
        <w:t xml:space="preserve">10  ¦           °--archive              </w:t>
      </w:r>
      <w:r>
        <w:br/>
      </w:r>
      <w:r>
        <w:rPr>
          <w:rStyle w:val="VerbatimChar"/>
        </w:rPr>
        <w:t xml:space="preserve">11  ¦               °--changelog.txt    </w:t>
      </w:r>
      <w:r>
        <w:br/>
      </w:r>
      <w:r>
        <w:rPr>
          <w:rStyle w:val="VerbatimChar"/>
        </w:rPr>
        <w:t xml:space="preserve">12  ¦--documentation                    </w:t>
      </w:r>
      <w:r>
        <w:br/>
      </w:r>
      <w:r>
        <w:rPr>
          <w:rStyle w:val="VerbatimChar"/>
        </w:rPr>
        <w:t xml:space="preserve">13  ¦   ¦--sops                         </w:t>
      </w:r>
      <w:r>
        <w:br/>
      </w:r>
      <w:r>
        <w:rPr>
          <w:rStyle w:val="VerbatimChar"/>
        </w:rPr>
        <w:t xml:space="preserve">14  ¦   ¦   °--archive                  </w:t>
      </w:r>
      <w:r>
        <w:br/>
      </w:r>
      <w:r>
        <w:rPr>
          <w:rStyle w:val="VerbatimChar"/>
        </w:rPr>
        <w:t xml:space="preserve">15  ¦   ¦       °--changelog.txt        </w:t>
      </w:r>
      <w:r>
        <w:br/>
      </w:r>
      <w:r>
        <w:rPr>
          <w:rStyle w:val="VerbatimChar"/>
        </w:rPr>
        <w:t xml:space="preserve">16  ¦   °--data-dictionaries            </w:t>
      </w:r>
      <w:r>
        <w:br/>
      </w:r>
      <w:r>
        <w:rPr>
          <w:rStyle w:val="VerbatimChar"/>
        </w:rPr>
        <w:t xml:space="preserve">17  ¦       °--archive                  </w:t>
      </w:r>
      <w:r>
        <w:br/>
      </w:r>
      <w:r>
        <w:rPr>
          <w:rStyle w:val="VerbatimChar"/>
        </w:rPr>
        <w:t xml:space="preserve">18  ¦           °--changelog.txt        </w:t>
      </w:r>
      <w:r>
        <w:br/>
      </w:r>
      <w:r>
        <w:rPr>
          <w:rStyle w:val="VerbatimChar"/>
        </w:rPr>
        <w:t xml:space="preserve">19  ¦--data                             </w:t>
      </w:r>
      <w:r>
        <w:br/>
      </w:r>
      <w:r>
        <w:rPr>
          <w:rStyle w:val="VerbatimChar"/>
        </w:rPr>
        <w:t xml:space="preserve">20  ¦   °--cohort-1                     </w:t>
      </w:r>
      <w:r>
        <w:br/>
      </w:r>
      <w:r>
        <w:rPr>
          <w:rStyle w:val="VerbatimChar"/>
        </w:rPr>
        <w:t xml:space="preserve">21  ¦       °--student                  </w:t>
      </w:r>
      <w:r>
        <w:br/>
      </w:r>
      <w:r>
        <w:rPr>
          <w:rStyle w:val="VerbatimChar"/>
        </w:rPr>
        <w:t xml:space="preserve">22  ¦           °--survey               </w:t>
      </w:r>
      <w:r>
        <w:br/>
      </w:r>
      <w:r>
        <w:rPr>
          <w:rStyle w:val="VerbatimChar"/>
        </w:rPr>
        <w:t xml:space="preserve">23  ¦               °--archive          </w:t>
      </w:r>
      <w:r>
        <w:br/>
      </w:r>
      <w:r>
        <w:rPr>
          <w:rStyle w:val="VerbatimChar"/>
        </w:rPr>
        <w:t xml:space="preserve">24  ¦                   °--changelog.txt</w:t>
      </w:r>
      <w:r>
        <w:br/>
      </w:r>
      <w:r>
        <w:rPr>
          <w:rStyle w:val="VerbatimChar"/>
        </w:rPr>
        <w:t xml:space="preserve">25  °--tracking                         </w:t>
      </w:r>
      <w:r>
        <w:br/>
      </w:r>
      <w:r>
        <w:rPr>
          <w:rStyle w:val="VerbatimChar"/>
        </w:rPr>
        <w:t xml:space="preserve">26      °--cohort-1                     </w:t>
      </w:r>
      <w:r>
        <w:br/>
      </w:r>
      <w:r>
        <w:rPr>
          <w:rStyle w:val="VerbatimChar"/>
        </w:rPr>
        <w:t xml:space="preserve">27          ¦--participant-database     </w:t>
      </w:r>
      <w:r>
        <w:br/>
      </w:r>
      <w:r>
        <w:rPr>
          <w:rStyle w:val="VerbatimChar"/>
        </w:rPr>
        <w:t xml:space="preserve">28          ¦   °--archive              </w:t>
      </w:r>
      <w:r>
        <w:br/>
      </w:r>
      <w:r>
        <w:rPr>
          <w:rStyle w:val="VerbatimChar"/>
        </w:rPr>
        <w:t xml:space="preserve">29          ¦       °--changelog.txt    </w:t>
      </w:r>
      <w:r>
        <w:br/>
      </w:r>
      <w:r>
        <w:rPr>
          <w:rStyle w:val="VerbatimChar"/>
        </w:rPr>
        <w:t xml:space="preserve">30          °--parent_consents          </w:t>
      </w:r>
    </w:p>
    <w:bookmarkEnd w:id="361"/>
    <w:bookmarkStart w:id="365" w:name="file-naming"/>
    <w:p>
      <w:pPr>
        <w:pStyle w:val="Heading2"/>
      </w:pPr>
      <w:r>
        <w:rPr>
          <w:rStyle w:val="SectionNumber"/>
        </w:rPr>
        <w:t xml:space="preserve">8.3</w:t>
      </w:r>
      <w:r>
        <w:tab/>
      </w:r>
      <w:r>
        <w:t xml:space="preserve">File naming</w:t>
      </w:r>
    </w:p>
    <w:p>
      <w:pPr>
        <w:pStyle w:val="CaptionedFigure"/>
      </w:pPr>
      <w:r>
        <w:drawing>
          <wp:inline>
            <wp:extent cx="3040380" cy="5052060"/>
            <wp:effectExtent b="0" l="0" r="0" t="0"/>
            <wp:docPr descr="Figure 8.2: xkcd comic on naming files" title="" id="363" name="Picture"/>
            <a:graphic>
              <a:graphicData uri="http://schemas.openxmlformats.org/drawingml/2006/picture">
                <pic:pic>
                  <pic:nvPicPr>
                    <pic:cNvPr descr="img/xkcd.PNG" id="364" name="Picture"/>
                    <pic:cNvPicPr>
                      <a:picLocks noChangeArrowheads="1" noChangeAspect="1"/>
                    </pic:cNvPicPr>
                  </pic:nvPicPr>
                  <pic:blipFill>
                    <a:blip r:embed="rId362"/>
                    <a:stretch>
                      <a:fillRect/>
                    </a:stretch>
                  </pic:blipFill>
                  <pic:spPr bwMode="auto">
                    <a:xfrm>
                      <a:off x="0" y="0"/>
                      <a:ext cx="3040380" cy="5052060"/>
                    </a:xfrm>
                    <a:prstGeom prst="rect">
                      <a:avLst/>
                    </a:prstGeom>
                    <a:noFill/>
                    <a:ln w="9525">
                      <a:noFill/>
                      <a:headEnd/>
                      <a:tailEnd/>
                    </a:ln>
                  </pic:spPr>
                </pic:pic>
              </a:graphicData>
            </a:graphic>
          </wp:inline>
        </w:drawing>
      </w:r>
    </w:p>
    <w:p>
      <w:pPr>
        <w:pStyle w:val="ImageCaption"/>
      </w:pPr>
      <w:r>
        <w:t xml:space="preserve">Figure 8.2: xkcd comic on naming files</w:t>
      </w:r>
    </w:p>
    <w:p>
      <w:pPr>
        <w:pStyle w:val="BodyText"/>
      </w:pPr>
      <w:r>
        <w:t xml:space="preserve">As xkcd</w:t>
      </w:r>
      <w:r>
        <w:t xml:space="preserve">(</w:t>
      </w:r>
      <w:hyperlink w:anchor="ref-xkcd_documents_nodate">
        <w:r>
          <w:rPr>
            <w:rStyle w:val="Hyperlink"/>
          </w:rPr>
          <w:t xml:space="preserve">xkcd n.d.</w:t>
        </w:r>
      </w:hyperlink>
      <w:r>
        <w:t xml:space="preserve">)</w:t>
      </w:r>
      <w:r>
        <w:t xml:space="preserve"> </w:t>
      </w:r>
      <w:r>
        <w:t xml:space="preserve">so aptly points out in Figure</w:t>
      </w:r>
      <w:r>
        <w:t xml:space="preserve"> </w:t>
      </w:r>
      <w:r>
        <w:t xml:space="preserve">8.2</w:t>
      </w:r>
      <w:r>
        <w:t xml:space="preserve">, many of us are pretty bad at naming files in a consistent and usable way. We are often in a rush to save our files and maybe don’t consider how unclear our file names will be for future users (including ourselves).</w:t>
      </w:r>
    </w:p>
    <w:p>
      <w:pPr>
        <w:pStyle w:val="BodyText"/>
      </w:pPr>
      <w:r>
        <w:t xml:space="preserve">Our file names alone should be able to answer questions such as:</w:t>
      </w:r>
    </w:p>
    <w:p>
      <w:pPr>
        <w:numPr>
          <w:ilvl w:val="0"/>
          <w:numId w:val="1102"/>
        </w:numPr>
        <w:pStyle w:val="Compact"/>
      </w:pPr>
      <w:r>
        <w:t xml:space="preserve">What are these documents?</w:t>
      </w:r>
    </w:p>
    <w:p>
      <w:pPr>
        <w:numPr>
          <w:ilvl w:val="0"/>
          <w:numId w:val="1102"/>
        </w:numPr>
        <w:pStyle w:val="Compact"/>
      </w:pPr>
      <w:r>
        <w:t xml:space="preserve">When were these documents created?</w:t>
      </w:r>
    </w:p>
    <w:p>
      <w:pPr>
        <w:numPr>
          <w:ilvl w:val="0"/>
          <w:numId w:val="1102"/>
        </w:numPr>
        <w:pStyle w:val="Compact"/>
      </w:pPr>
      <w:r>
        <w:t xml:space="preserve">Which document is the most recent version?</w:t>
      </w:r>
    </w:p>
    <w:p>
      <w:pPr>
        <w:pStyle w:val="FirstParagraph"/>
      </w:pPr>
      <w:r>
        <w:t xml:space="preserve">A file naming style guide helps us to name files in a way that allows us to answer these questions. You can have one overarching file naming guide, or you may have file naming guides for different purposes that need different organizational strategies (for example one naming guide for project meeting notes, another naming guide for project data files). Let’s walk through several conventions to consider when naming your files.</w:t>
      </w:r>
    </w:p>
    <w:p>
      <w:pPr>
        <w:numPr>
          <w:ilvl w:val="0"/>
          <w:numId w:val="1103"/>
        </w:numPr>
        <w:pStyle w:val="Compact"/>
      </w:pPr>
      <w:r>
        <w:t xml:space="preserve">Make names descriptive (a user should be able to understand the contents of the file without opening it)</w:t>
      </w:r>
    </w:p>
    <w:p>
      <w:pPr>
        <w:numPr>
          <w:ilvl w:val="0"/>
          <w:numId w:val="1103"/>
        </w:numPr>
        <w:pStyle w:val="Compact"/>
      </w:pPr>
      <w:r>
        <w:t xml:space="preserve">Never use spaces between words</w:t>
      </w:r>
    </w:p>
    <w:p>
      <w:pPr>
        <w:numPr>
          <w:ilvl w:val="1"/>
          <w:numId w:val="1104"/>
        </w:numPr>
        <w:pStyle w:val="Compact"/>
      </w:pPr>
      <w:r>
        <w:t xml:space="preserve">Use</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to separate words.</w:t>
      </w:r>
    </w:p>
    <w:p>
      <w:pPr>
        <w:numPr>
          <w:ilvl w:val="0"/>
          <w:numId w:val="1103"/>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never use special characters</w:t>
      </w:r>
    </w:p>
    <w:p>
      <w:pPr>
        <w:numPr>
          <w:ilvl w:val="0"/>
          <w:numId w:val="1103"/>
        </w:numPr>
        <w:pStyle w:val="Compact"/>
      </w:pPr>
      <w:r>
        <w:t xml:space="preserve">Be consistent with delimiters and capitalization. Follow an existing naming convention.</w:t>
      </w:r>
    </w:p>
    <w:p>
      <w:pPr>
        <w:numPr>
          <w:ilvl w:val="0"/>
          <w:numId w:val="1103"/>
        </w:numPr>
        <w:pStyle w:val="Compact"/>
      </w:pPr>
      <w:r>
        <w:t xml:space="preserve">Consider limiting the number of allowable characters to prevent hitting your path limit (as mentioned above)</w:t>
      </w:r>
    </w:p>
    <w:p>
      <w:pPr>
        <w:numPr>
          <w:ilvl w:val="0"/>
          <w:numId w:val="1103"/>
        </w:numPr>
        <w:pStyle w:val="Compact"/>
      </w:pPr>
      <w:r>
        <w:t xml:space="preserve">Do not use</w:t>
      </w:r>
      <w:r>
        <w:t xml:space="preserve"> </w:t>
      </w:r>
      <w:r>
        <w:rPr>
          <w:rStyle w:val="VerbatimChar"/>
        </w:rPr>
        <w:t xml:space="preserve">/</w:t>
      </w:r>
      <w:r>
        <w:t xml:space="preserve"> </w:t>
      </w:r>
      <w:r>
        <w:t xml:space="preserve">in dates and format them consistently. It is beneficial to format dates using the ISO 8601 standard in one of these two ways:</w:t>
      </w:r>
    </w:p>
    <w:p>
      <w:pPr>
        <w:numPr>
          <w:ilvl w:val="1"/>
          <w:numId w:val="1105"/>
        </w:numPr>
        <w:pStyle w:val="Compact"/>
      </w:pPr>
      <w:r>
        <w:rPr>
          <w:rStyle w:val="VerbatimChar"/>
        </w:rPr>
        <w:t xml:space="preserve">YYYY-MM-DD</w:t>
      </w:r>
      <w:r>
        <w:t xml:space="preserve"> </w:t>
      </w:r>
      <w:r>
        <w:t xml:space="preserve">or</w:t>
      </w:r>
      <w:r>
        <w:t xml:space="preserve"> </w:t>
      </w:r>
      <w:r>
        <w:rPr>
          <w:rStyle w:val="VerbatimChar"/>
        </w:rPr>
        <w:t xml:space="preserve">YYYYMMDD</w:t>
      </w:r>
    </w:p>
    <w:p>
      <w:pPr>
        <w:numPr>
          <w:ilvl w:val="1"/>
          <w:numId w:val="1105"/>
        </w:numPr>
        <w:pStyle w:val="Compact"/>
      </w:pPr>
      <w:r>
        <w:t xml:space="preserve">While the first way adds more characters to your variable names, it also may be clearer for users to interpret. Either of these date formats will be sortable.</w:t>
      </w:r>
    </w:p>
    <w:p>
      <w:pPr>
        <w:numPr>
          <w:ilvl w:val="0"/>
          <w:numId w:val="1103"/>
        </w:numPr>
        <w:pStyle w:val="Compact"/>
      </w:pPr>
      <w:r>
        <w:t xml:space="preserve">When versioning your files, pick a format and add it to your style guide</w:t>
      </w:r>
    </w:p>
    <w:p>
      <w:pPr>
        <w:numPr>
          <w:ilvl w:val="1"/>
          <w:numId w:val="1106"/>
        </w:numPr>
        <w:pStyle w:val="Compact"/>
      </w:pPr>
      <w:r>
        <w:t xml:space="preserve">If you plan to version using a number, consider left padding with 0 before single digit numbers to keep the file name the same length as it grows (</w:t>
      </w:r>
      <w:r>
        <w:rPr>
          <w:rStyle w:val="VerbatimChar"/>
        </w:rPr>
        <w:t xml:space="preserve">v01</w:t>
      </w:r>
      <w:r>
        <w:t xml:space="preserve">,</w:t>
      </w:r>
      <w:r>
        <w:t xml:space="preserve"> </w:t>
      </w:r>
      <w:r>
        <w:rPr>
          <w:rStyle w:val="VerbatimChar"/>
        </w:rPr>
        <w:t xml:space="preserve">v02</w:t>
      </w:r>
      <w:r>
        <w:t xml:space="preserve">).</w:t>
      </w:r>
    </w:p>
    <w:p>
      <w:pPr>
        <w:numPr>
          <w:ilvl w:val="1"/>
          <w:numId w:val="1106"/>
        </w:numPr>
        <w:pStyle w:val="Compact"/>
      </w:pPr>
      <w:r>
        <w:t xml:space="preserve">As mentioned in our Chapter</w:t>
      </w:r>
      <w:r>
        <w:t xml:space="preserve"> </w:t>
      </w:r>
      <w:r>
        <w:t xml:space="preserve">7</w:t>
      </w:r>
      <w:r>
        <w:t xml:space="preserve">, it is possible to version programatically using tools like Git and GitHub. However, these tools are not always practical for education research. A more practical means of versioning may be to manually version files and track changes in a</w:t>
      </w:r>
      <w:r>
        <w:t xml:space="preserve"> </w:t>
      </w:r>
      <w:hyperlink w:anchor="change">
        <w:r>
          <w:rPr>
            <w:rStyle w:val="Hyperlink"/>
          </w:rPr>
          <w:t xml:space="preserve">changelog</w:t>
        </w:r>
      </w:hyperlink>
      <w:r>
        <w:t xml:space="preserve">.</w:t>
      </w:r>
    </w:p>
    <w:p>
      <w:pPr>
        <w:numPr>
          <w:ilvl w:val="0"/>
          <w:numId w:val="1103"/>
        </w:numPr>
        <w:pStyle w:val="Compact"/>
      </w:pPr>
      <w:r>
        <w:t xml:space="preserve">If your files need to be run in a sequential order, add the order number to the beginning of the file name, with leading zeros to ensure proper sorting (</w:t>
      </w:r>
      <w:r>
        <w:rPr>
          <w:rStyle w:val="VerbatimChar"/>
        </w:rPr>
        <w:t xml:space="preserve">01_</w:t>
      </w:r>
      <w:r>
        <w:t xml:space="preserve">,</w:t>
      </w:r>
      <w:r>
        <w:t xml:space="preserve"> </w:t>
      </w:r>
      <w:r>
        <w:rPr>
          <w:rStyle w:val="VerbatimChar"/>
        </w:rPr>
        <w:t xml:space="preserve">02_</w:t>
      </w:r>
      <w:r>
        <w:t xml:space="preserve">)</w:t>
      </w:r>
    </w:p>
    <w:p>
      <w:pPr>
        <w:numPr>
          <w:ilvl w:val="0"/>
          <w:numId w:val="1103"/>
        </w:numPr>
        <w:pStyle w:val="Compact"/>
      </w:pPr>
      <w:r>
        <w:t xml:space="preserve">Choose abbreviations and/or consistent terms to use for common names/phrases and add them to your style guide (</w:t>
      </w:r>
      <w:r>
        <w:rPr>
          <w:rStyle w:val="VerbatimChar"/>
        </w:rPr>
        <w:t xml:space="preserve">student</w:t>
      </w:r>
      <w:r>
        <w:t xml:space="preserve"> </w:t>
      </w:r>
      <w:r>
        <w:t xml:space="preserve">=</w:t>
      </w:r>
      <w:r>
        <w:t xml:space="preserve"> </w:t>
      </w:r>
      <w:r>
        <w:rPr>
          <w:rStyle w:val="VerbatimChar"/>
        </w:rPr>
        <w:t xml:space="preserve">stu</w:t>
      </w:r>
      <w:r>
        <w:t xml:space="preserve">).</w:t>
      </w:r>
    </w:p>
    <w:p>
      <w:pPr>
        <w:numPr>
          <w:ilvl w:val="1"/>
          <w:numId w:val="1107"/>
        </w:numPr>
        <w:pStyle w:val="Compact"/>
      </w:pPr>
      <w:r>
        <w:t xml:space="preserve">This helps reduce file name character lengths and also creates standardized, searchable metadata, which can allow you to more easily, programmatically retrieve files (for example, retrieve all files containing the phrase</w:t>
      </w:r>
      <w:r>
        <w:t xml:space="preserve"> </w:t>
      </w:r>
      <w:r>
        <w:t xml:space="preserve">“</w:t>
      </w:r>
      <w:r>
        <w:t xml:space="preserve">stu_obs_raw</w:t>
      </w:r>
      <w:r>
        <w:t xml:space="preserve">”</w:t>
      </w:r>
      <w:r>
        <w:t xml:space="preserve">).</w:t>
      </w:r>
    </w:p>
    <w:p>
      <w:pPr>
        <w:numPr>
          <w:ilvl w:val="0"/>
          <w:numId w:val="1103"/>
        </w:numPr>
        <w:pStyle w:val="Compact"/>
      </w:pPr>
      <w:r>
        <w:t xml:space="preserve">Keep redundant metadata in the file name</w:t>
      </w:r>
    </w:p>
    <w:p>
      <w:pPr>
        <w:numPr>
          <w:ilvl w:val="1"/>
          <w:numId w:val="1108"/>
        </w:numPr>
        <w:pStyle w:val="Compact"/>
      </w:pPr>
      <w:r>
        <w:t xml:space="preserve">This reduces confusion if you ever move a file to a different folder or send a file to a collaborator. It also makes your files searchable.</w:t>
      </w:r>
    </w:p>
    <w:p>
      <w:pPr>
        <w:numPr>
          <w:ilvl w:val="1"/>
          <w:numId w:val="1108"/>
        </w:numPr>
        <w:pStyle w:val="Compact"/>
      </w:pPr>
      <w:r>
        <w:t xml:space="preserve">For example, always put the data collection wave in a file name, even if the file is currently housed in a specific wave folder. Or always put the project name in the file name, even if the file is currently housed in a project folder.</w:t>
      </w:r>
    </w:p>
    <w:p>
      <w:pPr>
        <w:numPr>
          <w:ilvl w:val="0"/>
          <w:numId w:val="1103"/>
        </w:numPr>
        <w:pStyle w:val="Compact"/>
      </w:pPr>
      <w:r>
        <w:t xml:space="preserve">Choose an order for file name metadata (e.g., project -&gt; time -&gt; participant -&gt; measure)</w:t>
      </w:r>
    </w:p>
    <w:p>
      <w:pPr>
        <w:pStyle w:val="FirstParagraph"/>
      </w:pPr>
      <w:r>
        <w:rPr>
          <w:bCs/>
          <w:b/>
        </w:rPr>
        <w:t xml:space="preserve">Example file naming style guide</w:t>
      </w:r>
    </w:p>
    <w:p>
      <w:pPr>
        <w:pStyle w:val="SourceCode"/>
      </w:pPr>
      <w:r>
        <w:rPr>
          <w:rStyle w:val="VerbatimChar"/>
        </w:rPr>
        <w:t xml:space="preserve">1. Never use spaces between words</w:t>
      </w:r>
      <w:r>
        <w:br/>
      </w:r>
      <w:r>
        <w:rPr>
          <w:rStyle w:val="VerbatimChar"/>
        </w:rPr>
        <w:t xml:space="preserve">2. Never use special characters</w:t>
      </w:r>
      <w:r>
        <w:br/>
      </w:r>
      <w:r>
        <w:rPr>
          <w:rStyle w:val="VerbatimChar"/>
        </w:rPr>
        <w:t xml:space="preserve">3. Use _ to separate words</w:t>
      </w:r>
      <w:r>
        <w:br/>
      </w:r>
      <w:r>
        <w:rPr>
          <w:rStyle w:val="VerbatimChar"/>
        </w:rPr>
        <w:t xml:space="preserve">4. Only use lower case letters</w:t>
      </w:r>
      <w:r>
        <w:br/>
      </w:r>
      <w:r>
        <w:rPr>
          <w:rStyle w:val="VerbatimChar"/>
        </w:rPr>
        <w:t xml:space="preserve">5. Keep names under 35 characters</w:t>
      </w:r>
      <w:r>
        <w:br/>
      </w:r>
      <w:r>
        <w:rPr>
          <w:rStyle w:val="VerbatimChar"/>
        </w:rPr>
        <w:t xml:space="preserve">6. Use the following metadata file naming order:</w:t>
      </w:r>
      <w:r>
        <w:br/>
      </w:r>
      <w:r>
        <w:rPr>
          <w:rStyle w:val="VerbatimChar"/>
        </w:rPr>
        <w:t xml:space="preserve">  - Order of use (if relevant–and always add a 0 before single digits)</w:t>
      </w:r>
      <w:r>
        <w:br/>
      </w:r>
      <w:r>
        <w:rPr>
          <w:rStyle w:val="VerbatimChar"/>
        </w:rPr>
        <w:t xml:space="preserve">  - Project</w:t>
      </w:r>
      <w:r>
        <w:br/>
      </w:r>
      <w:r>
        <w:rPr>
          <w:rStyle w:val="VerbatimChar"/>
        </w:rPr>
        <w:t xml:space="preserve">  - Cohort/Wave (if relevant)</w:t>
      </w:r>
      <w:r>
        <w:br/>
      </w:r>
      <w:r>
        <w:rPr>
          <w:rStyle w:val="VerbatimChar"/>
        </w:rPr>
        <w:t xml:space="preserve">  - Participant</w:t>
      </w:r>
      <w:r>
        <w:br/>
      </w:r>
      <w:r>
        <w:rPr>
          <w:rStyle w:val="VerbatimChar"/>
        </w:rPr>
        <w:t xml:space="preserve">  - Measure</w:t>
      </w:r>
      <w:r>
        <w:br/>
      </w:r>
      <w:r>
        <w:rPr>
          <w:rStyle w:val="VerbatimChar"/>
        </w:rPr>
        <w:t xml:space="preserve">  - Further description</w:t>
      </w:r>
      <w:r>
        <w:br/>
      </w:r>
      <w:r>
        <w:rPr>
          <w:rStyle w:val="VerbatimChar"/>
        </w:rPr>
        <w:t xml:space="preserve">  - Date (always add)</w:t>
      </w:r>
      <w:r>
        <w:br/>
      </w:r>
      <w:r>
        <w:rPr>
          <w:rStyle w:val="VerbatimChar"/>
        </w:rPr>
        <w:t xml:space="preserve">  - Version (if necessary)</w:t>
      </w:r>
      <w:r>
        <w:br/>
      </w:r>
      <w:r>
        <w:rPr>
          <w:rStyle w:val="VerbatimChar"/>
        </w:rPr>
        <w:t xml:space="preserve">7. Format dates as YYYY-MM-DD</w:t>
      </w:r>
      <w:r>
        <w:br/>
      </w:r>
      <w:r>
        <w:rPr>
          <w:rStyle w:val="VerbatimChar"/>
        </w:rPr>
        <w:t xml:space="preserve">8. If there are multiple versions of a document on the same date, version using v# with a leading 0.</w:t>
      </w:r>
      <w:r>
        <w:br/>
      </w:r>
      <w:r>
        <w:rPr>
          <w:rStyle w:val="VerbatimChar"/>
        </w:rPr>
        <w:t xml:space="preserve">9. Use the following abbreviations</w:t>
      </w:r>
      <w:r>
        <w:br/>
      </w:r>
      <w:r>
        <w:rPr>
          <w:rStyle w:val="VerbatimChar"/>
        </w:rPr>
        <w:t xml:space="preserve">  - student = stu</w:t>
      </w:r>
      <w:r>
        <w:br/>
      </w:r>
      <w:r>
        <w:rPr>
          <w:rStyle w:val="VerbatimChar"/>
        </w:rPr>
        <w:t xml:space="preserve">  - survey = svy</w:t>
      </w:r>
      <w:r>
        <w:br/>
      </w:r>
      <w:r>
        <w:rPr>
          <w:rStyle w:val="VerbatimChar"/>
        </w:rPr>
        <w:t xml:space="preserve">  - wave = w</w:t>
      </w:r>
      <w:r>
        <w:br/>
      </w:r>
      <w:r>
        <w:rPr>
          <w:rStyle w:val="VerbatimChar"/>
        </w:rPr>
        <w:t xml:space="preserve">  - project math efficacy = me</w:t>
      </w:r>
    </w:p>
    <w:p>
      <w:pPr>
        <w:pStyle w:val="FirstParagraph"/>
      </w:pPr>
      <w:r>
        <w:rPr>
          <w:bCs/>
          <w:b/>
        </w:rPr>
        <w:t xml:space="preserve">Example file names created using a style guide</w:t>
      </w:r>
    </w:p>
    <w:p>
      <w:pPr>
        <w:pStyle w:val="SourceCode"/>
      </w:pPr>
      <w:r>
        <w:rPr>
          <w:rStyle w:val="VerbatimChar"/>
        </w:rPr>
        <w:t xml:space="preserve">me_stu_svy_sop_2022-08-01.docx</w:t>
      </w:r>
      <w:r>
        <w:br/>
      </w:r>
      <w:r>
        <w:rPr>
          <w:rStyle w:val="VerbatimChar"/>
        </w:rPr>
        <w:t xml:space="preserve">me_w1_stu_svy_data_raw_2022-11-03.csv</w:t>
      </w:r>
      <w:r>
        <w:br/>
      </w:r>
      <w:r>
        <w:rPr>
          <w:rStyle w:val="VerbatimChar"/>
        </w:rPr>
        <w:t xml:space="preserve">me_w1_stu_svy_cleaning_syntax_2023-01-22_v01.R</w:t>
      </w:r>
      <w:r>
        <w:br/>
      </w:r>
      <w:r>
        <w:rPr>
          <w:rStyle w:val="VerbatimChar"/>
        </w:rPr>
        <w:t xml:space="preserve">me_w1_stu_svy_cleaning_syntax_2023-01-22_v02.R</w:t>
      </w:r>
    </w:p>
    <w:bookmarkEnd w:id="365"/>
    <w:bookmarkStart w:id="368" w:name="varname"/>
    <w:p>
      <w:pPr>
        <w:pStyle w:val="Heading2"/>
      </w:pPr>
      <w:r>
        <w:rPr>
          <w:rStyle w:val="SectionNumber"/>
        </w:rPr>
        <w:t xml:space="preserve">8.4</w:t>
      </w:r>
      <w:r>
        <w:tab/>
      </w:r>
      <w:r>
        <w:t xml:space="preserve">Variable naming</w:t>
      </w:r>
    </w:p>
    <w:p>
      <w:pPr>
        <w:pStyle w:val="FirstParagraph"/>
      </w:pPr>
      <w:r>
        <w:t xml:space="preserve">This style guide will be a necessary document to have before you start to create your data dictionaries. Below are several considerations to review before developing your variable naming style guide. These are broken into two types of rules, those that are non-negotiable requirements that really should be included in your style guide (if you do not follow these rules you will run into serious problems in interpretation for both humans and machines), and then best practices suggestions that are recommended but not required.</w:t>
      </w:r>
    </w:p>
    <w:p>
      <w:pPr>
        <w:pStyle w:val="BodyText"/>
      </w:pPr>
      <w:r>
        <w:rPr>
          <w:bCs/>
          <w:b/>
        </w:rPr>
        <w:t xml:space="preserve">Mandatory:</w:t>
      </w:r>
    </w:p>
    <w:p>
      <w:pPr>
        <w:numPr>
          <w:ilvl w:val="0"/>
          <w:numId w:val="1109"/>
        </w:numPr>
        <w:pStyle w:val="Compact"/>
      </w:pPr>
      <w:r>
        <w:t xml:space="preserve">Don’t name a variable any keywords or functions used in any programming language (such as</w:t>
      </w:r>
      <w:r>
        <w:t xml:space="preserve"> </w:t>
      </w:r>
      <w:r>
        <w:rPr>
          <w:rStyle w:val="VerbatimChar"/>
        </w:rPr>
        <w:t xml:space="preserve">if</w:t>
      </w:r>
      <w:r>
        <w:t xml:space="preserve">,</w:t>
      </w:r>
      <w:r>
        <w:t xml:space="preserve"> </w:t>
      </w:r>
      <w:r>
        <w:rPr>
          <w:rStyle w:val="VerbatimChar"/>
        </w:rPr>
        <w:t xml:space="preserve">for</w:t>
      </w:r>
      <w:r>
        <w:t xml:space="preserve">,</w:t>
      </w:r>
      <w:r>
        <w:t xml:space="preserve"> </w:t>
      </w:r>
      <w:r>
        <w:rPr>
          <w:rStyle w:val="VerbatimChar"/>
        </w:rPr>
        <w:t xml:space="preserve">repeat</w:t>
      </w:r>
      <w:r>
        <w:t xml:space="preserve">)</w:t>
      </w:r>
      <w:r>
        <w:t xml:space="preserve">(</w:t>
      </w:r>
      <w:hyperlink w:anchor="ref-r_core_team_r_2023">
        <w:r>
          <w:rPr>
            <w:rStyle w:val="Hyperlink"/>
          </w:rPr>
          <w:t xml:space="preserve">R Core Team 2023</w:t>
        </w:r>
      </w:hyperlink>
      <w:r>
        <w:t xml:space="preserve">;</w:t>
      </w:r>
      <w:r>
        <w:t xml:space="preserve"> </w:t>
      </w:r>
      <w:hyperlink w:anchor="ref-stangroom_rules_2019">
        <w:r>
          <w:rPr>
            <w:rStyle w:val="Hyperlink"/>
          </w:rPr>
          <w:t xml:space="preserve">Stangroom 2019</w:t>
        </w:r>
      </w:hyperlink>
      <w:r>
        <w:t xml:space="preserve">)</w:t>
      </w:r>
    </w:p>
    <w:p>
      <w:pPr>
        <w:numPr>
          <w:ilvl w:val="0"/>
          <w:numId w:val="1109"/>
        </w:numPr>
        <w:pStyle w:val="Compact"/>
      </w:pPr>
      <w:r>
        <w:t xml:space="preserve">Set a character limit</w:t>
      </w:r>
    </w:p>
    <w:p>
      <w:pPr>
        <w:numPr>
          <w:ilvl w:val="1"/>
          <w:numId w:val="1110"/>
        </w:numPr>
        <w:pStyle w:val="Compact"/>
      </w:pPr>
      <w:r>
        <w:t xml:space="preserve">Most statistical programs have a limit on variable name characters</w:t>
      </w:r>
    </w:p>
    <w:p>
      <w:pPr>
        <w:numPr>
          <w:ilvl w:val="2"/>
          <w:numId w:val="1111"/>
        </w:numPr>
        <w:pStyle w:val="Compact"/>
      </w:pPr>
      <w:r>
        <w:t xml:space="preserve">SPSS is 64</w:t>
      </w:r>
    </w:p>
    <w:p>
      <w:pPr>
        <w:numPr>
          <w:ilvl w:val="2"/>
          <w:numId w:val="1111"/>
        </w:numPr>
        <w:pStyle w:val="Compact"/>
      </w:pPr>
      <w:r>
        <w:t xml:space="preserve">Stata is 32</w:t>
      </w:r>
    </w:p>
    <w:p>
      <w:pPr>
        <w:numPr>
          <w:ilvl w:val="2"/>
          <w:numId w:val="1111"/>
        </w:numPr>
        <w:pStyle w:val="Compact"/>
      </w:pPr>
      <w:r>
        <w:t xml:space="preserve">SAS is 32</w:t>
      </w:r>
    </w:p>
    <w:p>
      <w:pPr>
        <w:numPr>
          <w:ilvl w:val="2"/>
          <w:numId w:val="1111"/>
        </w:numPr>
        <w:pStyle w:val="Compact"/>
      </w:pPr>
      <w:r>
        <w:t xml:space="preserve">Mplus is 8</w:t>
      </w:r>
    </w:p>
    <w:p>
      <w:pPr>
        <w:numPr>
          <w:ilvl w:val="2"/>
          <w:numId w:val="1111"/>
        </w:numPr>
        <w:pStyle w:val="Compact"/>
      </w:pPr>
      <w:r>
        <w:t xml:space="preserve">R is 10,000</w:t>
      </w:r>
    </w:p>
    <w:p>
      <w:pPr>
        <w:numPr>
          <w:ilvl w:val="1"/>
          <w:numId w:val="1110"/>
        </w:numPr>
        <w:pStyle w:val="Compact"/>
      </w:pPr>
      <w:r>
        <w:t xml:space="preserve">With this said, do not limit yourself to 8 characters based on the fact that one future user may use a program like Mplus. Consider the balance between character limit and interpretation. It is very difficult to make good human-readable variable names under 8 characters. It is much easier to make them under 32. And the majority of your users will be using a program with a limit of 32 or more. If you have one potential Mplus user, they can always rename your variables for their specific analysis.</w:t>
      </w:r>
    </w:p>
    <w:p>
      <w:pPr>
        <w:numPr>
          <w:ilvl w:val="0"/>
          <w:numId w:val="1109"/>
        </w:numPr>
        <w:pStyle w:val="Compact"/>
      </w:pPr>
      <w:r>
        <w:t xml:space="preserve">Use the same variable name across time in a project</w:t>
      </w:r>
    </w:p>
    <w:p>
      <w:pPr>
        <w:numPr>
          <w:ilvl w:val="1"/>
          <w:numId w:val="1112"/>
        </w:numPr>
        <w:pStyle w:val="Compact"/>
      </w:pPr>
      <w:r>
        <w:t xml:space="preserve">If an item is named</w:t>
      </w:r>
      <w:r>
        <w:t xml:space="preserve"> </w:t>
      </w:r>
      <w:r>
        <w:rPr>
          <w:rStyle w:val="VerbatimChar"/>
        </w:rPr>
        <w:t xml:space="preserve">anx1</w:t>
      </w:r>
      <w:r>
        <w:t xml:space="preserve"> </w:t>
      </w:r>
      <w:r>
        <w:t xml:space="preserve">in the fall, name that same item</w:t>
      </w:r>
      <w:r>
        <w:t xml:space="preserve"> </w:t>
      </w:r>
      <w:r>
        <w:rPr>
          <w:rStyle w:val="VerbatimChar"/>
        </w:rPr>
        <w:t xml:space="preserve">anx1</w:t>
      </w:r>
      <w:r>
        <w:t xml:space="preserve"> </w:t>
      </w:r>
      <w:r>
        <w:t xml:space="preserve">again in the spring</w:t>
      </w:r>
    </w:p>
    <w:p>
      <w:pPr>
        <w:numPr>
          <w:ilvl w:val="0"/>
          <w:numId w:val="1109"/>
        </w:numPr>
        <w:pStyle w:val="Compact"/>
      </w:pPr>
      <w:r>
        <w:t xml:space="preserve">Don’t use spaces or special characters (except</w:t>
      </w:r>
      <w:r>
        <w:rPr>
          <w:rStyle w:val="VerbatimChar"/>
        </w:rPr>
        <w:t xml:space="preserve">_</w:t>
      </w:r>
      <w:r>
        <w:t xml:space="preserve">), they are not allowed in most programs</w:t>
      </w:r>
    </w:p>
    <w:p>
      <w:pPr>
        <w:numPr>
          <w:ilvl w:val="1"/>
          <w:numId w:val="1113"/>
        </w:numPr>
        <w:pStyle w:val="Compact"/>
      </w:pPr>
      <w:r>
        <w:t xml:space="preserve">Even the</w:t>
      </w:r>
      <w:r>
        <w:t xml:space="preserve"> </w:t>
      </w:r>
      <w:r>
        <w:rPr>
          <w:rStyle w:val="VerbatimChar"/>
        </w:rPr>
        <w:t xml:space="preserve">-</w:t>
      </w:r>
      <w:r>
        <w:t xml:space="preserve"> </w:t>
      </w:r>
      <w:r>
        <w:t xml:space="preserve">is not allowed in programs such as R and SPSS as it can be mistaken for a minus sign</w:t>
      </w:r>
    </w:p>
    <w:p>
      <w:pPr>
        <w:numPr>
          <w:ilvl w:val="1"/>
          <w:numId w:val="1113"/>
        </w:numPr>
        <w:pStyle w:val="Compact"/>
      </w:pPr>
      <w:r>
        <w:t xml:space="preserve">While</w:t>
      </w:r>
      <w:r>
        <w:t xml:space="preserve"> </w:t>
      </w:r>
      <w:r>
        <w:rPr>
          <w:rStyle w:val="VerbatimChar"/>
        </w:rPr>
        <w:t xml:space="preserve">.</w:t>
      </w:r>
      <w:r>
        <w:t xml:space="preserve"> </w:t>
      </w:r>
      <w:r>
        <w:t xml:space="preserve">is allowed in R and SPSS it is not allowed in Stata so it’s best to avoid using it</w:t>
      </w:r>
    </w:p>
    <w:p>
      <w:pPr>
        <w:numPr>
          <w:ilvl w:val="0"/>
          <w:numId w:val="1109"/>
        </w:numPr>
        <w:pStyle w:val="Compact"/>
      </w:pPr>
      <w:r>
        <w:t xml:space="preserve">Do not start a variable name with a number. This is not allowed in many statistical programs.</w:t>
      </w:r>
    </w:p>
    <w:p>
      <w:pPr>
        <w:numPr>
          <w:ilvl w:val="0"/>
          <w:numId w:val="1109"/>
        </w:numPr>
        <w:pStyle w:val="Compact"/>
      </w:pPr>
      <w:r>
        <w:t xml:space="preserve">All variable names should be unique</w:t>
      </w:r>
    </w:p>
    <w:p>
      <w:pPr>
        <w:numPr>
          <w:ilvl w:val="1"/>
          <w:numId w:val="1114"/>
        </w:numPr>
        <w:pStyle w:val="Compact"/>
      </w:pPr>
      <w:r>
        <w:t xml:space="preserve">This absolutely applies to variables within the same dataset, but it should also apply to all variables across datasets within a project. The reason is, at some point you may merge data across forms and end up with identical variable names (which programs will not allow).</w:t>
      </w:r>
    </w:p>
    <w:p>
      <w:pPr>
        <w:numPr>
          <w:ilvl w:val="1"/>
          <w:numId w:val="1114"/>
        </w:numPr>
        <w:pStyle w:val="Compact"/>
      </w:pPr>
      <w:r>
        <w:t xml:space="preserve">So, for example if you collect student gender from a survey and you also collect student gender from school records, differentiate between the two (</w:t>
      </w:r>
      <w:r>
        <w:rPr>
          <w:rStyle w:val="VerbatimChar"/>
        </w:rPr>
        <w:t xml:space="preserve">s_gender</w:t>
      </w:r>
      <w:r>
        <w:t xml:space="preserve"> </w:t>
      </w:r>
      <w:r>
        <w:t xml:space="preserve">and</w:t>
      </w:r>
      <w:r>
        <w:t xml:space="preserve"> </w:t>
      </w:r>
      <w:r>
        <w:rPr>
          <w:rStyle w:val="VerbatimChar"/>
        </w:rPr>
        <w:t xml:space="preserve">d_gender</w:t>
      </w:r>
      <w:r>
        <w:t xml:space="preserve">)</w:t>
      </w:r>
    </w:p>
    <w:p>
      <w:pPr>
        <w:numPr>
          <w:ilvl w:val="0"/>
          <w:numId w:val="1109"/>
        </w:numPr>
        <w:pStyle w:val="Compact"/>
      </w:pPr>
      <w:r>
        <w:t xml:space="preserve">If you substantively change an item (substantive wording OR response options change) after at least one round of data has been collected, version your variable names in order to reduce errors in interpretation.</w:t>
      </w:r>
    </w:p>
    <w:p>
      <w:pPr>
        <w:numPr>
          <w:ilvl w:val="1"/>
          <w:numId w:val="1115"/>
        </w:numPr>
        <w:pStyle w:val="Compact"/>
      </w:pPr>
      <w:r>
        <w:t xml:space="preserve">For example revised</w:t>
      </w:r>
      <w:r>
        <w:t xml:space="preserve"> </w:t>
      </w:r>
      <w:r>
        <w:rPr>
          <w:rStyle w:val="VerbatimChar"/>
        </w:rPr>
        <w:t xml:space="preserve">anx1</w:t>
      </w:r>
      <w:r>
        <w:t xml:space="preserve"> </w:t>
      </w:r>
      <w:r>
        <w:t xml:space="preserve">becomes</w:t>
      </w:r>
      <w:r>
        <w:t xml:space="preserve"> </w:t>
      </w:r>
      <w:r>
        <w:rPr>
          <w:rStyle w:val="VerbatimChar"/>
        </w:rPr>
        <w:t xml:space="preserve">anx1_v2</w:t>
      </w:r>
    </w:p>
    <w:p>
      <w:pPr>
        <w:pStyle w:val="FirstParagraph"/>
      </w:pPr>
      <w:r>
        <w:rPr>
          <w:bCs/>
          <w:b/>
        </w:rPr>
        <w:t xml:space="preserve">Suggested:</w:t>
      </w:r>
    </w:p>
    <w:p>
      <w:pPr>
        <w:numPr>
          <w:ilvl w:val="0"/>
          <w:numId w:val="1116"/>
        </w:numPr>
        <w:pStyle w:val="Compact"/>
      </w:pPr>
      <w:r>
        <w:t xml:space="preserve">Names should be meaningful</w:t>
      </w:r>
    </w:p>
    <w:p>
      <w:pPr>
        <w:numPr>
          <w:ilvl w:val="1"/>
          <w:numId w:val="1117"/>
        </w:numPr>
        <w:pStyle w:val="Compact"/>
      </w:pPr>
      <w:r>
        <w:t xml:space="preserve">Instead of naming gender</w:t>
      </w:r>
      <w:r>
        <w:t xml:space="preserve"> </w:t>
      </w:r>
      <w:r>
        <w:rPr>
          <w:rStyle w:val="VerbatimChar"/>
        </w:rPr>
        <w:t xml:space="preserve">q1</w:t>
      </w:r>
      <w:r>
        <w:t xml:space="preserve">, name it</w:t>
      </w:r>
      <w:r>
        <w:t xml:space="preserve"> </w:t>
      </w:r>
      <w:r>
        <w:rPr>
          <w:rStyle w:val="VerbatimChar"/>
        </w:rPr>
        <w:t xml:space="preserve">gender</w:t>
      </w:r>
    </w:p>
    <w:p>
      <w:pPr>
        <w:numPr>
          <w:ilvl w:val="1"/>
          <w:numId w:val="1117"/>
        </w:numPr>
        <w:pStyle w:val="Compact"/>
      </w:pPr>
      <w:r>
        <w:t xml:space="preserve">If a variable is a part of a scale, consider using an abbreviation of that scale plus the scale item number (</w:t>
      </w:r>
      <w:r>
        <w:rPr>
          <w:rStyle w:val="VerbatimChar"/>
        </w:rPr>
        <w:t xml:space="preserve">anx1</w:t>
      </w:r>
      <w:r>
        <w:t xml:space="preserve">,</w:t>
      </w:r>
      <w:r>
        <w:t xml:space="preserve"> </w:t>
      </w:r>
      <w:r>
        <w:rPr>
          <w:rStyle w:val="VerbatimChar"/>
        </w:rPr>
        <w:t xml:space="preserve">anx2</w:t>
      </w:r>
      <w:r>
        <w:t xml:space="preserve">,</w:t>
      </w:r>
      <w:r>
        <w:t xml:space="preserve"> </w:t>
      </w:r>
      <w:r>
        <w:rPr>
          <w:rStyle w:val="VerbatimChar"/>
        </w:rPr>
        <w:t xml:space="preserve">anx3</w:t>
      </w:r>
      <w:r>
        <w:t xml:space="preserve">)</w:t>
      </w:r>
    </w:p>
    <w:p>
      <w:pPr>
        <w:numPr>
          <w:ilvl w:val="2"/>
          <w:numId w:val="1118"/>
        </w:numPr>
        <w:pStyle w:val="Compact"/>
      </w:pPr>
      <w:r>
        <w:t xml:space="preserve">Not only does this allow you to easily associate an item with a scale, but it also allows you to programatically select and manipulate scale items (for example, sum all items that start with</w:t>
      </w:r>
      <w:r>
        <w:t xml:space="preserve"> </w:t>
      </w:r>
      <w:r>
        <w:t xml:space="preserve">“</w:t>
      </w:r>
      <w:r>
        <w:t xml:space="preserve">anx</w:t>
      </w:r>
      <w:r>
        <w:t xml:space="preserve">”</w:t>
      </w:r>
      <w:r>
        <w:t xml:space="preserve">)</w:t>
      </w:r>
    </w:p>
    <w:p>
      <w:pPr>
        <w:numPr>
          <w:ilvl w:val="0"/>
          <w:numId w:val="1116"/>
        </w:numPr>
        <w:pStyle w:val="Compact"/>
      </w:pPr>
      <w:r>
        <w:t xml:space="preserve">If you have used the question/scale before, consider keeping the variable name the same across projects. This can be very useful if you ever want to combine data across projects.</w:t>
      </w:r>
    </w:p>
    <w:p>
      <w:pPr>
        <w:numPr>
          <w:ilvl w:val="0"/>
          <w:numId w:val="1116"/>
        </w:numPr>
        <w:pStyle w:val="Compact"/>
      </w:pPr>
      <w:r>
        <w:t xml:space="preserve">Be consistent with delimiters and capitalization. Follow an existing naming convention.</w:t>
      </w:r>
    </w:p>
    <w:p>
      <w:pPr>
        <w:numPr>
          <w:ilvl w:val="1"/>
          <w:numId w:val="1119"/>
        </w:numPr>
        <w:pStyle w:val="Compact"/>
      </w:pPr>
      <w:r>
        <w:t xml:space="preserve">Snake case (scale_sum) – preferred method for variable names</w:t>
      </w:r>
    </w:p>
    <w:p>
      <w:pPr>
        <w:numPr>
          <w:ilvl w:val="1"/>
          <w:numId w:val="1119"/>
        </w:numPr>
        <w:pStyle w:val="Compact"/>
      </w:pPr>
      <w:r>
        <w:t xml:space="preserve">Kebab case (scale-sum) – don’t use for variable names</w:t>
      </w:r>
    </w:p>
    <w:p>
      <w:pPr>
        <w:numPr>
          <w:ilvl w:val="1"/>
          <w:numId w:val="1119"/>
        </w:numPr>
        <w:pStyle w:val="Compact"/>
      </w:pPr>
      <w:r>
        <w:t xml:space="preserve">Train case (Scale-Sum) – don’t use for variable names</w:t>
      </w:r>
    </w:p>
    <w:p>
      <w:pPr>
        <w:numPr>
          <w:ilvl w:val="0"/>
          <w:numId w:val="1116"/>
        </w:numPr>
        <w:pStyle w:val="Compact"/>
      </w:pPr>
      <w:r>
        <w:t xml:space="preserve">Consider denoting reverse coding in the variable name to reduce confusion (</w:t>
      </w:r>
      <w:r>
        <w:rPr>
          <w:rStyle w:val="VerbatimChar"/>
        </w:rPr>
        <w:t xml:space="preserve">anx1_r</w:t>
      </w:r>
      <w:r>
        <w:t xml:space="preserve">)</w:t>
      </w:r>
    </w:p>
    <w:p>
      <w:pPr>
        <w:numPr>
          <w:ilvl w:val="0"/>
          <w:numId w:val="1116"/>
        </w:numPr>
        <w:pStyle w:val="Compact"/>
      </w:pPr>
      <w:r>
        <w:t xml:space="preserve">Choose abbreviations and standard phrases to use across all variables. Using controlled vocabularies improves interpretation and also makes data exploration and manipulation easier</w:t>
      </w:r>
      <w:r>
        <w:t xml:space="preserve"> </w:t>
      </w:r>
      <w:r>
        <w:t xml:space="preserve">(</w:t>
      </w:r>
      <w:hyperlink w:anchor="ref-riederer_column_2020">
        <w:r>
          <w:rPr>
            <w:rStyle w:val="Hyperlink"/>
          </w:rPr>
          <w:t xml:space="preserve">Riederer 2020</w:t>
        </w:r>
      </w:hyperlink>
      <w:r>
        <w:t xml:space="preserve">)</w:t>
      </w:r>
      <w:r>
        <w:t xml:space="preserve">.</w:t>
      </w:r>
    </w:p>
    <w:p>
      <w:pPr>
        <w:numPr>
          <w:ilvl w:val="1"/>
          <w:numId w:val="1120"/>
        </w:numPr>
        <w:pStyle w:val="Compact"/>
      </w:pPr>
      <w:r>
        <w:t xml:space="preserve">mean = mean</w:t>
      </w:r>
    </w:p>
    <w:p>
      <w:pPr>
        <w:numPr>
          <w:ilvl w:val="1"/>
          <w:numId w:val="1120"/>
        </w:numPr>
        <w:pStyle w:val="Compact"/>
      </w:pPr>
      <w:r>
        <w:t xml:space="preserve">scaled score = ss</w:t>
      </w:r>
    </w:p>
    <w:p>
      <w:pPr>
        <w:numPr>
          <w:ilvl w:val="1"/>
          <w:numId w:val="1120"/>
        </w:numPr>
        <w:pStyle w:val="Compact"/>
      </w:pPr>
      <w:r>
        <w:t xml:space="preserve">percentile rank = pr</w:t>
      </w:r>
    </w:p>
    <w:p>
      <w:pPr>
        <w:numPr>
          <w:ilvl w:val="0"/>
          <w:numId w:val="1116"/>
        </w:numPr>
        <w:pStyle w:val="Compact"/>
      </w:pPr>
      <w:r>
        <w:t xml:space="preserve">Include an indication of the measure in the variable name (for example as a prefix) so you always know what instrument the item came from. This can also help with the unique variable name requirement above.</w:t>
      </w:r>
    </w:p>
    <w:p>
      <w:pPr>
        <w:numPr>
          <w:ilvl w:val="1"/>
          <w:numId w:val="1121"/>
        </w:numPr>
        <w:pStyle w:val="Compact"/>
      </w:pPr>
      <w:r>
        <w:t xml:space="preserve">s = student self-report</w:t>
      </w:r>
    </w:p>
    <w:p>
      <w:pPr>
        <w:numPr>
          <w:ilvl w:val="1"/>
          <w:numId w:val="1121"/>
        </w:numPr>
        <w:pStyle w:val="Compact"/>
      </w:pPr>
      <w:r>
        <w:t xml:space="preserve">t = teach report on students</w:t>
      </w:r>
    </w:p>
    <w:p>
      <w:pPr>
        <w:numPr>
          <w:ilvl w:val="1"/>
          <w:numId w:val="1121"/>
        </w:numPr>
        <w:pStyle w:val="Compact"/>
      </w:pPr>
      <w:r>
        <w:rPr>
          <w:rStyle w:val="VerbatimChar"/>
        </w:rPr>
        <w:t xml:space="preserve">s_anx1</w:t>
      </w:r>
      <w:r>
        <w:t xml:space="preserve">,</w:t>
      </w:r>
      <w:r>
        <w:t xml:space="preserve"> </w:t>
      </w:r>
      <w:r>
        <w:rPr>
          <w:rStyle w:val="VerbatimChar"/>
        </w:rPr>
        <w:t xml:space="preserve">t_conf2</w:t>
      </w:r>
    </w:p>
    <w:p>
      <w:pPr>
        <w:pStyle w:val="FirstParagraph"/>
      </w:pPr>
      <w:r>
        <w:rPr>
          <w:bCs/>
          <w:b/>
        </w:rPr>
        <w:t xml:space="preserve">Example variable naming style guide</w:t>
      </w:r>
    </w:p>
    <w:p>
      <w:pPr>
        <w:pStyle w:val="SourceCode"/>
      </w:pPr>
      <w:r>
        <w:rPr>
          <w:rStyle w:val="VerbatimChar"/>
        </w:rPr>
        <w:t xml:space="preserve">1. Use snake case</w:t>
      </w:r>
      <w:r>
        <w:br/>
      </w:r>
      <w:r>
        <w:rPr>
          <w:rStyle w:val="VerbatimChar"/>
        </w:rPr>
        <w:t xml:space="preserve">2. Keep names under 32 characters</w:t>
      </w:r>
      <w:r>
        <w:br/>
      </w:r>
      <w:r>
        <w:rPr>
          <w:rStyle w:val="VerbatimChar"/>
        </w:rPr>
        <w:t xml:space="preserve">3. Use meaningful variable names</w:t>
      </w:r>
      <w:r>
        <w:br/>
      </w:r>
      <w:r>
        <w:rPr>
          <w:rStyle w:val="VerbatimChar"/>
        </w:rPr>
        <w:t xml:space="preserve">4. If part of a scale, use scale abbreviation plus item number from the scale (not order number)</w:t>
      </w:r>
      <w:r>
        <w:br/>
      </w:r>
      <w:r>
        <w:rPr>
          <w:rStyle w:val="VerbatimChar"/>
        </w:rPr>
        <w:t xml:space="preserve">5. Include an indication of the measure as a prefix in the variable name</w:t>
      </w:r>
      <w:r>
        <w:br/>
      </w:r>
      <w:r>
        <w:rPr>
          <w:rStyle w:val="VerbatimChar"/>
        </w:rPr>
        <w:t xml:space="preserve">  - student self-report survey = s_</w:t>
      </w:r>
      <w:r>
        <w:br/>
      </w:r>
      <w:r>
        <w:rPr>
          <w:rStyle w:val="VerbatimChar"/>
        </w:rPr>
        <w:t xml:space="preserve">  - teacher self-report survey = t_</w:t>
      </w:r>
      <w:r>
        <w:br/>
      </w:r>
      <w:r>
        <w:rPr>
          <w:rStyle w:val="VerbatimChar"/>
        </w:rPr>
        <w:t xml:space="preserve">  - district student level data = d_</w:t>
      </w:r>
      <w:r>
        <w:br/>
      </w:r>
      <w:r>
        <w:rPr>
          <w:rStyle w:val="VerbatimChar"/>
        </w:rPr>
        <w:t xml:space="preserve">6. Denote reverse coded variables using suffix `_r`</w:t>
      </w:r>
    </w:p>
    <w:p>
      <w:pPr>
        <w:pStyle w:val="FirstParagraph"/>
      </w:pPr>
      <w:r>
        <w:rPr>
          <w:bCs/>
          <w:b/>
        </w:rPr>
        <w:t xml:space="preserve">Example variable names created using a style guide</w:t>
      </w:r>
    </w:p>
    <w:p>
      <w:pPr>
        <w:pStyle w:val="SourceCode"/>
      </w:pPr>
      <w:r>
        <w:rPr>
          <w:rStyle w:val="VerbatimChar"/>
        </w:rPr>
        <w:t xml:space="preserve">s_anx1</w:t>
      </w:r>
      <w:r>
        <w:br/>
      </w:r>
      <w:r>
        <w:rPr>
          <w:rStyle w:val="VerbatimChar"/>
        </w:rPr>
        <w:t xml:space="preserve">s_anx1_r</w:t>
      </w:r>
      <w:r>
        <w:br/>
      </w:r>
      <w:r>
        <w:rPr>
          <w:rStyle w:val="VerbatimChar"/>
        </w:rPr>
        <w:t xml:space="preserve">s_gender</w:t>
      </w:r>
      <w:r>
        <w:br/>
      </w:r>
      <w:r>
        <w:rPr>
          <w:rStyle w:val="VerbatimChar"/>
        </w:rPr>
        <w:t xml:space="preserve">d_gender</w:t>
      </w:r>
      <w:r>
        <w:br/>
      </w:r>
      <w:r>
        <w:rPr>
          <w:rStyle w:val="VerbatimChar"/>
        </w:rPr>
        <w:t xml:space="preserve">t_stress5</w:t>
      </w:r>
    </w:p>
    <w:bookmarkStart w:id="367" w:name="time"/>
    <w:p>
      <w:pPr>
        <w:pStyle w:val="Heading3"/>
      </w:pPr>
      <w:r>
        <w:rPr>
          <w:rStyle w:val="SectionNumber"/>
        </w:rPr>
        <w:t xml:space="preserve">8.4.1</w:t>
      </w:r>
      <w:r>
        <w:tab/>
      </w:r>
      <w:r>
        <w:t xml:space="preserve">Time</w:t>
      </w:r>
    </w:p>
    <w:p>
      <w:pPr>
        <w:pStyle w:val="FirstParagraph"/>
      </w:pPr>
      <w:r>
        <w:t xml:space="preserve">Before moving on there is one last consideration for variable names. If your data is longitudinal, you may need to add rules for accounting for time in your variable names as well.</w:t>
      </w:r>
    </w:p>
    <w:p>
      <w:pPr>
        <w:pStyle w:val="BodyText"/>
      </w:pPr>
      <w:r>
        <w:t xml:space="preserve">Depending on how you plan to combine your data over time, there are two different ways to account for time.</w:t>
      </w:r>
    </w:p>
    <w:p>
      <w:pPr>
        <w:numPr>
          <w:ilvl w:val="0"/>
          <w:numId w:val="1122"/>
        </w:numPr>
        <w:pStyle w:val="Compact"/>
      </w:pPr>
      <w:r>
        <w:t xml:space="preserve">Concatenate time to your variable names. You do this if you plan to merge your data across time in</w:t>
      </w:r>
      <w:r>
        <w:t xml:space="preserve"> </w:t>
      </w:r>
      <w:hyperlink w:anchor="structure">
        <w:r>
          <w:rPr>
            <w:rStyle w:val="Hyperlink"/>
          </w:rPr>
          <w:t xml:space="preserve">wide format</w:t>
        </w:r>
      </w:hyperlink>
      <w:r>
        <w:t xml:space="preserve">. The reason you need to concatenate time to your variable names here is because your variable names will repeat (</w:t>
      </w:r>
      <w:r>
        <w:rPr>
          <w:rStyle w:val="VerbatimChar"/>
        </w:rPr>
        <w:t xml:space="preserve">anx1</w:t>
      </w:r>
      <w:r>
        <w:t xml:space="preserve"> </w:t>
      </w:r>
      <w:r>
        <w:t xml:space="preserve">in wave 1,</w:t>
      </w:r>
      <w:r>
        <w:t xml:space="preserve"> </w:t>
      </w:r>
      <w:r>
        <w:rPr>
          <w:rStyle w:val="VerbatimChar"/>
        </w:rPr>
        <w:t xml:space="preserve">anx1</w:t>
      </w:r>
      <w:r>
        <w:t xml:space="preserve"> </w:t>
      </w:r>
      <w:r>
        <w:t xml:space="preserve">in wave 2). And remember from our guidelines above, all variable names in a dataset</w:t>
      </w:r>
      <w:r>
        <w:t xml:space="preserve"> </w:t>
      </w:r>
      <w:r>
        <w:rPr>
          <w:bCs/>
          <w:b/>
        </w:rPr>
        <w:t xml:space="preserve">must</w:t>
      </w:r>
      <w:r>
        <w:t xml:space="preserve"> </w:t>
      </w:r>
      <w:r>
        <w:t xml:space="preserve">be unique. In order to create unique variable names and correctly interpret when items were given, we add time to our variable names. The only variables you will not assign time to are your</w:t>
      </w:r>
      <w:r>
        <w:t xml:space="preserve"> </w:t>
      </w:r>
      <w:hyperlink w:anchor="columns">
        <w:r>
          <w:rPr>
            <w:rStyle w:val="Hyperlink"/>
          </w:rPr>
          <w:t xml:space="preserve">linking variables</w:t>
        </w:r>
      </w:hyperlink>
      <w:r>
        <w:t xml:space="preserve"> </w:t>
      </w:r>
      <w:r>
        <w:t xml:space="preserve">(such as student unique identifier, teacher unique identifier, and so on). Those variables need to stay identical for linking purposes and will only appear once in your data after merging.</w:t>
      </w:r>
    </w:p>
    <w:p>
      <w:pPr>
        <w:numPr>
          <w:ilvl w:val="0"/>
          <w:numId w:val="1122"/>
        </w:numPr>
        <w:pStyle w:val="Compact"/>
      </w:pPr>
      <w:r>
        <w:t xml:space="preserve">Create time variables and add them to your data. You do this if you plan to append your data over time in</w:t>
      </w:r>
      <w:r>
        <w:t xml:space="preserve"> </w:t>
      </w:r>
      <w:hyperlink w:anchor="structure">
        <w:r>
          <w:rPr>
            <w:rStyle w:val="Hyperlink"/>
          </w:rPr>
          <w:t xml:space="preserve">long format</w:t>
        </w:r>
      </w:hyperlink>
      <w:r>
        <w:t xml:space="preserve">. Appending your data in long format requires no additional work in terms of variable naming. As discussed in Chapter</w:t>
      </w:r>
      <w:r>
        <w:t xml:space="preserve"> </w:t>
      </w:r>
      <w:r>
        <w:t xml:space="preserve">3</w:t>
      </w:r>
      <w:r>
        <w:t xml:space="preserve">, you actually want your variables to be identically formatted and named across time when appending. So here, in order to differentiate when items were asked, we add a new variable such as</w:t>
      </w:r>
      <w:r>
        <w:t xml:space="preserve"> </w:t>
      </w:r>
      <w:r>
        <w:rPr>
          <w:rStyle w:val="VerbatimChar"/>
        </w:rPr>
        <w:t xml:space="preserve">time</w:t>
      </w:r>
      <w:r>
        <w:t xml:space="preserve"> </w:t>
      </w:r>
      <w:r>
        <w:t xml:space="preserve">or</w:t>
      </w:r>
      <w:r>
        <w:t xml:space="preserve"> </w:t>
      </w:r>
      <w:r>
        <w:rPr>
          <w:rStyle w:val="VerbatimChar"/>
        </w:rPr>
        <w:t xml:space="preserve">wave</w:t>
      </w:r>
      <w:r>
        <w:t xml:space="preserve"> </w:t>
      </w:r>
      <w:r>
        <w:t xml:space="preserve">and add the appropriate value for each row.</w:t>
      </w:r>
    </w:p>
    <w:p>
      <w:pPr>
        <w:pStyle w:val="FirstParagraph"/>
      </w:pPr>
      <w:r>
        <w:t xml:space="preserve">During an active project, it is actually best to not combine data and to store all datasets as distinct files until you are either ready to internally use your data or you are ready to publicly share your data (during the preparing for archiving phase). At that time you can make a decision on the best way to combine your data (if you need to combine them at all), and programatically add time to variable names (if necessary)</w:t>
      </w:r>
      <w:r>
        <w:t xml:space="preserve"> </w:t>
      </w:r>
      <w:r>
        <w:t xml:space="preserve">(</w:t>
      </w:r>
      <w:hyperlink w:anchor="ref-reynolds_basics_2022">
        <w:r>
          <w:rPr>
            <w:rStyle w:val="Hyperlink"/>
          </w:rPr>
          <w:t xml:space="preserve">Reynolds, Schatschneider, and Logan 2022</w:t>
        </w:r>
      </w:hyperlink>
      <w:r>
        <w:t xml:space="preserve">)</w:t>
      </w:r>
      <w:r>
        <w:t xml:space="preserve">. Waiting to combine data has benefits:</w:t>
      </w:r>
    </w:p>
    <w:p>
      <w:pPr>
        <w:numPr>
          <w:ilvl w:val="0"/>
          <w:numId w:val="1123"/>
        </w:numPr>
        <w:pStyle w:val="Compact"/>
      </w:pPr>
      <w:r>
        <w:t xml:space="preserve">Having variables named consistently over time (with no time component added) allows you to easily reuse your data collection and data capture tools, as well as your cleaning code, each wave.</w:t>
      </w:r>
    </w:p>
    <w:p>
      <w:pPr>
        <w:numPr>
          <w:ilvl w:val="0"/>
          <w:numId w:val="1123"/>
        </w:numPr>
        <w:pStyle w:val="Compact"/>
      </w:pPr>
      <w:r>
        <w:t xml:space="preserve">Storing files separately prevents you from potentially wasting time combining your data in a way that ends up not actually being useful or from wasting time merging datasets that later need to be re-combined because you find an error in an individual dataset at some point.</w:t>
      </w:r>
    </w:p>
    <w:bookmarkStart w:id="366" w:name="time-in-variable-names"/>
    <w:p>
      <w:pPr>
        <w:pStyle w:val="Heading4"/>
      </w:pPr>
      <w:r>
        <w:rPr>
          <w:rStyle w:val="SectionNumber"/>
        </w:rPr>
        <w:t xml:space="preserve">8.4.1.1</w:t>
      </w:r>
      <w:r>
        <w:tab/>
      </w:r>
      <w:r>
        <w:t xml:space="preserve">Time in variable names</w:t>
      </w:r>
    </w:p>
    <w:p>
      <w:pPr>
        <w:pStyle w:val="FirstParagraph"/>
      </w:pPr>
      <w:r>
        <w:t xml:space="preserve">While combining your datasets across time should not happen early on in your project, it is helpful to consider early on how you</w:t>
      </w:r>
      <w:r>
        <w:t xml:space="preserve"> </w:t>
      </w:r>
      <w:r>
        <w:rPr>
          <w:iCs/>
          <w:i/>
        </w:rPr>
        <w:t xml:space="preserve">might</w:t>
      </w:r>
      <w:r>
        <w:t xml:space="preserve"> </w:t>
      </w:r>
      <w:r>
        <w:t xml:space="preserve">combine data in the future. If you do plan to potentially merge data in a wide format, it can be helpful to go ahead and plan your rule for adding time to variable names, and add that rule to your style guide. Just be abundantly clear in your guide that this time component should only be added when datasets are combined.</w:t>
      </w:r>
    </w:p>
    <w:p>
      <w:pPr>
        <w:pStyle w:val="BodyText"/>
      </w:pPr>
      <w:r>
        <w:t xml:space="preserve">There is no right or wrong way to assign time in your variable names necessarily. Just make sure you continue to follow the rules from above (such as never starting a variable name with a number). Below are some options for adding time to a sample variable,</w:t>
      </w:r>
      <w:r>
        <w:t xml:space="preserve"> </w:t>
      </w:r>
      <w:r>
        <w:rPr>
          <w:rStyle w:val="VerbatimChar"/>
        </w:rPr>
        <w:t xml:space="preserve">s_gender</w:t>
      </w:r>
      <w:r>
        <w:t xml:space="preserve">.</w:t>
      </w:r>
    </w:p>
    <w:p>
      <w:pPr>
        <w:numPr>
          <w:ilvl w:val="0"/>
          <w:numId w:val="1124"/>
        </w:numPr>
        <w:pStyle w:val="Compact"/>
      </w:pPr>
      <w:r>
        <w:t xml:space="preserve">As a prefix or suffix with a generic abbreviation, such as</w:t>
      </w:r>
      <w:r>
        <w:t xml:space="preserve"> </w:t>
      </w:r>
      <w:r>
        <w:rPr>
          <w:rStyle w:val="VerbatimChar"/>
        </w:rPr>
        <w:t xml:space="preserve">w1</w:t>
      </w:r>
      <w:r>
        <w:t xml:space="preserve"> </w:t>
      </w:r>
      <w:r>
        <w:t xml:space="preserve">for wave 1, added with a delimiter</w:t>
      </w:r>
      <w:r>
        <w:t xml:space="preserve"> </w:t>
      </w:r>
      <w:r>
        <w:rPr>
          <w:rStyle w:val="VerbatimChar"/>
        </w:rPr>
        <w:t xml:space="preserve">_</w:t>
      </w:r>
    </w:p>
    <w:p>
      <w:pPr>
        <w:numPr>
          <w:ilvl w:val="1"/>
          <w:numId w:val="1125"/>
        </w:numPr>
        <w:pStyle w:val="Compact"/>
      </w:pPr>
      <w:r>
        <w:rPr>
          <w:rStyle w:val="VerbatimChar"/>
        </w:rPr>
        <w:t xml:space="preserve">w1_s_gender</w:t>
      </w:r>
      <w:r>
        <w:t xml:space="preserve"> </w:t>
      </w:r>
      <w:r>
        <w:t xml:space="preserve">or</w:t>
      </w:r>
      <w:r>
        <w:t xml:space="preserve"> </w:t>
      </w:r>
      <w:r>
        <w:rPr>
          <w:rStyle w:val="VerbatimChar"/>
        </w:rPr>
        <w:t xml:space="preserve">s_gender_w1</w:t>
      </w:r>
    </w:p>
    <w:p>
      <w:pPr>
        <w:numPr>
          <w:ilvl w:val="0"/>
          <w:numId w:val="1124"/>
        </w:numPr>
        <w:pStyle w:val="Compact"/>
      </w:pPr>
      <w:r>
        <w:t xml:space="preserve">As a prefix or suffix with a meaningful abbreviation, such as</w:t>
      </w:r>
      <w:r>
        <w:t xml:space="preserve"> </w:t>
      </w:r>
      <w:r>
        <w:rPr>
          <w:rStyle w:val="VerbatimChar"/>
        </w:rPr>
        <w:t xml:space="preserve">f21</w:t>
      </w:r>
      <w:r>
        <w:t xml:space="preserve"> </w:t>
      </w:r>
      <w:r>
        <w:t xml:space="preserve">for fall 2021, added with a delimiter (</w:t>
      </w:r>
      <w:r>
        <w:rPr>
          <w:rStyle w:val="VerbatimChar"/>
        </w:rPr>
        <w:t xml:space="preserve">_</w:t>
      </w:r>
      <w:r>
        <w:t xml:space="preserve">)</w:t>
      </w:r>
    </w:p>
    <w:p>
      <w:pPr>
        <w:numPr>
          <w:ilvl w:val="1"/>
          <w:numId w:val="1126"/>
        </w:numPr>
        <w:pStyle w:val="Compact"/>
      </w:pPr>
      <w:r>
        <w:rPr>
          <w:rStyle w:val="VerbatimChar"/>
        </w:rPr>
        <w:t xml:space="preserve">f21_s_gender</w:t>
      </w:r>
      <w:r>
        <w:t xml:space="preserve"> </w:t>
      </w:r>
      <w:r>
        <w:t xml:space="preserve">or</w:t>
      </w:r>
      <w:r>
        <w:t xml:space="preserve"> </w:t>
      </w:r>
      <w:r>
        <w:rPr>
          <w:rStyle w:val="VerbatimChar"/>
        </w:rPr>
        <w:t xml:space="preserve">s_gender_f21</w:t>
      </w:r>
    </w:p>
    <w:p>
      <w:pPr>
        <w:numPr>
          <w:ilvl w:val="0"/>
          <w:numId w:val="1124"/>
        </w:numPr>
        <w:pStyle w:val="Compact"/>
      </w:pPr>
      <w:r>
        <w:t xml:space="preserve">One of the above options with no delimiter</w:t>
      </w:r>
    </w:p>
    <w:p>
      <w:pPr>
        <w:numPr>
          <w:ilvl w:val="1"/>
          <w:numId w:val="1127"/>
        </w:numPr>
        <w:pStyle w:val="Compact"/>
      </w:pPr>
      <w:r>
        <w:rPr>
          <w:rStyle w:val="VerbatimChar"/>
        </w:rPr>
        <w:t xml:space="preserve">w1s_gender</w:t>
      </w:r>
      <w:r>
        <w:t xml:space="preserve"> </w:t>
      </w:r>
      <w:r>
        <w:t xml:space="preserve">or</w:t>
      </w:r>
      <w:r>
        <w:t xml:space="preserve"> </w:t>
      </w:r>
      <w:r>
        <w:rPr>
          <w:rStyle w:val="VerbatimChar"/>
        </w:rPr>
        <w:t xml:space="preserve">s_genderw1</w:t>
      </w:r>
    </w:p>
    <w:p>
      <w:pPr>
        <w:numPr>
          <w:ilvl w:val="0"/>
          <w:numId w:val="1124"/>
        </w:numPr>
        <w:pStyle w:val="Compact"/>
      </w:pPr>
      <w:r>
        <w:t xml:space="preserve">As a number embedded into your variable at a certain location, for instance, after an existing prefix such as</w:t>
      </w:r>
      <w:r>
        <w:t xml:space="preserve"> </w:t>
      </w:r>
      <w:r>
        <w:rPr>
          <w:rStyle w:val="VerbatimChar"/>
        </w:rPr>
        <w:t xml:space="preserve">s</w:t>
      </w:r>
      <w:r>
        <w:t xml:space="preserve"> </w:t>
      </w:r>
      <w:r>
        <w:t xml:space="preserve">for</w:t>
      </w:r>
      <w:r>
        <w:t xml:space="preserve"> </w:t>
      </w:r>
      <w:r>
        <w:rPr>
          <w:rStyle w:val="VerbatimChar"/>
        </w:rPr>
        <w:t xml:space="preserve">student survey</w:t>
      </w:r>
    </w:p>
    <w:p>
      <w:pPr>
        <w:numPr>
          <w:ilvl w:val="1"/>
          <w:numId w:val="1128"/>
        </w:numPr>
        <w:pStyle w:val="Compact"/>
      </w:pPr>
      <w:r>
        <w:rPr>
          <w:rStyle w:val="VerbatimChar"/>
        </w:rPr>
        <w:t xml:space="preserve">s1_gender</w:t>
      </w:r>
      <w:r>
        <w:t xml:space="preserve">,</w:t>
      </w:r>
      <w:r>
        <w:t xml:space="preserve"> </w:t>
      </w:r>
      <w:r>
        <w:rPr>
          <w:rStyle w:val="VerbatimChar"/>
        </w:rPr>
        <w:t xml:space="preserve">s2_gender</w:t>
      </w:r>
    </w:p>
    <w:p>
      <w:pPr>
        <w:pStyle w:val="FirstParagraph"/>
      </w:pPr>
      <w:r>
        <w:t xml:space="preserve">While the first and second method do add additional characters to your variable name, there are also benefits to adding time in these ways. First, it can be easier to visually spot and interpret the time component when it is separated with a delimiter. Second, adding time as a standalone component also allows you to more easily, programmatically, manipulate the time component of your variable. This gives you more flexibility in working with your data, especially in selecting variables and restructuring your datasets.</w:t>
      </w:r>
    </w:p>
    <w:bookmarkEnd w:id="366"/>
    <w:bookmarkEnd w:id="367"/>
    <w:bookmarkEnd w:id="368"/>
    <w:bookmarkStart w:id="372" w:name="value-coding"/>
    <w:p>
      <w:pPr>
        <w:pStyle w:val="Heading2"/>
      </w:pPr>
      <w:r>
        <w:rPr>
          <w:rStyle w:val="SectionNumber"/>
        </w:rPr>
        <w:t xml:space="preserve">8.5</w:t>
      </w:r>
      <w:r>
        <w:tab/>
      </w:r>
      <w:r>
        <w:t xml:space="preserve">Value Coding</w:t>
      </w:r>
    </w:p>
    <w:p>
      <w:pPr>
        <w:pStyle w:val="FirstParagraph"/>
      </w:pPr>
      <w:r>
        <w:t xml:space="preserve">In addition to naming variables in a standardized way, variables values also need to be added consistently. Value codes apply to any of your categorical variable. This may be numeric categorical values with associated labels (e.g.,</w:t>
      </w:r>
      <w:r>
        <w:t xml:space="preserve"> </w:t>
      </w:r>
      <w:r>
        <w:t xml:space="preserve">“</w:t>
      </w:r>
      <w:r>
        <w:t xml:space="preserve">no</w:t>
      </w:r>
      <w:r>
        <w:t xml:space="preserve">”</w:t>
      </w:r>
      <w:r>
        <w:t xml:space="preserve"> </w:t>
      </w:r>
      <w:r>
        <w:t xml:space="preserve">= 1) or it may be character categorical values with associated labels (e.g.,</w:t>
      </w:r>
      <w:r>
        <w:t xml:space="preserve"> </w:t>
      </w:r>
      <w:r>
        <w:t xml:space="preserve">“</w:t>
      </w:r>
      <w:r>
        <w:t xml:space="preserve">no</w:t>
      </w:r>
      <w:r>
        <w:t xml:space="preserve">”</w:t>
      </w:r>
      <w:r>
        <w:t xml:space="preserve"> </w:t>
      </w:r>
      <w:r>
        <w:t xml:space="preserve">=</w:t>
      </w:r>
      <w:r>
        <w:t xml:space="preserve"> </w:t>
      </w:r>
      <w:r>
        <w:t xml:space="preserve">‘</w:t>
      </w:r>
      <w:r>
        <w:t xml:space="preserve">n</w:t>
      </w:r>
      <w:r>
        <w:t xml:space="preserve">’</w:t>
      </w:r>
      <w:r>
        <w:t xml:space="preserve">).</w:t>
      </w:r>
    </w:p>
    <w:p>
      <w:pPr>
        <w:pStyle w:val="BodyText"/>
      </w:pPr>
      <w:r>
        <w:t xml:space="preserve">First, if you are using a pre-existing measure, assign values and labels in the manner that the technical documentation tells you to assign codes. That will be important for any further derivations you need to make later on based on those measures. Otherwise, you will be assigning your own values and labels. Some guidelines for assigning codes and labels (as well as examples for how to apply those guidelines) are below.</w:t>
      </w:r>
    </w:p>
    <w:p>
      <w:pPr>
        <w:numPr>
          <w:ilvl w:val="0"/>
          <w:numId w:val="1129"/>
        </w:numPr>
        <w:pStyle w:val="Compact"/>
      </w:pPr>
      <w:r>
        <w:t xml:space="preserve">Values must be unique</w:t>
      </w:r>
    </w:p>
    <w:p>
      <w:pPr>
        <w:numPr>
          <w:ilvl w:val="1"/>
          <w:numId w:val="1130"/>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w:t>
      </w:r>
    </w:p>
    <w:p>
      <w:pPr>
        <w:numPr>
          <w:ilvl w:val="1"/>
          <w:numId w:val="1130"/>
        </w:numPr>
        <w:pStyle w:val="Compact"/>
      </w:pPr>
      <w:r>
        <w:t xml:space="preserve">Don’t: Assign</w:t>
      </w:r>
      <w:r>
        <w:t xml:space="preserve"> </w:t>
      </w:r>
      <w:r>
        <w:t xml:space="preserve">“</w:t>
      </w:r>
      <w:r>
        <w:t xml:space="preserve">yes</w:t>
      </w:r>
      <w:r>
        <w:t xml:space="preserve">”</w:t>
      </w:r>
      <w:r>
        <w:t xml:space="preserve"> </w:t>
      </w:r>
      <w:r>
        <w:t xml:space="preserve">= 1</w:t>
      </w:r>
      <w:r>
        <w:t xml:space="preserve"> </w:t>
      </w:r>
      <w:r>
        <w:rPr>
          <w:bCs/>
          <w:b/>
        </w:rPr>
        <w:t xml:space="preserve">and</w:t>
      </w:r>
      <w:r>
        <w:t xml:space="preserve"> </w:t>
      </w:r>
      <w:r>
        <w:t xml:space="preserve">“</w:t>
      </w:r>
      <w:r>
        <w:t xml:space="preserve">no</w:t>
      </w:r>
      <w:r>
        <w:t xml:space="preserve">”</w:t>
      </w:r>
      <w:r>
        <w:t xml:space="preserve"> </w:t>
      </w:r>
      <w:r>
        <w:t xml:space="preserve">= 1</w:t>
      </w:r>
    </w:p>
    <w:p>
      <w:pPr>
        <w:numPr>
          <w:ilvl w:val="0"/>
          <w:numId w:val="1129"/>
        </w:numPr>
        <w:pStyle w:val="Compact"/>
      </w:pPr>
      <w:r>
        <w:t xml:space="preserve">Values must be consistent within a variable</w:t>
      </w:r>
    </w:p>
    <w:p>
      <w:pPr>
        <w:numPr>
          <w:ilvl w:val="1"/>
          <w:numId w:val="1131"/>
        </w:numPr>
        <w:pStyle w:val="Compact"/>
      </w:pPr>
      <w:r>
        <w:t xml:space="preserve">Do: For</w:t>
      </w:r>
      <w:r>
        <w:t xml:space="preserve"> </w:t>
      </w:r>
      <w:r>
        <w:rPr>
          <w:rStyle w:val="VerbatimChar"/>
        </w:rPr>
        <w:t xml:space="preserve">gender</w:t>
      </w:r>
      <w:r>
        <w:t xml:space="preserve"> </w:t>
      </w:r>
      <w:r>
        <w:t xml:space="preserve">assign</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p>
    <w:p>
      <w:pPr>
        <w:numPr>
          <w:ilvl w:val="1"/>
          <w:numId w:val="1131"/>
        </w:numPr>
        <w:pStyle w:val="Compact"/>
      </w:pPr>
      <w:r>
        <w:t xml:space="preserve">Don’t: For</w:t>
      </w:r>
      <w:r>
        <w:t xml:space="preserve"> </w:t>
      </w:r>
      <w:r>
        <w:rPr>
          <w:rStyle w:val="VerbatimChar"/>
        </w:rPr>
        <w:t xml:space="preserve">gender</w:t>
      </w:r>
      <w:r>
        <w:t xml:space="preserve"> </w:t>
      </w:r>
      <w:r>
        <w:t xml:space="preserve">allow</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r>
        <w:t xml:space="preserve"> </w:t>
      </w:r>
      <w:r>
        <w:t xml:space="preserve">or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or</w:t>
      </w:r>
      <w:r>
        <w:t xml:space="preserve"> </w:t>
      </w:r>
      <w:r>
        <w:t xml:space="preserve">‘</w:t>
      </w:r>
      <w:r>
        <w:t xml:space="preserve">male</w:t>
      </w:r>
      <w:r>
        <w:t xml:space="preserve">’</w:t>
      </w:r>
    </w:p>
    <w:p>
      <w:pPr>
        <w:numPr>
          <w:ilvl w:val="0"/>
          <w:numId w:val="1129"/>
        </w:numPr>
        <w:pStyle w:val="Compact"/>
      </w:pPr>
      <w:r>
        <w:t xml:space="preserve">Values must be consistent across time</w:t>
      </w:r>
    </w:p>
    <w:p>
      <w:pPr>
        <w:numPr>
          <w:ilvl w:val="1"/>
          <w:numId w:val="1132"/>
        </w:numPr>
        <w:pStyle w:val="Compact"/>
      </w:pPr>
      <w:r>
        <w:t xml:space="preserve">Do: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w:t>
      </w:r>
      <w:r>
        <w:t xml:space="preserve"> </w:t>
      </w:r>
      <w:r>
        <w:rPr>
          <w:bCs/>
          <w:b/>
        </w:rPr>
        <w:t xml:space="preserve">and</w:t>
      </w:r>
      <w:r>
        <w:t xml:space="preserve"> </w:t>
      </w:r>
      <w:r>
        <w:t xml:space="preserve">wave 2</w:t>
      </w:r>
    </w:p>
    <w:p>
      <w:pPr>
        <w:numPr>
          <w:ilvl w:val="1"/>
          <w:numId w:val="1132"/>
        </w:numPr>
        <w:pStyle w:val="Compact"/>
      </w:pPr>
      <w:r>
        <w:t xml:space="preserve">Don’t: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 and 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in wave 2</w:t>
      </w:r>
    </w:p>
    <w:p>
      <w:pPr>
        <w:numPr>
          <w:ilvl w:val="0"/>
          <w:numId w:val="1129"/>
        </w:numPr>
        <w:pStyle w:val="Compact"/>
      </w:pPr>
      <w:r>
        <w:t xml:space="preserve">Values should be consistent across the project</w:t>
      </w:r>
    </w:p>
    <w:p>
      <w:pPr>
        <w:numPr>
          <w:ilvl w:val="1"/>
          <w:numId w:val="1133"/>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as the value for all yes/no items</w:t>
      </w:r>
    </w:p>
    <w:p>
      <w:pPr>
        <w:numPr>
          <w:ilvl w:val="1"/>
          <w:numId w:val="1133"/>
        </w:numPr>
        <w:pStyle w:val="Compact"/>
      </w:pPr>
      <w:r>
        <w:t xml:space="preserve">Don’t: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for some variables, and</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for others</w:t>
      </w:r>
    </w:p>
    <w:p>
      <w:pPr>
        <w:numPr>
          <w:ilvl w:val="2"/>
          <w:numId w:val="1134"/>
        </w:numPr>
        <w:pStyle w:val="Compact"/>
      </w:pPr>
      <w:r>
        <w:t xml:space="preserve">Unless a pre-existing measure determines how some variables are coded</w:t>
      </w:r>
    </w:p>
    <w:p>
      <w:pPr>
        <w:numPr>
          <w:ilvl w:val="0"/>
          <w:numId w:val="1129"/>
        </w:numPr>
        <w:pStyle w:val="Compact"/>
      </w:pPr>
      <w:r>
        <w:t xml:space="preserve">Order Likert-type scale response options in a logical way</w:t>
      </w:r>
    </w:p>
    <w:p>
      <w:pPr>
        <w:numPr>
          <w:ilvl w:val="1"/>
          <w:numId w:val="1135"/>
        </w:numPr>
        <w:pStyle w:val="Compact"/>
      </w:pPr>
      <w:r>
        <w:t xml:space="preserve">Do: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2;</w:t>
      </w:r>
      <w:r>
        <w:t xml:space="preserve"> </w:t>
      </w:r>
      <w:r>
        <w:t xml:space="preserve">“</w:t>
      </w:r>
      <w:r>
        <w:t xml:space="preserve">Agree</w:t>
      </w:r>
      <w:r>
        <w:t xml:space="preserve">”</w:t>
      </w:r>
      <w:r>
        <w:t xml:space="preserve"> </w:t>
      </w:r>
      <w:r>
        <w:t xml:space="preserve">= 3;</w:t>
      </w:r>
      <w:r>
        <w:t xml:space="preserve"> </w:t>
      </w:r>
      <w:r>
        <w:t xml:space="preserve">“</w:t>
      </w:r>
      <w:r>
        <w:t xml:space="preserve">Strongly Agree</w:t>
      </w:r>
      <w:r>
        <w:t xml:space="preserve">”</w:t>
      </w:r>
      <w:r>
        <w:t xml:space="preserve"> </w:t>
      </w:r>
      <w:r>
        <w:t xml:space="preserve">= 4</w:t>
      </w:r>
      <w:r>
        <w:br/>
      </w:r>
    </w:p>
    <w:p>
      <w:pPr>
        <w:numPr>
          <w:ilvl w:val="1"/>
          <w:numId w:val="1135"/>
        </w:numPr>
        <w:pStyle w:val="Compact"/>
      </w:pPr>
      <w:r>
        <w:t xml:space="preserve">Don’t: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3;</w:t>
      </w:r>
      <w:r>
        <w:t xml:space="preserve"> </w:t>
      </w:r>
      <w:r>
        <w:t xml:space="preserve">“</w:t>
      </w:r>
      <w:r>
        <w:t xml:space="preserve">Agree</w:t>
      </w:r>
      <w:r>
        <w:t xml:space="preserve">”</w:t>
      </w:r>
      <w:r>
        <w:t xml:space="preserve"> </w:t>
      </w:r>
      <w:r>
        <w:t xml:space="preserve">= 4;</w:t>
      </w:r>
      <w:r>
        <w:t xml:space="preserve"> </w:t>
      </w:r>
      <w:r>
        <w:t xml:space="preserve">“</w:t>
      </w:r>
      <w:r>
        <w:t xml:space="preserve">Strongly Agree</w:t>
      </w:r>
      <w:r>
        <w:t xml:space="preserve">”</w:t>
      </w:r>
      <w:r>
        <w:t xml:space="preserve"> </w:t>
      </w:r>
      <w:r>
        <w:t xml:space="preserve">= 2</w:t>
      </w:r>
    </w:p>
    <w:p>
      <w:pPr>
        <w:numPr>
          <w:ilvl w:val="2"/>
          <w:numId w:val="1136"/>
        </w:numPr>
        <w:pStyle w:val="Compact"/>
      </w:pPr>
      <w:r>
        <w:t xml:space="preserve">Unless a pre-existing measure tells you to code variables in a different way</w:t>
      </w:r>
    </w:p>
    <w:p>
      <w:pPr>
        <w:numPr>
          <w:ilvl w:val="0"/>
          <w:numId w:val="1129"/>
        </w:numPr>
        <w:pStyle w:val="Compact"/>
      </w:pPr>
      <w:r>
        <w:t xml:space="preserve">Define missing values</w:t>
      </w:r>
    </w:p>
    <w:p>
      <w:pPr>
        <w:numPr>
          <w:ilvl w:val="1"/>
          <w:numId w:val="1137"/>
        </w:numPr>
        <w:pStyle w:val="Compact"/>
      </w:pPr>
      <w:r>
        <w:t xml:space="preserve">You may choose to leave all missing values as blank, NA, or NULL and that is okay</w:t>
      </w:r>
    </w:p>
    <w:p>
      <w:pPr>
        <w:numPr>
          <w:ilvl w:val="1"/>
          <w:numId w:val="1137"/>
        </w:numPr>
        <w:pStyle w:val="Compact"/>
      </w:pPr>
      <w:r>
        <w:t xml:space="preserve">However, you may care about the specific reason for missing data and need to consider defining missing values based on their properties</w:t>
      </w:r>
    </w:p>
    <w:p>
      <w:pPr>
        <w:numPr>
          <w:ilvl w:val="2"/>
          <w:numId w:val="1138"/>
        </w:numPr>
        <w:pStyle w:val="Compact"/>
      </w:pPr>
      <w:r>
        <w:t xml:space="preserve">The key in this case is to use extreme values that do not actually occur in your data and to also use values that match your variable type (e.g., numeric missing values for numeric variables)</w:t>
      </w:r>
      <w:r>
        <w:t xml:space="preserve">(</w:t>
      </w:r>
      <w:hyperlink w:anchor="ref-tourangeau_early_2015">
        <w:r>
          <w:rPr>
            <w:rStyle w:val="Hyperlink"/>
          </w:rPr>
          <w:t xml:space="preserve">Tourangeau 2015</w:t>
        </w:r>
      </w:hyperlink>
      <w:r>
        <w:t xml:space="preserve">)</w:t>
      </w:r>
    </w:p>
    <w:p>
      <w:pPr>
        <w:pStyle w:val="CaptionedFigure"/>
      </w:pPr>
      <w:r>
        <w:drawing>
          <wp:inline>
            <wp:extent cx="5334000" cy="1241643"/>
            <wp:effectExtent b="0" l="0" r="0" t="0"/>
            <wp:docPr descr="Figure 8.3: Missing values assigned in the ECLS-K:2011 data file" title="" id="370" name="Picture"/>
            <a:graphic>
              <a:graphicData uri="http://schemas.openxmlformats.org/drawingml/2006/picture">
                <pic:pic>
                  <pic:nvPicPr>
                    <pic:cNvPr descr="img/missing.PNG" id="371" name="Picture"/>
                    <pic:cNvPicPr>
                      <a:picLocks noChangeArrowheads="1" noChangeAspect="1"/>
                    </pic:cNvPicPr>
                  </pic:nvPicPr>
                  <pic:blipFill>
                    <a:blip r:embed="rId369"/>
                    <a:stretch>
                      <a:fillRect/>
                    </a:stretch>
                  </pic:blipFill>
                  <pic:spPr bwMode="auto">
                    <a:xfrm>
                      <a:off x="0" y="0"/>
                      <a:ext cx="5334000" cy="1241643"/>
                    </a:xfrm>
                    <a:prstGeom prst="rect">
                      <a:avLst/>
                    </a:prstGeom>
                    <a:noFill/>
                    <a:ln w="9525">
                      <a:noFill/>
                      <a:headEnd/>
                      <a:tailEnd/>
                    </a:ln>
                  </pic:spPr>
                </pic:pic>
              </a:graphicData>
            </a:graphic>
          </wp:inline>
        </w:drawing>
      </w:r>
    </w:p>
    <w:p>
      <w:pPr>
        <w:pStyle w:val="ImageCaption"/>
      </w:pPr>
      <w:r>
        <w:t xml:space="preserve">Figure 8.3: Missing values assigned in the ECLS-K:2011 data file</w:t>
      </w:r>
    </w:p>
    <w:bookmarkEnd w:id="372"/>
    <w:bookmarkStart w:id="373" w:name="coding"/>
    <w:p>
      <w:pPr>
        <w:pStyle w:val="Heading2"/>
      </w:pPr>
      <w:r>
        <w:rPr>
          <w:rStyle w:val="SectionNumber"/>
        </w:rPr>
        <w:t xml:space="preserve">8.6</w:t>
      </w:r>
      <w:r>
        <w:tab/>
      </w:r>
      <w:r>
        <w:t xml:space="preserve">Coding</w:t>
      </w:r>
    </w:p>
    <w:p>
      <w:pPr>
        <w:pStyle w:val="FirstParagraph"/>
      </w:pPr>
      <w:r>
        <w:t xml:space="preserve">If your team plans to clean data using code, it can be very helpful to create a coding style guide. This style guide can be tailored to a specific language that all staff will use (such as R or Stata), or it can be written more generically to apply to any coding language staff use to clean data. Below is a small sampling of good coding practices to consider adding to your guide. If you are looking for guides for a specific language, it can be very helpful to google existing style guides in that language.</w:t>
      </w:r>
    </w:p>
    <w:p>
      <w:pPr>
        <w:numPr>
          <w:ilvl w:val="0"/>
          <w:numId w:val="1139"/>
        </w:numPr>
        <w:pStyle w:val="Compact"/>
      </w:pPr>
      <w:r>
        <w:t xml:space="preserve">Consider building and implementing coding templates</w:t>
      </w:r>
      <w:r>
        <w:t xml:space="preserve">(</w:t>
      </w:r>
      <w:hyperlink w:anchor="ref-daskalova_coding_nodate">
        <w:r>
          <w:rPr>
            <w:rStyle w:val="Hyperlink"/>
          </w:rPr>
          <w:t xml:space="preserve">Daskalova n.d.</w:t>
        </w:r>
      </w:hyperlink>
      <w:r>
        <w:t xml:space="preserve">;</w:t>
      </w:r>
      <w:r>
        <w:t xml:space="preserve"> </w:t>
      </w:r>
      <w:hyperlink w:anchor="ref-farewell_my_2018">
        <w:r>
          <w:rPr>
            <w:rStyle w:val="Hyperlink"/>
          </w:rPr>
          <w:t xml:space="preserve">Farewell 2018</w:t>
        </w:r>
      </w:hyperlink>
      <w:r>
        <w:t xml:space="preserve">)</w:t>
      </w:r>
    </w:p>
    <w:p>
      <w:pPr>
        <w:numPr>
          <w:ilvl w:val="1"/>
          <w:numId w:val="1140"/>
        </w:numPr>
        <w:pStyle w:val="Compact"/>
      </w:pPr>
      <w:r>
        <w:t xml:space="preserve">Templates can standardize the format of syntax files (such as using standard headers to break up code)</w:t>
      </w:r>
    </w:p>
    <w:p>
      <w:pPr>
        <w:numPr>
          <w:ilvl w:val="1"/>
          <w:numId w:val="1140"/>
        </w:numPr>
        <w:pStyle w:val="Compact"/>
      </w:pPr>
      <w:r>
        <w:t xml:space="preserve">They also standardize the summary information provided at the beginning of your syntax (code author, project name, date created)</w:t>
      </w:r>
    </w:p>
    <w:p>
      <w:pPr>
        <w:numPr>
          <w:ilvl w:val="0"/>
          <w:numId w:val="1139"/>
        </w:numPr>
        <w:pStyle w:val="Compact"/>
      </w:pPr>
      <w:r>
        <w:t xml:space="preserve">Use comments throughout your code to clearly explain the purpose of each code chunk</w:t>
      </w:r>
    </w:p>
    <w:p>
      <w:pPr>
        <w:numPr>
          <w:ilvl w:val="1"/>
          <w:numId w:val="1141"/>
        </w:numPr>
        <w:pStyle w:val="Compact"/>
      </w:pPr>
      <w:r>
        <w:t xml:space="preserve">The format of these comments will be dependent on your coding language</w:t>
      </w:r>
    </w:p>
    <w:p>
      <w:pPr>
        <w:numPr>
          <w:ilvl w:val="2"/>
          <w:numId w:val="1142"/>
        </w:numPr>
        <w:pStyle w:val="Compact"/>
      </w:pPr>
      <w:r>
        <w:t xml:space="preserve">R uses</w:t>
      </w:r>
      <w:r>
        <w:t xml:space="preserve"> </w:t>
      </w:r>
      <w:r>
        <w:rPr>
          <w:rStyle w:val="VerbatimChar"/>
        </w:rPr>
        <w:t xml:space="preserve">#</w:t>
      </w:r>
    </w:p>
    <w:p>
      <w:pPr>
        <w:numPr>
          <w:ilvl w:val="2"/>
          <w:numId w:val="1142"/>
        </w:numPr>
        <w:pStyle w:val="Compact"/>
      </w:pPr>
      <w:r>
        <w:t xml:space="preserve">SPSS and Stata use</w:t>
      </w:r>
      <w:r>
        <w:t xml:space="preserve"> </w:t>
      </w:r>
      <w:r>
        <w:rPr>
          <w:rStyle w:val="VerbatimChar"/>
        </w:rPr>
        <w:t xml:space="preserve">*</w:t>
      </w:r>
    </w:p>
    <w:p>
      <w:pPr>
        <w:numPr>
          <w:ilvl w:val="0"/>
          <w:numId w:val="1139"/>
        </w:numPr>
        <w:pStyle w:val="Compact"/>
      </w:pPr>
      <w:r>
        <w:t xml:space="preserve">Improve code readability by using</w:t>
      </w:r>
      <w:r>
        <w:t xml:space="preserve"> </w:t>
      </w:r>
      <w:r>
        <w:t xml:space="preserve">(</w:t>
      </w:r>
      <w:hyperlink w:anchor="ref-wickham_welcome_nodate">
        <w:r>
          <w:rPr>
            <w:rStyle w:val="Hyperlink"/>
          </w:rPr>
          <w:t xml:space="preserve">Wickham n.d.</w:t>
        </w:r>
      </w:hyperlink>
      <w:r>
        <w:t xml:space="preserve">;</w:t>
      </w:r>
      <w:r>
        <w:t xml:space="preserve"> </w:t>
      </w:r>
      <w:hyperlink w:anchor="ref-san_martin_stata_2023">
        <w:r>
          <w:rPr>
            <w:rStyle w:val="Hyperlink"/>
          </w:rPr>
          <w:t xml:space="preserve">San Martin, Rodriguez-Ramirez, and Suzuki 2023</w:t>
        </w:r>
      </w:hyperlink>
      <w:r>
        <w:t xml:space="preserve">)</w:t>
      </w:r>
    </w:p>
    <w:p>
      <w:pPr>
        <w:numPr>
          <w:ilvl w:val="1"/>
          <w:numId w:val="1143"/>
        </w:numPr>
        <w:pStyle w:val="Compact"/>
      </w:pPr>
      <w:r>
        <w:t xml:space="preserve">spaces</w:t>
      </w:r>
    </w:p>
    <w:p>
      <w:pPr>
        <w:numPr>
          <w:ilvl w:val="1"/>
          <w:numId w:val="1143"/>
        </w:numPr>
        <w:pStyle w:val="Compact"/>
      </w:pPr>
      <w:r>
        <w:t xml:space="preserve">indentation</w:t>
      </w:r>
    </w:p>
    <w:p>
      <w:pPr>
        <w:numPr>
          <w:ilvl w:val="1"/>
          <w:numId w:val="1143"/>
        </w:numPr>
        <w:pStyle w:val="Compact"/>
      </w:pPr>
      <w:r>
        <w:t xml:space="preserve">setting a line limit for your code (e.g., 80 characters)</w:t>
      </w:r>
    </w:p>
    <w:p>
      <w:pPr>
        <w:numPr>
          <w:ilvl w:val="0"/>
          <w:numId w:val="1139"/>
        </w:numPr>
        <w:pStyle w:val="Compact"/>
      </w:pPr>
      <w:r>
        <w:t xml:space="preserve">Use relative file paths for reproducibility</w:t>
      </w:r>
    </w:p>
    <w:p>
      <w:pPr>
        <w:numPr>
          <w:ilvl w:val="1"/>
          <w:numId w:val="1144"/>
        </w:numPr>
        <w:pStyle w:val="Compact"/>
      </w:pPr>
      <w:r>
        <w:t xml:space="preserve">Setting absolute file paths in syntax reduces reproducibility because future users may have different file paths. It is important to set file paths relative the directory you are working in</w:t>
      </w:r>
      <w:r>
        <w:t xml:space="preserve"> </w:t>
      </w:r>
      <w:r>
        <w:t xml:space="preserve">(</w:t>
      </w:r>
      <w:hyperlink w:anchor="ref-wickham_8_nodate">
        <w:r>
          <w:rPr>
            <w:rStyle w:val="Hyperlink"/>
          </w:rPr>
          <w:t xml:space="preserve">Wickham and Grolemund n.d.</w:t>
        </w:r>
      </w:hyperlink>
      <w:r>
        <w:t xml:space="preserve">)</w:t>
      </w:r>
      <w:r>
        <w:t xml:space="preserve">.</w:t>
      </w:r>
    </w:p>
    <w:p>
      <w:pPr>
        <w:numPr>
          <w:ilvl w:val="0"/>
          <w:numId w:val="1139"/>
        </w:numPr>
        <w:pStyle w:val="Compact"/>
      </w:pPr>
      <w:r>
        <w:t xml:space="preserve">If you create objects in your program (like you do in R or Python), consider adding object naming rules similar to variable naming rules</w:t>
      </w:r>
    </w:p>
    <w:p>
      <w:pPr>
        <w:numPr>
          <w:ilvl w:val="1"/>
          <w:numId w:val="1145"/>
        </w:numPr>
        <w:pStyle w:val="Compact"/>
      </w:pPr>
      <w:r>
        <w:t xml:space="preserve">No spaces in object names</w:t>
      </w:r>
    </w:p>
    <w:p>
      <w:pPr>
        <w:numPr>
          <w:ilvl w:val="1"/>
          <w:numId w:val="1145"/>
        </w:numPr>
        <w:pStyle w:val="Compact"/>
      </w:pPr>
      <w:r>
        <w:t xml:space="preserve">No special characters except</w:t>
      </w:r>
      <w:r>
        <w:t xml:space="preserve"> </w:t>
      </w:r>
      <w:r>
        <w:rPr>
          <w:rStyle w:val="VerbatimChar"/>
        </w:rPr>
        <w:t xml:space="preserve">_</w:t>
      </w:r>
      <w:r>
        <w:t xml:space="preserve"> </w:t>
      </w:r>
      <w:r>
        <w:t xml:space="preserve">to separate words</w:t>
      </w:r>
    </w:p>
    <w:p>
      <w:pPr>
        <w:numPr>
          <w:ilvl w:val="1"/>
          <w:numId w:val="1145"/>
        </w:numPr>
        <w:pStyle w:val="Compact"/>
      </w:pPr>
      <w:r>
        <w:t xml:space="preserve">No names that are existing program keywords (</w:t>
      </w:r>
      <w:r>
        <w:rPr>
          <w:rStyle w:val="VerbatimChar"/>
        </w:rPr>
        <w:t xml:space="preserve">if</w:t>
      </w:r>
      <w:r>
        <w:t xml:space="preserve">,</w:t>
      </w:r>
      <w:r>
        <w:t xml:space="preserve"> </w:t>
      </w:r>
      <w:r>
        <w:rPr>
          <w:rStyle w:val="VerbatimChar"/>
        </w:rPr>
        <w:t xml:space="preserve">for</w:t>
      </w:r>
      <w:r>
        <w:t xml:space="preserve">, etc.)</w:t>
      </w:r>
    </w:p>
    <w:p>
      <w:pPr>
        <w:numPr>
          <w:ilvl w:val="0"/>
          <w:numId w:val="1139"/>
        </w:numPr>
        <w:pStyle w:val="Compact"/>
      </w:pPr>
      <w:r>
        <w:t xml:space="preserve">Reduce duplication, improve efficiency, and increase your ability to troubleshoot errors by using functions, loops, or macros for repetitive code chunks</w:t>
      </w:r>
    </w:p>
    <w:p>
      <w:pPr>
        <w:numPr>
          <w:ilvl w:val="0"/>
          <w:numId w:val="1139"/>
        </w:numPr>
        <w:pStyle w:val="Compact"/>
      </w:pPr>
      <w:r>
        <w:t xml:space="preserve">Record session information for future users</w:t>
      </w:r>
    </w:p>
    <w:p>
      <w:pPr>
        <w:numPr>
          <w:ilvl w:val="1"/>
          <w:numId w:val="1146"/>
        </w:numPr>
        <w:pStyle w:val="Compact"/>
      </w:pPr>
      <w:r>
        <w:t xml:space="preserve">Record both version information as well as operating system information relevant to your code to increase the reproducibility of your code</w:t>
      </w:r>
    </w:p>
    <w:bookmarkEnd w:id="373"/>
    <w:bookmarkEnd w:id="374"/>
    <w:bookmarkStart w:id="413" w:name="track"/>
    <w:p>
      <w:pPr>
        <w:pStyle w:val="Heading1"/>
      </w:pPr>
      <w:r>
        <w:rPr>
          <w:rStyle w:val="SectionNumber"/>
        </w:rPr>
        <w:t xml:space="preserve">9</w:t>
      </w:r>
      <w:r>
        <w:tab/>
      </w:r>
      <w:r>
        <w:t xml:space="preserve">Data Tracking</w:t>
      </w:r>
    </w:p>
    <w:p>
      <w:pPr>
        <w:pStyle w:val="CaptionedFigure"/>
      </w:pPr>
      <w:r>
        <w:drawing>
          <wp:inline>
            <wp:extent cx="5334000" cy="2938716"/>
            <wp:effectExtent b="0" l="0" r="0" t="0"/>
            <wp:docPr descr="Figure 9.1: Tracking in the research project life cycle" title="" id="376" name="Picture"/>
            <a:graphic>
              <a:graphicData uri="http://schemas.openxmlformats.org/drawingml/2006/picture">
                <pic:pic>
                  <pic:nvPicPr>
                    <pic:cNvPr descr="img/lifecycle_track.PNG" id="377" name="Picture"/>
                    <pic:cNvPicPr>
                      <a:picLocks noChangeArrowheads="1" noChangeAspect="1"/>
                    </pic:cNvPicPr>
                  </pic:nvPicPr>
                  <pic:blipFill>
                    <a:blip r:embed="rId375"/>
                    <a:stretch>
                      <a:fillRect/>
                    </a:stretch>
                  </pic:blipFill>
                  <pic:spPr bwMode="auto">
                    <a:xfrm>
                      <a:off x="0" y="0"/>
                      <a:ext cx="5334000" cy="2938716"/>
                    </a:xfrm>
                    <a:prstGeom prst="rect">
                      <a:avLst/>
                    </a:prstGeom>
                    <a:noFill/>
                    <a:ln w="9525">
                      <a:noFill/>
                      <a:headEnd/>
                      <a:tailEnd/>
                    </a:ln>
                  </pic:spPr>
                </pic:pic>
              </a:graphicData>
            </a:graphic>
          </wp:inline>
        </w:drawing>
      </w:r>
    </w:p>
    <w:p>
      <w:pPr>
        <w:pStyle w:val="ImageCaption"/>
      </w:pPr>
      <w:r>
        <w:t xml:space="preserve">Figure 9.1: Tracking in the research project life cycle</w:t>
      </w:r>
    </w:p>
    <w:p>
      <w:pPr>
        <w:pStyle w:val="BodyText"/>
      </w:pPr>
      <w:r>
        <w:t xml:space="preserve">During your project you will want to be able to answer both progress and summary questions about your recruitment and data collection activities.</w:t>
      </w:r>
    </w:p>
    <w:p>
      <w:pPr>
        <w:numPr>
          <w:ilvl w:val="0"/>
          <w:numId w:val="1147"/>
        </w:numPr>
        <w:pStyle w:val="Compact"/>
      </w:pPr>
      <w:r>
        <w:t xml:space="preserve">How many participants consented to be in our study? How many have we lost during our study and why?</w:t>
      </w:r>
    </w:p>
    <w:p>
      <w:pPr>
        <w:numPr>
          <w:ilvl w:val="0"/>
          <w:numId w:val="1147"/>
        </w:numPr>
        <w:pStyle w:val="Compact"/>
      </w:pPr>
      <w:r>
        <w:t xml:space="preserve">How much progress have we made in this cycle of data collection? How much data do we have left to collect?</w:t>
      </w:r>
    </w:p>
    <w:p>
      <w:pPr>
        <w:numPr>
          <w:ilvl w:val="0"/>
          <w:numId w:val="1147"/>
        </w:numPr>
        <w:pStyle w:val="Compact"/>
      </w:pPr>
      <w:r>
        <w:t xml:space="preserve">How many forms did we collect each cycle and why are we missing data for some forms?</w:t>
      </w:r>
    </w:p>
    <w:p>
      <w:pPr>
        <w:pStyle w:val="FirstParagraph"/>
      </w:pPr>
      <w:r>
        <w:t xml:space="preserve">Questions like these will arise many times throughout your study for both your own project coordination purposes, as well as for external progress reporting and publication purposes. Yet, how will you answer these questions? Will you dig through papers, search through emails, and download in progress data, each time you need to answer a question about the status of your project activities? A better solution is to track all project activities in a participant tracking database.</w:t>
      </w:r>
    </w:p>
    <w:p>
      <w:pPr>
        <w:pStyle w:val="BodyText"/>
      </w:pPr>
      <w:r>
        <w:t xml:space="preserve">A participant tracking database is an essential component of both project management and data management. This database contains all study participants, their relevant study information, as well as tracking information about their completion of project milestones. This database has two underlying purposes.</w:t>
      </w:r>
    </w:p>
    <w:p>
      <w:pPr>
        <w:numPr>
          <w:ilvl w:val="0"/>
          <w:numId w:val="1148"/>
        </w:numPr>
        <w:pStyle w:val="Compact"/>
      </w:pPr>
      <w:r>
        <w:t xml:space="preserve">To serve as a roster of study participants as well as a</w:t>
      </w:r>
      <w:r>
        <w:t xml:space="preserve"> </w:t>
      </w:r>
      <w:r>
        <w:t xml:space="preserve">“</w:t>
      </w:r>
      <w:r>
        <w:t xml:space="preserve">master key</w:t>
      </w:r>
      <w:r>
        <w:t xml:space="preserve">”</w:t>
      </w:r>
      <w:r>
        <w:t xml:space="preserve"> </w:t>
      </w:r>
      <w:r>
        <w:t xml:space="preserve">(</w:t>
      </w:r>
      <w:hyperlink w:anchor="ref-pacific_university_oregon_data_2014">
        <w:r>
          <w:rPr>
            <w:rStyle w:val="Hyperlink"/>
          </w:rPr>
          <w:t xml:space="preserve">Pacific University Oregon 2014</w:t>
        </w:r>
      </w:hyperlink>
      <w:r>
        <w:t xml:space="preserve">)</w:t>
      </w:r>
      <w:r>
        <w:t xml:space="preserve"> </w:t>
      </w:r>
      <w:r>
        <w:t xml:space="preserve">that houses both identifying participant information as well as assigned unique study identifiers.</w:t>
      </w:r>
    </w:p>
    <w:p>
      <w:pPr>
        <w:numPr>
          <w:ilvl w:val="0"/>
          <w:numId w:val="1148"/>
        </w:numPr>
        <w:pStyle w:val="Compact"/>
      </w:pPr>
      <w:r>
        <w:t xml:space="preserve">To aid in project coordination and reporting, tracking the movement of participants as well as completion of study events throughout a study.</w:t>
      </w:r>
    </w:p>
    <w:p>
      <w:pPr>
        <w:pStyle w:val="FirstParagraph"/>
      </w:pPr>
      <w:r>
        <w:t xml:space="preserve">This database is considered your single source of truth concerning everything that happened throughout the duration of your project. Any time a participant consents to participate, drops from the study, changes their name, completes a data collection measure, is provided a payment, or moves locations, a project coordinator, or other designated team member, updates the information in this one location. Tracking administrative information in this one database, rather than across disparate spreadsheets, emails, and papers, ensures that you always have one definitive source to refer to when seeking answers about your sample and your project activities.</w:t>
      </w:r>
    </w:p>
    <w:bookmarkStart w:id="378" w:name="benefits"/>
    <w:p>
      <w:pPr>
        <w:pStyle w:val="Heading2"/>
      </w:pPr>
      <w:r>
        <w:rPr>
          <w:rStyle w:val="SectionNumber"/>
        </w:rPr>
        <w:t xml:space="preserve">9.1</w:t>
      </w:r>
      <w:r>
        <w:tab/>
      </w:r>
      <w:r>
        <w:t xml:space="preserve">Benefits</w:t>
      </w:r>
    </w:p>
    <w:p>
      <w:pPr>
        <w:pStyle w:val="FirstParagraph"/>
      </w:pPr>
      <w:r>
        <w:t xml:space="preserve">A thorough and complete participant database that is updated regularly is beneficial for the following reasons:</w:t>
      </w:r>
    </w:p>
    <w:p>
      <w:pPr>
        <w:numPr>
          <w:ilvl w:val="0"/>
          <w:numId w:val="1149"/>
        </w:numPr>
        <w:pStyle w:val="Compact"/>
      </w:pPr>
      <w:r>
        <w:t xml:space="preserve">Data de-identification</w:t>
      </w:r>
    </w:p>
    <w:p>
      <w:pPr>
        <w:numPr>
          <w:ilvl w:val="1"/>
          <w:numId w:val="1150"/>
        </w:numPr>
        <w:pStyle w:val="Compact"/>
      </w:pPr>
      <w:r>
        <w:t xml:space="preserve">Assigning unique study identifiers that are only linked to a participant’s true identity within this one database is necessary for maintaining participant confidentiality. This database is stored in a</w:t>
      </w:r>
      <w:r>
        <w:t xml:space="preserve"> </w:t>
      </w:r>
      <w:hyperlink w:anchor="trackingstorage">
        <w:r>
          <w:rPr>
            <w:rStyle w:val="Hyperlink"/>
          </w:rPr>
          <w:t xml:space="preserve">restricted secure location</w:t>
        </w:r>
      </w:hyperlink>
      <w:r>
        <w:t xml:space="preserve">, separate from where de-identified study datasets are stored, and is typically destroyed at a period of time after a project’s completion.</w:t>
      </w:r>
    </w:p>
    <w:p>
      <w:pPr>
        <w:numPr>
          <w:ilvl w:val="0"/>
          <w:numId w:val="1149"/>
        </w:numPr>
        <w:pStyle w:val="Compact"/>
      </w:pPr>
      <w:r>
        <w:t xml:space="preserve">Project coordination and record keeping</w:t>
      </w:r>
    </w:p>
    <w:p>
      <w:pPr>
        <w:numPr>
          <w:ilvl w:val="1"/>
          <w:numId w:val="1151"/>
        </w:numPr>
        <w:pStyle w:val="Compact"/>
      </w:pPr>
      <w:r>
        <w:t xml:space="preserve">This database can be used as a customer relation management (CRM) tool, storing all participant contact information, as well as tracking correspondence. It can also be used as a project coordination tool, storing scheduling information that is useful for planning activities such as data collection.</w:t>
      </w:r>
    </w:p>
    <w:p>
      <w:pPr>
        <w:numPr>
          <w:ilvl w:val="1"/>
          <w:numId w:val="1151"/>
        </w:numPr>
        <w:pStyle w:val="Compact"/>
      </w:pPr>
      <w:r>
        <w:t xml:space="preserve">Integrating this database into your daily workflow allows your team to easily report the status of data collection activities (e.g., as of today we have completed 124 out of 150 assessments). Furthermore, checking and tracking incoming data daily, compared to after data collection is complete, reduces the likelihood of missing data.</w:t>
      </w:r>
    </w:p>
    <w:p>
      <w:pPr>
        <w:numPr>
          <w:ilvl w:val="1"/>
          <w:numId w:val="1151"/>
        </w:numPr>
        <w:pStyle w:val="Compact"/>
      </w:pPr>
      <w:r>
        <w:t xml:space="preserve">Last, thorough tracking allows you to explain missing data in reports and publications (e.g., Teacher 1234 went on maternity leave).</w:t>
      </w:r>
    </w:p>
    <w:p>
      <w:pPr>
        <w:numPr>
          <w:ilvl w:val="0"/>
          <w:numId w:val="1149"/>
        </w:numPr>
        <w:pStyle w:val="Compact"/>
      </w:pPr>
      <w:r>
        <w:t xml:space="preserve">Sample rostering</w:t>
      </w:r>
    </w:p>
    <w:p>
      <w:pPr>
        <w:numPr>
          <w:ilvl w:val="1"/>
          <w:numId w:val="1152"/>
        </w:numPr>
        <w:pStyle w:val="Compact"/>
      </w:pPr>
      <w:r>
        <w:t xml:space="preserve">At any time you can pull a study roster from this database that accurately reflects a participant’s current status. The tracking information contained in this tool also aids in the creation of documentation including the flow of participants in your</w:t>
      </w:r>
      <w:r>
        <w:t xml:space="preserve"> </w:t>
      </w:r>
      <w:hyperlink w:anchor="supplement">
        <w:r>
          <w:rPr>
            <w:rStyle w:val="Hyperlink"/>
          </w:rPr>
          <w:t xml:space="preserve">CONSORT diagram</w:t>
        </w:r>
      </w:hyperlink>
      <w:r>
        <w:t xml:space="preserve">.</w:t>
      </w:r>
    </w:p>
    <w:p>
      <w:pPr>
        <w:numPr>
          <w:ilvl w:val="0"/>
          <w:numId w:val="1149"/>
        </w:numPr>
        <w:pStyle w:val="Compact"/>
      </w:pPr>
      <w:r>
        <w:t xml:space="preserve">Data cleaning</w:t>
      </w:r>
    </w:p>
    <w:p>
      <w:pPr>
        <w:numPr>
          <w:ilvl w:val="1"/>
          <w:numId w:val="1153"/>
        </w:numPr>
        <w:pStyle w:val="Compact"/>
      </w:pPr>
      <w:r>
        <w:t xml:space="preserve">As part of your data cleaning process, all raw data sample sizes should compared against what is reported as complete in your participant database to ensure that no participants are missing from your final datasets</w:t>
      </w:r>
    </w:p>
    <w:p>
      <w:pPr>
        <w:numPr>
          <w:ilvl w:val="1"/>
          <w:numId w:val="1153"/>
        </w:numPr>
        <w:pStyle w:val="Compact"/>
      </w:pPr>
      <w:r>
        <w:t xml:space="preserve">Furthermore, this database can be used for de-identifying data. If data is collected with identifiers such as name, a roster from the tracking database can be used to merge in unique study identifiers so that name can be removed. A similar process can be used to merge in other assigned variables contained in the database such as treatment or cohort.</w:t>
      </w:r>
    </w:p>
    <w:bookmarkEnd w:id="378"/>
    <w:bookmarkStart w:id="398" w:name="building-your-database"/>
    <w:p>
      <w:pPr>
        <w:pStyle w:val="Heading2"/>
      </w:pPr>
      <w:r>
        <w:rPr>
          <w:rStyle w:val="SectionNumber"/>
        </w:rPr>
        <w:t xml:space="preserve">9.2</w:t>
      </w:r>
      <w:r>
        <w:tab/>
      </w:r>
      <w:r>
        <w:t xml:space="preserve">Building your database</w:t>
      </w:r>
    </w:p>
    <w:p>
      <w:pPr>
        <w:pStyle w:val="FirstParagraph"/>
      </w:pPr>
      <w:r>
        <w:t xml:space="preserve">It is beneficial to build this database before you begin recruiting participants, typically during the same time that you are building your data collection tools. This way, as your team recruits and consents participants, you can record their name, assign them a study ID, and enter any other necessary identifying contact information into the participant database. Depending on your database system, you may even be able to scan and upload copies of your consent forms into the database.</w:t>
      </w:r>
    </w:p>
    <w:p>
      <w:pPr>
        <w:pStyle w:val="BodyText"/>
      </w:pPr>
      <w:r>
        <w:t xml:space="preserve">While a project coordinator can build this database, it can be helpful to consult with a data manager, or someone with relational database expertise, when creating this system. This ensures that your system is set up efficiently and comprehensively.</w:t>
      </w:r>
    </w:p>
    <w:p>
      <w:pPr>
        <w:pStyle w:val="BodyText"/>
      </w:pPr>
      <w:r>
        <w:t xml:space="preserve">This database may be a standalone structure, used only for tracking and anonymization purposes. Or it may be integrated as part of your larger study system, where all study data is collected and/or entered as well.</w:t>
      </w:r>
    </w:p>
    <w:bookmarkStart w:id="387" w:name="relational-databases"/>
    <w:p>
      <w:pPr>
        <w:pStyle w:val="Heading3"/>
      </w:pPr>
      <w:r>
        <w:rPr>
          <w:rStyle w:val="SectionNumber"/>
        </w:rPr>
        <w:t xml:space="preserve">9.2.1</w:t>
      </w:r>
      <w:r>
        <w:tab/>
      </w:r>
      <w:r>
        <w:t xml:space="preserve">Relational databases</w:t>
      </w:r>
    </w:p>
    <w:p>
      <w:pPr>
        <w:pStyle w:val="FirstParagraph"/>
      </w:pPr>
      <w:r>
        <w:t xml:space="preserve">Before we discuss how to build this database, it is helpful to have a basic understanding of the benefits of relational databases, first introduced in Chapter</w:t>
      </w:r>
      <w:r>
        <w:t xml:space="preserve"> </w:t>
      </w:r>
      <w:r>
        <w:t xml:space="preserve">3</w:t>
      </w:r>
      <w:r>
        <w:t xml:space="preserve">. Using a relational database to track participant information, compared to disparate, non-connected spreadsheets, has many benefits including reducing data entry errors and improving efficiency. A relational database organizes information into tables, made up of records (rows) and fields (columns), and tables are related through keys</w:t>
      </w:r>
      <w:r>
        <w:t xml:space="preserve">(</w:t>
      </w:r>
      <w:hyperlink w:anchor="ref-bourgeois_information_2014">
        <w:r>
          <w:rPr>
            <w:rStyle w:val="Hyperlink"/>
          </w:rPr>
          <w:t xml:space="preserve">David Bourgeois 2014</w:t>
        </w:r>
      </w:hyperlink>
      <w:r>
        <w:t xml:space="preserve">;</w:t>
      </w:r>
      <w:r>
        <w:t xml:space="preserve"> </w:t>
      </w:r>
      <w:hyperlink w:anchor="ref-chen_database_2022">
        <w:r>
          <w:rPr>
            <w:rStyle w:val="Hyperlink"/>
          </w:rPr>
          <w:t xml:space="preserve">Chen 2022</w:t>
        </w:r>
      </w:hyperlink>
      <w:r>
        <w:t xml:space="preserve">)</w:t>
      </w:r>
      <w:r>
        <w:t xml:space="preserve">. The general steps for building a relational database are below.</w:t>
      </w:r>
    </w:p>
    <w:p>
      <w:pPr>
        <w:numPr>
          <w:ilvl w:val="0"/>
          <w:numId w:val="1154"/>
        </w:numPr>
        <w:pStyle w:val="Compact"/>
      </w:pPr>
      <w:r>
        <w:t xml:space="preserve">Decide what fields you want to collect and on who you want to collect them.</w:t>
      </w:r>
    </w:p>
    <w:p>
      <w:pPr>
        <w:numPr>
          <w:ilvl w:val="0"/>
          <w:numId w:val="1154"/>
        </w:numPr>
        <w:pStyle w:val="Compact"/>
      </w:pPr>
      <w:r>
        <w:t xml:space="preserve">Group those fields by entity (students, teachers, schools) and purpose. Create tables for those groups.</w:t>
      </w:r>
    </w:p>
    <w:p>
      <w:pPr>
        <w:numPr>
          <w:ilvl w:val="0"/>
          <w:numId w:val="1154"/>
        </w:numPr>
        <w:pStyle w:val="Compact"/>
      </w:pPr>
      <w:r>
        <w:t xml:space="preserve">Choose one or more fields to uniquely identify rows in those tables as primary keys. These keys should not change at any point. Typically these keys are your assigned unique study IDs.</w:t>
      </w:r>
    </w:p>
    <w:p>
      <w:pPr>
        <w:numPr>
          <w:ilvl w:val="0"/>
          <w:numId w:val="1154"/>
        </w:numPr>
        <w:pStyle w:val="Compact"/>
      </w:pPr>
      <w:r>
        <w:t xml:space="preserve">Create relationships between tables through both primary and foreign keys</w:t>
      </w:r>
    </w:p>
    <w:p>
      <w:pPr>
        <w:pStyle w:val="FirstParagraph"/>
      </w:pPr>
      <w:r>
        <w:t xml:space="preserve">We can also further refine our database through normalization, structuring our database according to normal form rules</w:t>
      </w:r>
      <w:r>
        <w:t xml:space="preserve">(</w:t>
      </w:r>
      <w:hyperlink w:anchor="ref-bourgeois_chapter_2014">
        <w:r>
          <w:rPr>
            <w:rStyle w:val="Hyperlink"/>
          </w:rPr>
          <w:t xml:space="preserve">Dave Bourgeois 2014</w:t>
        </w:r>
      </w:hyperlink>
      <w:r>
        <w:t xml:space="preserve">;</w:t>
      </w:r>
      <w:r>
        <w:t xml:space="preserve"> </w:t>
      </w:r>
      <w:hyperlink w:anchor="ref-nguyen_relational_2017">
        <w:r>
          <w:rPr>
            <w:rStyle w:val="Hyperlink"/>
          </w:rPr>
          <w:t xml:space="preserve">Nguyen 2017</w:t>
        </w:r>
      </w:hyperlink>
      <w:r>
        <w:t xml:space="preserve">;</w:t>
      </w:r>
      <w:r>
        <w:t xml:space="preserve"> </w:t>
      </w:r>
      <w:hyperlink w:anchor="ref-the_nobles_normalization_2020">
        <w:r>
          <w:rPr>
            <w:rStyle w:val="Hyperlink"/>
          </w:rPr>
          <w:t xml:space="preserve">The Nobles 2020</w:t>
        </w:r>
      </w:hyperlink>
      <w:r>
        <w:t xml:space="preserve">)</w:t>
      </w:r>
      <w:r>
        <w:t xml:space="preserve"> </w:t>
      </w:r>
      <w:r>
        <w:t xml:space="preserve">to reduce redundancy and improve data integrity. Going in to more detail about normalization is outside of the scope of this book and building a database that follows all the normal form rules requires specific expertise, which most teams may not have. So with that said, it is perfectly acceptable to build a database that is not perfectly optimized but that works well for your team! The most important thing to consider when building a relational database is to not duplicate information across tables. Any one field should only need to be updated in one location, never more than one.</w:t>
      </w:r>
    </w:p>
    <w:p>
      <w:pPr>
        <w:pStyle w:val="BodyText"/>
      </w:pPr>
      <w:r>
        <w:t xml:space="preserve">Let’s compare a very simple example of building a tracking database using a relational model and a non-relational model.</w:t>
      </w:r>
    </w:p>
    <w:bookmarkStart w:id="382" w:name="relational-model"/>
    <w:p>
      <w:pPr>
        <w:pStyle w:val="Heading4"/>
      </w:pPr>
      <w:r>
        <w:rPr>
          <w:rStyle w:val="SectionNumber"/>
        </w:rPr>
        <w:t xml:space="preserve">9.2.1.1</w:t>
      </w:r>
      <w:r>
        <w:tab/>
      </w:r>
      <w:r>
        <w:t xml:space="preserve">Relational model</w:t>
      </w:r>
    </w:p>
    <w:p>
      <w:pPr>
        <w:pStyle w:val="FirstParagraph"/>
      </w:pPr>
      <w:r>
        <w:t xml:space="preserve">In Figure</w:t>
      </w:r>
      <w:r>
        <w:t xml:space="preserve"> </w:t>
      </w:r>
      <w:r>
        <w:t xml:space="preserve">9.2</w:t>
      </w:r>
      <w:r>
        <w:t xml:space="preserve"> </w:t>
      </w:r>
      <w:r>
        <w:t xml:space="preserve">we have three entities we need to track in our database: schools, teachers, and students. We built a very simple database with one table for each entity. Within each table we added fields that we need to collect on these participants. We have also set up our tables to include primary keys (which uniquely identify rows in each table) and foreign keys (which includes values that correspond to the primary key of another table). Our keys are all unique study identifiers that we have assigned to our study participants.</w:t>
      </w:r>
    </w:p>
    <w:p>
      <w:pPr>
        <w:pStyle w:val="CaptionedFigure"/>
      </w:pPr>
      <w:r>
        <w:drawing>
          <wp:inline>
            <wp:extent cx="5334000" cy="1711389"/>
            <wp:effectExtent b="0" l="0" r="0" t="0"/>
            <wp:docPr descr="Figure 9.2: Participant database built using a relational model" title="" id="380" name="Picture"/>
            <a:graphic>
              <a:graphicData uri="http://schemas.openxmlformats.org/drawingml/2006/picture">
                <pic:pic>
                  <pic:nvPicPr>
                    <pic:cNvPr descr="img/participant1.PNG" id="381" name="Picture"/>
                    <pic:cNvPicPr>
                      <a:picLocks noChangeArrowheads="1" noChangeAspect="1"/>
                    </pic:cNvPicPr>
                  </pic:nvPicPr>
                  <pic:blipFill>
                    <a:blip r:embed="rId379"/>
                    <a:stretch>
                      <a:fillRect/>
                    </a:stretch>
                  </pic:blipFill>
                  <pic:spPr bwMode="auto">
                    <a:xfrm>
                      <a:off x="0" y="0"/>
                      <a:ext cx="5334000" cy="1711389"/>
                    </a:xfrm>
                    <a:prstGeom prst="rect">
                      <a:avLst/>
                    </a:prstGeom>
                    <a:noFill/>
                    <a:ln w="9525">
                      <a:noFill/>
                      <a:headEnd/>
                      <a:tailEnd/>
                    </a:ln>
                  </pic:spPr>
                </pic:pic>
              </a:graphicData>
            </a:graphic>
          </wp:inline>
        </w:drawing>
      </w:r>
    </w:p>
    <w:p>
      <w:pPr>
        <w:pStyle w:val="ImageCaption"/>
      </w:pPr>
      <w:r>
        <w:t xml:space="preserve">Figure 9.2: Participant database built using a relational model</w:t>
      </w:r>
    </w:p>
    <w:p>
      <w:pPr>
        <w:pStyle w:val="BodyText"/>
      </w:pPr>
      <w:r>
        <w:t xml:space="preserve">We can see here that in each table we have no duplicated, repeating information. The student table only contains student level information, the teacher table only contains teacher level information, and the school table only contains school level information. This is a huge time saver. Imagine if a teacher’s last name changes. Rather than updating that name in multiple places, we now only update it once, in the teacher table.</w:t>
      </w:r>
      <w:r>
        <w:t xml:space="preserve"> </w:t>
      </w:r>
      <w:r>
        <w:t xml:space="preserve">If we want to see a table with both student and teacher information, we can simply query our database to create a new table. In some programs, this type of querying may be a simple point and click option, in other programs it may require someone to write some simple queries that can then be used at any time by any user.</w:t>
      </w:r>
    </w:p>
    <w:p>
      <w:pPr>
        <w:pStyle w:val="BodyText"/>
      </w:pPr>
      <w:r>
        <w:t xml:space="preserve">Say for example, we needed to pull a roster of students for each teacher. We could easily create and run a query, such as this SQL query, that joins the student and teacher tables above by</w:t>
      </w:r>
      <w:r>
        <w:t xml:space="preserve"> </w:t>
      </w:r>
      <w:r>
        <w:rPr>
          <w:rStyle w:val="VerbatimChar"/>
        </w:rPr>
        <w:t xml:space="preserve">tch_id</w:t>
      </w:r>
      <w:r>
        <w:t xml:space="preserve"> </w:t>
      </w:r>
      <w:r>
        <w:t xml:space="preserve">and then pulls the relevant teacher and student information from both tables:</w:t>
      </w:r>
    </w:p>
    <w:p>
      <w:pPr>
        <w:pStyle w:val="BodyText"/>
      </w:pPr>
      <w:r>
        <w:rPr>
          <w:rStyle w:val="VerbatimChar"/>
        </w:rPr>
        <w:t xml:space="preserve">SELECT t_l_name, t_f_name, s_l_name, s_f_name,  grade</w:t>
      </w:r>
      <w:r>
        <w:br/>
      </w:r>
      <w:r>
        <w:rPr>
          <w:rStyle w:val="VerbatimChar"/>
        </w:rPr>
        <w:t xml:space="preserve">FROM Student INNER JOIN Teacher ON Student.tch_id = Teacher.tch_id</w:t>
      </w:r>
      <w:r>
        <w:br/>
      </w:r>
      <w:r>
        <w:rPr>
          <w:rStyle w:val="VerbatimChar"/>
        </w:rPr>
        <w:t xml:space="preserve">ORDER BY t_l_name, t_f_name, s_l_name, s_f_name</w:t>
      </w:r>
    </w:p>
    <w:p>
      <w:pPr>
        <w:pStyle w:val="BodyText"/>
      </w:pPr>
      <w:r>
        <w:t xml:space="preserve">Depending on the design of your study and the structure of the database model, writing these queries can become more complicated. Again, this is where you want to strike a balance between creating a structure that reduces inefficiencies in data entry but also isn’t too complicated to query based on the expertise of your team.</w:t>
      </w:r>
    </w:p>
    <w:bookmarkEnd w:id="382"/>
    <w:bookmarkStart w:id="386" w:name="non-relational-model"/>
    <w:p>
      <w:pPr>
        <w:pStyle w:val="Heading4"/>
      </w:pPr>
      <w:r>
        <w:rPr>
          <w:rStyle w:val="SectionNumber"/>
        </w:rPr>
        <w:t xml:space="preserve">9.2.1.2</w:t>
      </w:r>
      <w:r>
        <w:tab/>
      </w:r>
      <w:r>
        <w:t xml:space="preserve">Non-relational model</w:t>
      </w:r>
    </w:p>
    <w:p>
      <w:pPr>
        <w:pStyle w:val="FirstParagraph"/>
      </w:pPr>
      <w:r>
        <w:t xml:space="preserve">Now imagine that we built a non-relational database (Figure</w:t>
      </w:r>
      <w:r>
        <w:t xml:space="preserve"> </w:t>
      </w:r>
      <w:r>
        <w:t xml:space="preserve">9.3</w:t>
      </w:r>
      <w:r>
        <w:t xml:space="preserve">), such as three tabs in an Excel spreadsheet, to track our participant information. Since we are unable to set up a system that links these tables together, we need to enter redundant information into each table (such as teacher or school name) in order to see that information within each table without having to flip back and forth across tables to find the information we need. Using this method we now have to enter repeating teacher and school names in the student table, and if any teacher names change, we will need to update it in both the teacher table and in the student table for every student associated with that teacher. This requires more entry time and creates the opportunity for more data entry errors.</w:t>
      </w:r>
    </w:p>
    <w:p>
      <w:pPr>
        <w:pStyle w:val="CaptionedFigure"/>
      </w:pPr>
      <w:r>
        <w:drawing>
          <wp:inline>
            <wp:extent cx="5334000" cy="2281595"/>
            <wp:effectExtent b="0" l="0" r="0" t="0"/>
            <wp:docPr descr="Figure 9.3: Participant database built in using a non-relational model" title="" id="384" name="Picture"/>
            <a:graphic>
              <a:graphicData uri="http://schemas.openxmlformats.org/drawingml/2006/picture">
                <pic:pic>
                  <pic:nvPicPr>
                    <pic:cNvPr descr="img/participant2.PNG" id="385" name="Picture"/>
                    <pic:cNvPicPr>
                      <a:picLocks noChangeArrowheads="1" noChangeAspect="1"/>
                    </pic:cNvPicPr>
                  </pic:nvPicPr>
                  <pic:blipFill>
                    <a:blip r:embed="rId383"/>
                    <a:stretch>
                      <a:fillRect/>
                    </a:stretch>
                  </pic:blipFill>
                  <pic:spPr bwMode="auto">
                    <a:xfrm>
                      <a:off x="0" y="0"/>
                      <a:ext cx="5334000" cy="2281595"/>
                    </a:xfrm>
                    <a:prstGeom prst="rect">
                      <a:avLst/>
                    </a:prstGeom>
                    <a:noFill/>
                    <a:ln w="9525">
                      <a:noFill/>
                      <a:headEnd/>
                      <a:tailEnd/>
                    </a:ln>
                  </pic:spPr>
                </pic:pic>
              </a:graphicData>
            </a:graphic>
          </wp:inline>
        </w:drawing>
      </w:r>
    </w:p>
    <w:p>
      <w:pPr>
        <w:pStyle w:val="ImageCaption"/>
      </w:pPr>
      <w:r>
        <w:t xml:space="preserve">Figure 9.3: Participant database built in using a non-relational model</w:t>
      </w:r>
    </w:p>
    <w:p>
      <w:pPr>
        <w:pStyle w:val="BlockText"/>
      </w:pPr>
      <w:r>
        <w:rPr>
          <w:bCs/>
          <w:b/>
        </w:rPr>
        <w:t xml:space="preserve">Note</w:t>
      </w:r>
      <w:r>
        <w:t xml:space="preserve"> </w:t>
      </w:r>
      <w:r>
        <w:t xml:space="preserve"> </w:t>
      </w:r>
      <w:r>
        <w:t xml:space="preserve"> </w:t>
      </w:r>
      <w:r>
        <w:t xml:space="preserve">If your study includes a variety of related entities, tracked over waves of time, a relational database will be very helpful to build. If however, you are only tracking one entity (e.g., just students) for one wave of data collection, then a database might be overkill and a simple spreadsheet will work just fine.</w:t>
      </w:r>
    </w:p>
    <w:bookmarkEnd w:id="386"/>
    <w:bookmarkEnd w:id="387"/>
    <w:bookmarkStart w:id="394" w:name="structuring-the-database"/>
    <w:p>
      <w:pPr>
        <w:pStyle w:val="Heading3"/>
      </w:pPr>
      <w:r>
        <w:rPr>
          <w:rStyle w:val="SectionNumber"/>
        </w:rPr>
        <w:t xml:space="preserve">9.2.2</w:t>
      </w:r>
      <w:r>
        <w:tab/>
      </w:r>
      <w:r>
        <w:t xml:space="preserve">Structuring the database</w:t>
      </w:r>
    </w:p>
    <w:p>
      <w:pPr>
        <w:pStyle w:val="FirstParagraph"/>
      </w:pPr>
      <w:r>
        <w:t xml:space="preserve">Before you can begin to construct your database, you will need to collect the following pieces of information.</w:t>
      </w:r>
    </w:p>
    <w:p>
      <w:pPr>
        <w:numPr>
          <w:ilvl w:val="0"/>
          <w:numId w:val="1155"/>
        </w:numPr>
        <w:pStyle w:val="Compact"/>
      </w:pPr>
      <w:r>
        <w:t xml:space="preserve">Who are your entities/units of analysis?</w:t>
      </w:r>
    </w:p>
    <w:p>
      <w:pPr>
        <w:numPr>
          <w:ilvl w:val="1"/>
          <w:numId w:val="1156"/>
        </w:numPr>
        <w:pStyle w:val="Compact"/>
      </w:pPr>
      <w:r>
        <w:t xml:space="preserve">students, teachers, classrooms, districts, and so on</w:t>
      </w:r>
    </w:p>
    <w:p>
      <w:pPr>
        <w:numPr>
          <w:ilvl w:val="0"/>
          <w:numId w:val="1155"/>
        </w:numPr>
        <w:pStyle w:val="Compact"/>
      </w:pPr>
      <w:r>
        <w:t xml:space="preserve">Are you collecting data longitudinally, across more than one wave?</w:t>
      </w:r>
    </w:p>
    <w:p>
      <w:pPr>
        <w:numPr>
          <w:ilvl w:val="0"/>
          <w:numId w:val="1155"/>
        </w:numPr>
        <w:pStyle w:val="Compact"/>
      </w:pPr>
      <w:r>
        <w:t xml:space="preserve">Do you want to use a relational table structure?</w:t>
      </w:r>
    </w:p>
    <w:p>
      <w:pPr>
        <w:numPr>
          <w:ilvl w:val="1"/>
          <w:numId w:val="1157"/>
        </w:numPr>
        <w:pStyle w:val="Compact"/>
      </w:pPr>
      <w:r>
        <w:t xml:space="preserve">If yes, how do you want to construct and relate your tables?</w:t>
      </w:r>
    </w:p>
    <w:p>
      <w:pPr>
        <w:numPr>
          <w:ilvl w:val="0"/>
          <w:numId w:val="1155"/>
        </w:numPr>
        <w:pStyle w:val="Compact"/>
      </w:pPr>
      <w:r>
        <w:t xml:space="preserve">What fields do you want to include in each table?</w:t>
      </w:r>
    </w:p>
    <w:p>
      <w:pPr>
        <w:pStyle w:val="FirstParagraph"/>
      </w:pPr>
      <w:r>
        <w:t xml:space="preserve">Once you collect those pieces of information, you can begin to design your database structure. It can be helpful to visualize your database model during this process. In Figure</w:t>
      </w:r>
      <w:r>
        <w:t xml:space="preserve"> </w:t>
      </w:r>
      <w:r>
        <w:t xml:space="preserve">9.4</w:t>
      </w:r>
      <w:r>
        <w:t xml:space="preserve"> </w:t>
      </w:r>
      <w:r>
        <w:t xml:space="preserve">I am designing a database structure for a scenario where I will be collecting information from teachers in schools, over two waves of data collection.</w:t>
      </w:r>
    </w:p>
    <w:p>
      <w:pPr>
        <w:pStyle w:val="CaptionedFigure"/>
      </w:pPr>
      <w:r>
        <w:drawing>
          <wp:inline>
            <wp:extent cx="5334000" cy="4351233"/>
            <wp:effectExtent b="0" l="0" r="0" t="0"/>
            <wp:docPr descr="Figure 9.4: Example participant database model" title="" id="389" name="Picture"/>
            <a:graphic>
              <a:graphicData uri="http://schemas.openxmlformats.org/drawingml/2006/picture">
                <pic:pic>
                  <pic:nvPicPr>
                    <pic:cNvPr descr="img/participant3.PNG" id="390" name="Picture"/>
                    <pic:cNvPicPr>
                      <a:picLocks noChangeArrowheads="1" noChangeAspect="1"/>
                    </pic:cNvPicPr>
                  </pic:nvPicPr>
                  <pic:blipFill>
                    <a:blip r:embed="rId388"/>
                    <a:stretch>
                      <a:fillRect/>
                    </a:stretch>
                  </pic:blipFill>
                  <pic:spPr bwMode="auto">
                    <a:xfrm>
                      <a:off x="0" y="0"/>
                      <a:ext cx="5334000" cy="4351233"/>
                    </a:xfrm>
                    <a:prstGeom prst="rect">
                      <a:avLst/>
                    </a:prstGeom>
                    <a:noFill/>
                    <a:ln w="9525">
                      <a:noFill/>
                      <a:headEnd/>
                      <a:tailEnd/>
                    </a:ln>
                  </pic:spPr>
                </pic:pic>
              </a:graphicData>
            </a:graphic>
          </wp:inline>
        </w:drawing>
      </w:r>
    </w:p>
    <w:p>
      <w:pPr>
        <w:pStyle w:val="ImageCaption"/>
      </w:pPr>
      <w:r>
        <w:t xml:space="preserve">Figure 9.4: Example participant database model</w:t>
      </w:r>
    </w:p>
    <w:p>
      <w:pPr>
        <w:pStyle w:val="BodyText"/>
      </w:pPr>
      <w:r>
        <w:t xml:space="preserve">I have designed this database model in this way:</w:t>
      </w:r>
    </w:p>
    <w:p>
      <w:pPr>
        <w:numPr>
          <w:ilvl w:val="0"/>
          <w:numId w:val="1158"/>
        </w:numPr>
        <w:pStyle w:val="Compact"/>
      </w:pPr>
      <w:r>
        <w:t xml:space="preserve">I have four tables total</w:t>
      </w:r>
    </w:p>
    <w:p>
      <w:pPr>
        <w:numPr>
          <w:ilvl w:val="1"/>
          <w:numId w:val="1159"/>
        </w:numPr>
        <w:pStyle w:val="Compact"/>
      </w:pPr>
      <w:r>
        <w:t xml:space="preserve">Two tables have information that should be constant based on my project assumptions (name, email, consent, one time payments sent out, one time documents received)</w:t>
      </w:r>
    </w:p>
    <w:p>
      <w:pPr>
        <w:numPr>
          <w:ilvl w:val="2"/>
          <w:numId w:val="1160"/>
        </w:numPr>
        <w:pStyle w:val="Compact"/>
      </w:pPr>
      <w:r>
        <w:t xml:space="preserve">If at any time this constant information changes (e.g., new last name, new principal), I would update that information in the appropriate table and make a note of when and why the change occurred in my</w:t>
      </w:r>
      <w:r>
        <w:t xml:space="preserve"> </w:t>
      </w:r>
      <w:r>
        <w:t xml:space="preserve">“</w:t>
      </w:r>
      <w:r>
        <w:t xml:space="preserve">notes</w:t>
      </w:r>
      <w:r>
        <w:t xml:space="preserve">”</w:t>
      </w:r>
      <w:r>
        <w:t xml:space="preserve"> </w:t>
      </w:r>
      <w:r>
        <w:t xml:space="preserve">field</w:t>
      </w:r>
    </w:p>
    <w:p>
      <w:pPr>
        <w:numPr>
          <w:ilvl w:val="1"/>
          <w:numId w:val="1159"/>
        </w:numPr>
        <w:pStyle w:val="Compact"/>
      </w:pPr>
      <w:r>
        <w:t xml:space="preserve">Two tables are for my longitudinal information</w:t>
      </w:r>
    </w:p>
    <w:p>
      <w:pPr>
        <w:numPr>
          <w:ilvl w:val="2"/>
          <w:numId w:val="1161"/>
        </w:numPr>
        <w:pStyle w:val="Compact"/>
      </w:pPr>
      <w:r>
        <w:t xml:space="preserve">This is where I will track my data collection activities each wave, as well as any information that may change each wave, again based on the assumptions of my project. In this example, I assume that grade level may change, maybe because my data collection waves occur across school years and teachers may move around. I also assume that a participant can drop at any point in the study and I want to track their status each wave.</w:t>
      </w:r>
    </w:p>
    <w:p>
      <w:pPr>
        <w:numPr>
          <w:ilvl w:val="0"/>
          <w:numId w:val="1158"/>
        </w:numPr>
        <w:pStyle w:val="Compact"/>
      </w:pPr>
      <w:r>
        <w:t xml:space="preserve">I have connected my tables through primary and foreign keys (</w:t>
      </w:r>
      <w:r>
        <w:t xml:space="preserve">“</w:t>
      </w:r>
      <w:r>
        <w:t xml:space="preserve">tch_id</w:t>
      </w:r>
      <w:r>
        <w:t xml:space="preserve">”</w:t>
      </w:r>
      <w:r>
        <w:t xml:space="preserve"> </w:t>
      </w:r>
      <w:r>
        <w:t xml:space="preserve">and</w:t>
      </w:r>
      <w:r>
        <w:t xml:space="preserve"> </w:t>
      </w:r>
      <w:r>
        <w:t xml:space="preserve">“</w:t>
      </w:r>
      <w:r>
        <w:t xml:space="preserve">sch_id</w:t>
      </w:r>
      <w:r>
        <w:t xml:space="preserve">”</w:t>
      </w:r>
      <w:r>
        <w:t xml:space="preserve">)</w:t>
      </w:r>
    </w:p>
    <w:p>
      <w:pPr>
        <w:pStyle w:val="FirstParagraph"/>
      </w:pPr>
      <w:r>
        <w:t xml:space="preserve">The model above is absolutely not the only way you can design your tables. There may be more efficient or more appropriate ways to design this database, but again as long as you are not duplicating information, build what works for you. As an example of a potentially more efficient way to structure this database, I could combine all waves of data collection into one table and create a concatenated primary key that uses both</w:t>
      </w:r>
      <w:r>
        <w:t xml:space="preserve"> </w:t>
      </w:r>
      <w:r>
        <w:t xml:space="preserve">“</w:t>
      </w:r>
      <w:r>
        <w:t xml:space="preserve">tch_id</w:t>
      </w:r>
      <w:r>
        <w:t xml:space="preserve">”</w:t>
      </w:r>
      <w:r>
        <w:t xml:space="preserve"> </w:t>
      </w:r>
      <w:r>
        <w:t xml:space="preserve">and</w:t>
      </w:r>
      <w:r>
        <w:t xml:space="preserve"> </w:t>
      </w:r>
      <w:r>
        <w:t xml:space="preserve">“</w:t>
      </w:r>
      <w:r>
        <w:t xml:space="preserve">wave</w:t>
      </w:r>
      <w:r>
        <w:t xml:space="preserve">”</w:t>
      </w:r>
      <w:r>
        <w:t xml:space="preserve"> </w:t>
      </w:r>
      <w:r>
        <w:t xml:space="preserve">to uniquely identify rows since</w:t>
      </w:r>
      <w:r>
        <w:t xml:space="preserve"> </w:t>
      </w:r>
      <w:r>
        <w:t xml:space="preserve">“</w:t>
      </w:r>
      <w:r>
        <w:t xml:space="preserve">tch_id</w:t>
      </w:r>
      <w:r>
        <w:t xml:space="preserve">”</w:t>
      </w:r>
      <w:r>
        <w:t xml:space="preserve"> </w:t>
      </w:r>
      <w:r>
        <w:t xml:space="preserve">would now be duplicated for each wave of data collection (Figure</w:t>
      </w:r>
      <w:r>
        <w:t xml:space="preserve"> </w:t>
      </w:r>
      <w:r>
        <w:t xml:space="preserve">9.5</w:t>
      </w:r>
      <w:r>
        <w:t xml:space="preserve">).</w:t>
      </w:r>
    </w:p>
    <w:p>
      <w:pPr>
        <w:pStyle w:val="CaptionedFigure"/>
      </w:pPr>
      <w:r>
        <w:drawing>
          <wp:inline>
            <wp:extent cx="5334000" cy="4507809"/>
            <wp:effectExtent b="0" l="0" r="0" t="0"/>
            <wp:docPr descr="Figure 9.5: Example participant database model" title="" id="392" name="Picture"/>
            <a:graphic>
              <a:graphicData uri="http://schemas.openxmlformats.org/drawingml/2006/picture">
                <pic:pic>
                  <pic:nvPicPr>
                    <pic:cNvPr descr="img/participant4.PNG" id="393" name="Picture"/>
                    <pic:cNvPicPr>
                      <a:picLocks noChangeArrowheads="1" noChangeAspect="1"/>
                    </pic:cNvPicPr>
                  </pic:nvPicPr>
                  <pic:blipFill>
                    <a:blip r:embed="rId391"/>
                    <a:stretch>
                      <a:fillRect/>
                    </a:stretch>
                  </pic:blipFill>
                  <pic:spPr bwMode="auto">
                    <a:xfrm>
                      <a:off x="0" y="0"/>
                      <a:ext cx="5334000" cy="4507809"/>
                    </a:xfrm>
                    <a:prstGeom prst="rect">
                      <a:avLst/>
                    </a:prstGeom>
                    <a:noFill/>
                    <a:ln w="9525">
                      <a:noFill/>
                      <a:headEnd/>
                      <a:tailEnd/>
                    </a:ln>
                  </pic:spPr>
                </pic:pic>
              </a:graphicData>
            </a:graphic>
          </wp:inline>
        </w:drawing>
      </w:r>
    </w:p>
    <w:p>
      <w:pPr>
        <w:pStyle w:val="ImageCaption"/>
      </w:pPr>
      <w:r>
        <w:t xml:space="preserve">Figure 9.5: Example participant database model</w:t>
      </w:r>
    </w:p>
    <w:p>
      <w:pPr>
        <w:pStyle w:val="BodyText"/>
      </w:pPr>
      <w:r>
        <w:t xml:space="preserve">While these examples are for a fairly simple scenario, you can hopefully see how you might extrapolate this model to more entities and more waves of data collection, as well as how you might modify it to better meet the needs of your specific project.</w:t>
      </w:r>
    </w:p>
    <w:p>
      <w:pPr>
        <w:pStyle w:val="BlockText"/>
      </w:pPr>
      <w:r>
        <w:rPr>
          <w:bCs/>
          <w:b/>
        </w:rPr>
        <w:t xml:space="preserve">Note</w:t>
      </w:r>
      <w:r>
        <w:t xml:space="preserve"> </w:t>
      </w:r>
      <w:r>
        <w:t xml:space="preserve"> </w:t>
      </w:r>
      <w:r>
        <w:t xml:space="preserve"> </w:t>
      </w:r>
      <w:r>
        <w:t xml:space="preserve">If your study involves anonymous data collection, you will no longer be able to track data associated with any specific individual. However, it is still helpful to create some form of a tracking system. Creating a simplified database, with tables based on your sites for instance (school table, district table) allows you to still track your project management and data collection efforts (e.g., number of student surveys received per school per wave, MOU received).</w:t>
      </w:r>
    </w:p>
    <w:bookmarkEnd w:id="394"/>
    <w:bookmarkStart w:id="396" w:name="choosing-fields"/>
    <w:p>
      <w:pPr>
        <w:pStyle w:val="Heading3"/>
      </w:pPr>
      <w:r>
        <w:rPr>
          <w:rStyle w:val="SectionNumber"/>
        </w:rPr>
        <w:t xml:space="preserve">9.2.3</w:t>
      </w:r>
      <w:r>
        <w:tab/>
      </w:r>
      <w:r>
        <w:t xml:space="preserve">Choosing fields</w:t>
      </w:r>
    </w:p>
    <w:p>
      <w:pPr>
        <w:pStyle w:val="FirstParagraph"/>
      </w:pPr>
      <w:r>
        <w:t xml:space="preserve">As you design your database model, you will also need to choose what fields to include in each table. The fields you choose to include will be dependent on your particular study design. While your participant tracking database may be the same database you enter all of your study data, for the purposes of this chapter we are only considering fields that are relevant for project coordination and participant de-identification. We are not concerned with fields that are collected as part of your data collection measures (i.e. survey items). You can consider your participant tracking database as an</w:t>
      </w:r>
      <w:r>
        <w:t xml:space="preserve"> </w:t>
      </w:r>
      <w:r>
        <w:rPr>
          <w:bCs/>
          <w:b/>
        </w:rPr>
        <w:t xml:space="preserve">internal</w:t>
      </w:r>
      <w:r>
        <w:t xml:space="preserve"> </w:t>
      </w:r>
      <w:r>
        <w:t xml:space="preserve">database that is only used for coordination, summary, and linking purposes. This is not a database where you would export data for external data sharing.</w:t>
      </w:r>
    </w:p>
    <w:p>
      <w:pPr>
        <w:pStyle w:val="BodyText"/>
      </w:pPr>
      <w:r>
        <w:t xml:space="preserve">Below are ideas of field you may consider adding to your database. Depeding on the design and assumptions of your study, some of these may be collected once, others may be collected more than once, longitudinally.</w:t>
      </w:r>
    </w:p>
    <w:p>
      <w:pPr>
        <w:pStyle w:val="BodyText"/>
      </w:pPr>
      <w:r>
        <w:rPr>
          <w:bCs/>
          <w:b/>
        </w:rPr>
        <w:t xml:space="preserve">Ideas of fields to collect:</w:t>
      </w:r>
    </w:p>
    <w:p>
      <w:pPr>
        <w:numPr>
          <w:ilvl w:val="0"/>
          <w:numId w:val="1162"/>
        </w:numPr>
        <w:pStyle w:val="Compact"/>
      </w:pPr>
      <w:r>
        <w:t xml:space="preserve">Study IDs (primary and foreign keys for a relational database)</w:t>
      </w:r>
    </w:p>
    <w:p>
      <w:pPr>
        <w:numPr>
          <w:ilvl w:val="0"/>
          <w:numId w:val="1162"/>
        </w:numPr>
        <w:pStyle w:val="Compact"/>
      </w:pPr>
      <w:r>
        <w:t xml:space="preserve">Names (participants and sites)</w:t>
      </w:r>
    </w:p>
    <w:p>
      <w:pPr>
        <w:numPr>
          <w:ilvl w:val="0"/>
          <w:numId w:val="1162"/>
        </w:numPr>
        <w:pStyle w:val="Compact"/>
      </w:pPr>
      <w:r>
        <w:t xml:space="preserve">Contact information</w:t>
      </w:r>
    </w:p>
    <w:p>
      <w:pPr>
        <w:numPr>
          <w:ilvl w:val="0"/>
          <w:numId w:val="1162"/>
        </w:numPr>
        <w:pStyle w:val="Compact"/>
      </w:pPr>
      <w:r>
        <w:t xml:space="preserve">Information relevant to project coordination (grade level, class periods, block schedules)</w:t>
      </w:r>
    </w:p>
    <w:p>
      <w:pPr>
        <w:numPr>
          <w:ilvl w:val="0"/>
          <w:numId w:val="1162"/>
        </w:numPr>
        <w:pStyle w:val="Compact"/>
      </w:pPr>
      <w:r>
        <w:t xml:space="preserve">Other necessary linking identifiers (double IDs, district/school IDs)</w:t>
      </w:r>
    </w:p>
    <w:p>
      <w:pPr>
        <w:numPr>
          <w:ilvl w:val="0"/>
          <w:numId w:val="1162"/>
        </w:numPr>
        <w:pStyle w:val="Compact"/>
      </w:pPr>
      <w:r>
        <w:t xml:space="preserve">Information helpful for data collection scheduling (blocks, class times)</w:t>
      </w:r>
    </w:p>
    <w:p>
      <w:pPr>
        <w:numPr>
          <w:ilvl w:val="0"/>
          <w:numId w:val="1162"/>
        </w:numPr>
        <w:pStyle w:val="Compact"/>
      </w:pPr>
      <w:r>
        <w:t xml:space="preserve">Consent/assent status</w:t>
      </w:r>
    </w:p>
    <w:p>
      <w:pPr>
        <w:numPr>
          <w:ilvl w:val="0"/>
          <w:numId w:val="1162"/>
        </w:numPr>
        <w:pStyle w:val="Compact"/>
      </w:pPr>
      <w:r>
        <w:t xml:space="preserve">Randomization (treatment/control)</w:t>
      </w:r>
    </w:p>
    <w:p>
      <w:pPr>
        <w:numPr>
          <w:ilvl w:val="0"/>
          <w:numId w:val="1162"/>
        </w:numPr>
        <w:pStyle w:val="Compact"/>
      </w:pPr>
      <w:r>
        <w:t xml:space="preserve">Grouping information (cohort)</w:t>
      </w:r>
    </w:p>
    <w:p>
      <w:pPr>
        <w:numPr>
          <w:ilvl w:val="0"/>
          <w:numId w:val="1162"/>
        </w:numPr>
        <w:pStyle w:val="Compact"/>
      </w:pPr>
      <w:r>
        <w:t xml:space="preserve">Summary information for rates (# of consents sent out, # of students in class)</w:t>
      </w:r>
    </w:p>
    <w:p>
      <w:pPr>
        <w:numPr>
          <w:ilvl w:val="0"/>
          <w:numId w:val="1162"/>
        </w:numPr>
        <w:pStyle w:val="Compact"/>
      </w:pPr>
      <w:r>
        <w:t xml:space="preserve">Administrative data status (W-9 received, MOUs received)</w:t>
      </w:r>
    </w:p>
    <w:p>
      <w:pPr>
        <w:numPr>
          <w:ilvl w:val="0"/>
          <w:numId w:val="1162"/>
        </w:numPr>
        <w:pStyle w:val="Compact"/>
      </w:pPr>
      <w:r>
        <w:t xml:space="preserve">Movement/drop out status</w:t>
      </w:r>
    </w:p>
    <w:p>
      <w:pPr>
        <w:numPr>
          <w:ilvl w:val="0"/>
          <w:numId w:val="1162"/>
        </w:numPr>
        <w:pStyle w:val="Compact"/>
      </w:pPr>
      <w:r>
        <w:t xml:space="preserve">Data collection status (unique fields for each instrument)</w:t>
      </w:r>
    </w:p>
    <w:p>
      <w:pPr>
        <w:numPr>
          <w:ilvl w:val="0"/>
          <w:numId w:val="1162"/>
        </w:numPr>
        <w:pStyle w:val="Compact"/>
      </w:pPr>
      <w:r>
        <w:t xml:space="preserve">Incentive status (gift cards sent out)</w:t>
      </w:r>
    </w:p>
    <w:p>
      <w:pPr>
        <w:numPr>
          <w:ilvl w:val="0"/>
          <w:numId w:val="1162"/>
        </w:numPr>
        <w:pStyle w:val="Compact"/>
      </w:pPr>
      <w:r>
        <w:t xml:space="preserve">Notes</w:t>
      </w:r>
    </w:p>
    <w:p>
      <w:pPr>
        <w:numPr>
          <w:ilvl w:val="1"/>
          <w:numId w:val="1163"/>
        </w:numPr>
        <w:pStyle w:val="Compact"/>
      </w:pPr>
      <w:r>
        <w:t xml:space="preserve">Reasons for changes (for example changes in name, email)</w:t>
      </w:r>
    </w:p>
    <w:p>
      <w:pPr>
        <w:numPr>
          <w:ilvl w:val="1"/>
          <w:numId w:val="1163"/>
        </w:numPr>
        <w:pStyle w:val="Compact"/>
      </w:pPr>
      <w:r>
        <w:t xml:space="preserve">Reasons for movement/drop out</w:t>
      </w:r>
    </w:p>
    <w:p>
      <w:pPr>
        <w:numPr>
          <w:ilvl w:val="1"/>
          <w:numId w:val="1163"/>
        </w:numPr>
        <w:pStyle w:val="Compact"/>
      </w:pPr>
      <w:r>
        <w:t xml:space="preserve">Communication with participants</w:t>
      </w:r>
    </w:p>
    <w:p>
      <w:pPr>
        <w:numPr>
          <w:ilvl w:val="1"/>
          <w:numId w:val="1163"/>
        </w:numPr>
        <w:pStyle w:val="Compact"/>
      </w:pPr>
      <w:r>
        <w:t xml:space="preserve">Reasons for missing data</w:t>
      </w:r>
    </w:p>
    <w:p>
      <w:pPr>
        <w:numPr>
          <w:ilvl w:val="1"/>
          <w:numId w:val="1163"/>
        </w:numPr>
        <w:pStyle w:val="Compact"/>
      </w:pPr>
      <w:r>
        <w:t xml:space="preserve">Errors in data</w:t>
      </w:r>
    </w:p>
    <w:bookmarkStart w:id="395" w:name="structuring-fields"/>
    <w:p>
      <w:pPr>
        <w:pStyle w:val="Heading4"/>
      </w:pPr>
      <w:r>
        <w:rPr>
          <w:rStyle w:val="SectionNumber"/>
        </w:rPr>
        <w:t xml:space="preserve">9.2.3.1</w:t>
      </w:r>
      <w:r>
        <w:tab/>
      </w:r>
      <w:r>
        <w:t xml:space="preserve">Structuring fields</w:t>
      </w:r>
    </w:p>
    <w:p>
      <w:pPr>
        <w:pStyle w:val="FirstParagraph"/>
      </w:pPr>
      <w:r>
        <w:t xml:space="preserve">As you choose your fields you also need to make some decisions about how you will structure those fields.</w:t>
      </w:r>
    </w:p>
    <w:p>
      <w:pPr>
        <w:numPr>
          <w:ilvl w:val="0"/>
          <w:numId w:val="1164"/>
        </w:numPr>
        <w:pStyle w:val="Compact"/>
      </w:pPr>
      <w:r>
        <w:t xml:space="preserve">Set data types for your fields (e.g., character, integer, date)</w:t>
      </w:r>
    </w:p>
    <w:p>
      <w:pPr>
        <w:numPr>
          <w:ilvl w:val="1"/>
          <w:numId w:val="1165"/>
        </w:numPr>
        <w:pStyle w:val="Compact"/>
      </w:pPr>
      <w:r>
        <w:t xml:space="preserve">Restrict entry values to only allowable data types to reduce errors</w:t>
      </w:r>
    </w:p>
    <w:p>
      <w:pPr>
        <w:numPr>
          <w:ilvl w:val="0"/>
          <w:numId w:val="1164"/>
        </w:numPr>
        <w:pStyle w:val="Compact"/>
      </w:pPr>
      <w:r>
        <w:t xml:space="preserve">Set allowable values and ranges</w:t>
      </w:r>
    </w:p>
    <w:p>
      <w:pPr>
        <w:numPr>
          <w:ilvl w:val="1"/>
          <w:numId w:val="1166"/>
        </w:numPr>
        <w:pStyle w:val="Compact"/>
      </w:pPr>
      <w:r>
        <w:t xml:space="preserve">For example, a categorical status field may only allow</w:t>
      </w:r>
      <w:r>
        <w:t xml:space="preserve"> </w:t>
      </w:r>
      <w:r>
        <w:t xml:space="preserve">“</w:t>
      </w:r>
      <w:r>
        <w:t xml:space="preserve">complete</w:t>
      </w:r>
      <w:r>
        <w:t xml:space="preserve">”</w:t>
      </w:r>
      <w:r>
        <w:t xml:space="preserve">,</w:t>
      </w:r>
      <w:r>
        <w:t xml:space="preserve"> </w:t>
      </w:r>
      <w:r>
        <w:t xml:space="preserve">“</w:t>
      </w:r>
      <w:r>
        <w:t xml:space="preserve">partially complete</w:t>
      </w:r>
      <w:r>
        <w:t xml:space="preserve">”</w:t>
      </w:r>
      <w:r>
        <w:t xml:space="preserve"> </w:t>
      </w:r>
      <w:r>
        <w:t xml:space="preserve">or</w:t>
      </w:r>
      <w:r>
        <w:t xml:space="preserve"> </w:t>
      </w:r>
      <w:r>
        <w:t xml:space="preserve">“</w:t>
      </w:r>
      <w:r>
        <w:t xml:space="preserve">incomplete</w:t>
      </w:r>
      <w:r>
        <w:t xml:space="preserve">”</w:t>
      </w:r>
    </w:p>
    <w:p>
      <w:pPr>
        <w:numPr>
          <w:ilvl w:val="0"/>
          <w:numId w:val="1164"/>
        </w:numPr>
        <w:pStyle w:val="Compact"/>
      </w:pPr>
      <w:r>
        <w:t xml:space="preserve">Do not lump separate pieces of information together in a field</w:t>
      </w:r>
    </w:p>
    <w:p>
      <w:pPr>
        <w:numPr>
          <w:ilvl w:val="1"/>
          <w:numId w:val="1167"/>
        </w:numPr>
        <w:pStyle w:val="Compact"/>
      </w:pPr>
      <w:r>
        <w:t xml:space="preserve">For example separate out first name and last name into two fields</w:t>
      </w:r>
    </w:p>
    <w:p>
      <w:pPr>
        <w:numPr>
          <w:ilvl w:val="0"/>
          <w:numId w:val="1164"/>
        </w:numPr>
        <w:pStyle w:val="Compact"/>
      </w:pPr>
      <w:r>
        <w:t xml:space="preserve">Name your fields according to the variable naming rules we discussed in Chapter</w:t>
      </w:r>
      <w:r>
        <w:t xml:space="preserve"> </w:t>
      </w:r>
      <w:r>
        <w:t xml:space="preserve">8</w:t>
      </w:r>
    </w:p>
    <w:bookmarkEnd w:id="395"/>
    <w:bookmarkEnd w:id="396"/>
    <w:bookmarkStart w:id="397" w:name="choosing-a-tool"/>
    <w:p>
      <w:pPr>
        <w:pStyle w:val="Heading3"/>
      </w:pPr>
      <w:r>
        <w:rPr>
          <w:rStyle w:val="SectionNumber"/>
        </w:rPr>
        <w:t xml:space="preserve">9.2.4</w:t>
      </w:r>
      <w:r>
        <w:tab/>
      </w:r>
      <w:r>
        <w:t xml:space="preserve">Choosing a tool</w:t>
      </w:r>
    </w:p>
    <w:p>
      <w:pPr>
        <w:pStyle w:val="FirstParagraph"/>
      </w:pPr>
      <w:r>
        <w:t xml:space="preserve">There are many criteria to consider when choosing a tool to build your database in.</w:t>
      </w:r>
    </w:p>
    <w:p>
      <w:pPr>
        <w:numPr>
          <w:ilvl w:val="0"/>
          <w:numId w:val="1168"/>
        </w:numPr>
        <w:pStyle w:val="Compact"/>
      </w:pPr>
      <w:r>
        <w:t xml:space="preserve">Choose a tool that is customizable to your needs</w:t>
      </w:r>
    </w:p>
    <w:p>
      <w:pPr>
        <w:numPr>
          <w:ilvl w:val="1"/>
          <w:numId w:val="1169"/>
        </w:numPr>
        <w:pStyle w:val="Compact"/>
      </w:pPr>
      <w:r>
        <w:t xml:space="preserve">Can you build a relational table structure?</w:t>
      </w:r>
    </w:p>
    <w:p>
      <w:pPr>
        <w:numPr>
          <w:ilvl w:val="1"/>
          <w:numId w:val="1169"/>
        </w:numPr>
        <w:pStyle w:val="Compact"/>
      </w:pPr>
      <w:r>
        <w:t xml:space="preserve">Can you export files? Can we connect to the database via application programming interfaces (APIs)?</w:t>
      </w:r>
    </w:p>
    <w:p>
      <w:pPr>
        <w:numPr>
          <w:ilvl w:val="1"/>
          <w:numId w:val="1169"/>
        </w:numPr>
        <w:pStyle w:val="Compact"/>
      </w:pPr>
      <w:r>
        <w:t xml:space="preserve">Can you query data?</w:t>
      </w:r>
    </w:p>
    <w:p>
      <w:pPr>
        <w:numPr>
          <w:ilvl w:val="0"/>
          <w:numId w:val="1168"/>
        </w:numPr>
        <w:pStyle w:val="Compact"/>
      </w:pPr>
      <w:r>
        <w:t xml:space="preserve">Choose a tool that is user-friendly</w:t>
      </w:r>
    </w:p>
    <w:p>
      <w:pPr>
        <w:numPr>
          <w:ilvl w:val="1"/>
          <w:numId w:val="1170"/>
        </w:numPr>
        <w:pStyle w:val="Compact"/>
      </w:pPr>
      <w:r>
        <w:t xml:space="preserve">You don’t want a tool with a steep learning curve for users.</w:t>
      </w:r>
    </w:p>
    <w:p>
      <w:pPr>
        <w:numPr>
          <w:ilvl w:val="0"/>
          <w:numId w:val="1168"/>
        </w:numPr>
        <w:pStyle w:val="Compact"/>
      </w:pPr>
      <w:r>
        <w:t xml:space="preserve">If you are running a project across multiple sites, consider the accessibility of the tool</w:t>
      </w:r>
    </w:p>
    <w:p>
      <w:pPr>
        <w:numPr>
          <w:ilvl w:val="1"/>
          <w:numId w:val="1171"/>
        </w:numPr>
        <w:pStyle w:val="Compact"/>
      </w:pPr>
      <w:r>
        <w:t xml:space="preserve">For example, you may want a tool that is cloud-based so everyone can access it</w:t>
      </w:r>
    </w:p>
    <w:p>
      <w:pPr>
        <w:numPr>
          <w:ilvl w:val="1"/>
          <w:numId w:val="1171"/>
        </w:numPr>
        <w:pStyle w:val="Compact"/>
      </w:pPr>
      <w:r>
        <w:t xml:space="preserve">You may also want to make sure multiple users can access it at the same time</w:t>
      </w:r>
    </w:p>
    <w:p>
      <w:pPr>
        <w:numPr>
          <w:ilvl w:val="0"/>
          <w:numId w:val="1168"/>
        </w:numPr>
        <w:pStyle w:val="Compact"/>
      </w:pPr>
      <w:r>
        <w:t xml:space="preserve">Choose a tool that is interoperable</w:t>
      </w:r>
    </w:p>
    <w:p>
      <w:pPr>
        <w:numPr>
          <w:ilvl w:val="1"/>
          <w:numId w:val="1172"/>
        </w:numPr>
        <w:pStyle w:val="Compact"/>
      </w:pPr>
      <w:r>
        <w:t xml:space="preserve">For instance, some tools may have difficulties running on certain operating systems</w:t>
      </w:r>
    </w:p>
    <w:p>
      <w:pPr>
        <w:numPr>
          <w:ilvl w:val="0"/>
          <w:numId w:val="1168"/>
        </w:numPr>
        <w:pStyle w:val="Compact"/>
      </w:pPr>
      <w:r>
        <w:t xml:space="preserve">Consider cost and licensing</w:t>
      </w:r>
    </w:p>
    <w:p>
      <w:pPr>
        <w:numPr>
          <w:ilvl w:val="1"/>
          <w:numId w:val="1173"/>
        </w:numPr>
        <w:pStyle w:val="Compact"/>
      </w:pPr>
      <w:r>
        <w:t xml:space="preserve">There are many free tools, but they may not provide all of the functionality you want</w:t>
      </w:r>
    </w:p>
    <w:p>
      <w:pPr>
        <w:numPr>
          <w:ilvl w:val="1"/>
          <w:numId w:val="1173"/>
        </w:numPr>
        <w:pStyle w:val="Compact"/>
      </w:pPr>
      <w:r>
        <w:t xml:space="preserve">What products do you already have access to? Your institution has a license for?</w:t>
      </w:r>
    </w:p>
    <w:p>
      <w:pPr>
        <w:numPr>
          <w:ilvl w:val="0"/>
          <w:numId w:val="1168"/>
        </w:numPr>
        <w:pStyle w:val="Compact"/>
      </w:pPr>
      <w:r>
        <w:t xml:space="preserve">Consider security</w:t>
      </w:r>
    </w:p>
    <w:p>
      <w:pPr>
        <w:numPr>
          <w:ilvl w:val="1"/>
          <w:numId w:val="1174"/>
        </w:numPr>
        <w:pStyle w:val="Compact"/>
      </w:pPr>
      <w:r>
        <w:t xml:space="preserve">Security in terms of participant confidentiality</w:t>
      </w:r>
    </w:p>
    <w:p>
      <w:pPr>
        <w:numPr>
          <w:ilvl w:val="2"/>
          <w:numId w:val="1175"/>
        </w:numPr>
        <w:pStyle w:val="Compact"/>
      </w:pPr>
      <w:r>
        <w:t xml:space="preserve">Does the tool meet HIPAA/FERPA requirements?</w:t>
      </w:r>
    </w:p>
    <w:p>
      <w:pPr>
        <w:numPr>
          <w:ilvl w:val="2"/>
          <w:numId w:val="1175"/>
        </w:numPr>
        <w:pStyle w:val="Compact"/>
      </w:pPr>
      <w:r>
        <w:t xml:space="preserve">Can we limit access to the entire database? To specific tables?</w:t>
      </w:r>
    </w:p>
    <w:p>
      <w:pPr>
        <w:numPr>
          <w:ilvl w:val="3"/>
          <w:numId w:val="1176"/>
        </w:numPr>
        <w:pStyle w:val="Compact"/>
      </w:pPr>
      <w:r>
        <w:t xml:space="preserve">Since this database contains PII you will want to place restrictions on who can access and enter data</w:t>
      </w:r>
    </w:p>
    <w:p>
      <w:pPr>
        <w:numPr>
          <w:ilvl w:val="1"/>
          <w:numId w:val="1174"/>
        </w:numPr>
        <w:pStyle w:val="Compact"/>
      </w:pPr>
      <w:r>
        <w:t xml:space="preserve">Protect data loss</w:t>
      </w:r>
    </w:p>
    <w:p>
      <w:pPr>
        <w:numPr>
          <w:ilvl w:val="2"/>
          <w:numId w:val="1177"/>
        </w:numPr>
        <w:pStyle w:val="Compact"/>
      </w:pPr>
      <w:r>
        <w:t xml:space="preserve">Can we backup the system?</w:t>
      </w:r>
    </w:p>
    <w:p>
      <w:pPr>
        <w:numPr>
          <w:ilvl w:val="2"/>
          <w:numId w:val="1177"/>
        </w:numPr>
        <w:pStyle w:val="Compact"/>
      </w:pPr>
      <w:r>
        <w:t xml:space="preserve">Can we protect against overwriting data?</w:t>
      </w:r>
    </w:p>
    <w:p>
      <w:pPr>
        <w:numPr>
          <w:ilvl w:val="2"/>
          <w:numId w:val="1177"/>
        </w:numPr>
        <w:pStyle w:val="Compact"/>
      </w:pPr>
      <w:r>
        <w:t xml:space="preserve">Can we keep versions of the database in case a mistake is ever made and we need to go back to an older version?</w:t>
      </w:r>
    </w:p>
    <w:p>
      <w:pPr>
        <w:numPr>
          <w:ilvl w:val="0"/>
          <w:numId w:val="1168"/>
        </w:numPr>
        <w:pStyle w:val="Compact"/>
      </w:pPr>
      <w:r>
        <w:t xml:space="preserve">Data quality protection</w:t>
      </w:r>
    </w:p>
    <w:p>
      <w:pPr>
        <w:numPr>
          <w:ilvl w:val="1"/>
          <w:numId w:val="1178"/>
        </w:numPr>
        <w:pStyle w:val="Compact"/>
      </w:pPr>
      <w:r>
        <w:t xml:space="preserve">Can we set up data quality constraints? For example, restrict input types/values</w:t>
      </w:r>
    </w:p>
    <w:p>
      <w:pPr>
        <w:pStyle w:val="FirstParagraph"/>
      </w:pPr>
      <w:r>
        <w:t xml:space="preserve">There are many tool options you can choose from. A sampling of those options are below. These tools represent a wide range from the criteria above. Take some time to review your options to see which one best meets your needs.</w:t>
      </w:r>
    </w:p>
    <w:p>
      <w:pPr>
        <w:numPr>
          <w:ilvl w:val="0"/>
          <w:numId w:val="1179"/>
        </w:numPr>
        <w:pStyle w:val="Compact"/>
      </w:pPr>
      <w:r>
        <w:t xml:space="preserve">Microsoft Access</w:t>
      </w:r>
    </w:p>
    <w:p>
      <w:pPr>
        <w:numPr>
          <w:ilvl w:val="0"/>
          <w:numId w:val="1179"/>
        </w:numPr>
        <w:pStyle w:val="Compact"/>
      </w:pPr>
      <w:r>
        <w:t xml:space="preserve">Microsoft Excel</w:t>
      </w:r>
    </w:p>
    <w:p>
      <w:pPr>
        <w:numPr>
          <w:ilvl w:val="0"/>
          <w:numId w:val="1179"/>
        </w:numPr>
        <w:pStyle w:val="Compact"/>
      </w:pPr>
      <w:r>
        <w:t xml:space="preserve">QuickBase</w:t>
      </w:r>
    </w:p>
    <w:p>
      <w:pPr>
        <w:numPr>
          <w:ilvl w:val="0"/>
          <w:numId w:val="1179"/>
        </w:numPr>
        <w:pStyle w:val="Compact"/>
      </w:pPr>
      <w:r>
        <w:t xml:space="preserve">Airtable</w:t>
      </w:r>
    </w:p>
    <w:p>
      <w:pPr>
        <w:numPr>
          <w:ilvl w:val="0"/>
          <w:numId w:val="1179"/>
        </w:numPr>
        <w:pStyle w:val="Compact"/>
      </w:pPr>
      <w:r>
        <w:t xml:space="preserve">REDCap</w:t>
      </w:r>
    </w:p>
    <w:p>
      <w:pPr>
        <w:numPr>
          <w:ilvl w:val="0"/>
          <w:numId w:val="1179"/>
        </w:numPr>
        <w:pStyle w:val="Compact"/>
      </w:pPr>
      <w:r>
        <w:t xml:space="preserve">Claris FileMaker</w:t>
      </w:r>
    </w:p>
    <w:p>
      <w:pPr>
        <w:numPr>
          <w:ilvl w:val="0"/>
          <w:numId w:val="1179"/>
        </w:numPr>
        <w:pStyle w:val="Compact"/>
      </w:pPr>
      <w:r>
        <w:t xml:space="preserve">Google Sheets and Google Forms</w:t>
      </w:r>
    </w:p>
    <w:p>
      <w:pPr>
        <w:numPr>
          <w:ilvl w:val="0"/>
          <w:numId w:val="1179"/>
        </w:numPr>
        <w:pStyle w:val="Compact"/>
      </w:pPr>
      <w:r>
        <w:t xml:space="preserve">Forms that feed into a relational database, maintained using a SQL (structured query language) database engine such as SQLite, MySQL, or PostgreSQL</w:t>
      </w:r>
    </w:p>
    <w:bookmarkEnd w:id="397"/>
    <w:bookmarkEnd w:id="398"/>
    <w:bookmarkStart w:id="407" w:name="entering-data"/>
    <w:p>
      <w:pPr>
        <w:pStyle w:val="Heading2"/>
      </w:pPr>
      <w:r>
        <w:rPr>
          <w:rStyle w:val="SectionNumber"/>
        </w:rPr>
        <w:t xml:space="preserve">9.3</w:t>
      </w:r>
      <w:r>
        <w:tab/>
      </w:r>
      <w:r>
        <w:t xml:space="preserve">Entering data</w:t>
      </w:r>
    </w:p>
    <w:p>
      <w:pPr>
        <w:pStyle w:val="FirstParagraph"/>
      </w:pPr>
      <w:r>
        <w:t xml:space="preserve">Your last consideration when building your database will be, how do you want your team to enter data into your database? There are many ways to enter data including using SQL statements, importing data, integrating your data collection platform and your tracking database, or even scanning forms using QR codes. While some of those options may work great for your project, here we are going to talk about the two simplest and most common options: manually entering data into a spreadsheet view, and manually entering data into a form.</w:t>
      </w:r>
    </w:p>
    <w:bookmarkStart w:id="402" w:name="entering-data-in-a-spreadsheet-view"/>
    <w:p>
      <w:pPr>
        <w:pStyle w:val="Heading3"/>
      </w:pPr>
      <w:r>
        <w:rPr>
          <w:rStyle w:val="SectionNumber"/>
        </w:rPr>
        <w:t xml:space="preserve">9.3.1</w:t>
      </w:r>
      <w:r>
        <w:tab/>
      </w:r>
      <w:r>
        <w:t xml:space="preserve">Entering data in a spreadsheet view</w:t>
      </w:r>
    </w:p>
    <w:p>
      <w:pPr>
        <w:pStyle w:val="FirstParagraph"/>
      </w:pPr>
      <w:r>
        <w:t xml:space="preserve">Your first option is to manually enter data in a spreadsheet format for each participant in a row. This would be the most common (or only) option when using tools such as Microsoft Excel or Google Sheets. However, you can also use this option when entering into other database tools such as Microsoft Access. There are both pros and cons to this method.</w:t>
      </w:r>
    </w:p>
    <w:p>
      <w:pPr>
        <w:numPr>
          <w:ilvl w:val="0"/>
          <w:numId w:val="1180"/>
        </w:numPr>
        <w:pStyle w:val="Compact"/>
      </w:pPr>
      <w:r>
        <w:t xml:space="preserve">Pros: This is the quickest and easiest method. It also allows you to view all the data holistically.</w:t>
      </w:r>
    </w:p>
    <w:p>
      <w:pPr>
        <w:numPr>
          <w:ilvl w:val="0"/>
          <w:numId w:val="1180"/>
        </w:numPr>
        <w:pStyle w:val="Compact"/>
      </w:pPr>
      <w:r>
        <w:t xml:space="preserve">Cons: This method can lead to errors if someone enters data on the wrong row/record.</w:t>
      </w:r>
    </w:p>
    <w:p>
      <w:pPr>
        <w:pStyle w:val="CaptionedFigure"/>
      </w:pPr>
      <w:r>
        <w:drawing>
          <wp:inline>
            <wp:extent cx="5334000" cy="955983"/>
            <wp:effectExtent b="0" l="0" r="0" t="0"/>
            <wp:docPr descr="Figure 9.6: Example spreadsheet view data entry" title="" id="400" name="Picture"/>
            <a:graphic>
              <a:graphicData uri="http://schemas.openxmlformats.org/drawingml/2006/picture">
                <pic:pic>
                  <pic:nvPicPr>
                    <pic:cNvPr descr="img/datasheet-view-new.PNG" id="401" name="Picture"/>
                    <pic:cNvPicPr>
                      <a:picLocks noChangeArrowheads="1" noChangeAspect="1"/>
                    </pic:cNvPicPr>
                  </pic:nvPicPr>
                  <pic:blipFill>
                    <a:blip r:embed="rId399"/>
                    <a:stretch>
                      <a:fillRect/>
                    </a:stretch>
                  </pic:blipFill>
                  <pic:spPr bwMode="auto">
                    <a:xfrm>
                      <a:off x="0" y="0"/>
                      <a:ext cx="5334000" cy="955983"/>
                    </a:xfrm>
                    <a:prstGeom prst="rect">
                      <a:avLst/>
                    </a:prstGeom>
                    <a:noFill/>
                    <a:ln w="9525">
                      <a:noFill/>
                      <a:headEnd/>
                      <a:tailEnd/>
                    </a:ln>
                  </pic:spPr>
                </pic:pic>
              </a:graphicData>
            </a:graphic>
          </wp:inline>
        </w:drawing>
      </w:r>
    </w:p>
    <w:p>
      <w:pPr>
        <w:pStyle w:val="ImageCaption"/>
      </w:pPr>
      <w:r>
        <w:t xml:space="preserve">Figure 9.6: Example spreadsheet view data entry</w:t>
      </w:r>
    </w:p>
    <w:bookmarkEnd w:id="402"/>
    <w:bookmarkStart w:id="406" w:name="entering-data-in-a-form"/>
    <w:p>
      <w:pPr>
        <w:pStyle w:val="Heading3"/>
      </w:pPr>
      <w:r>
        <w:rPr>
          <w:rStyle w:val="SectionNumber"/>
        </w:rPr>
        <w:t xml:space="preserve">9.3.2</w:t>
      </w:r>
      <w:r>
        <w:tab/>
      </w:r>
      <w:r>
        <w:t xml:space="preserve">Entering data in a form</w:t>
      </w:r>
    </w:p>
    <w:p>
      <w:pPr>
        <w:pStyle w:val="FirstParagraph"/>
      </w:pPr>
      <w:r>
        <w:t xml:space="preserve">Your second option is to create a form that is linked to your tables. As you enter data in your forms, it automatically populates your tables with the information. This option is possible in many systems including Microsoft Access, RedCap, and even Google Forms which populates into Google Sheets.</w:t>
      </w:r>
    </w:p>
    <w:p>
      <w:pPr>
        <w:numPr>
          <w:ilvl w:val="0"/>
          <w:numId w:val="1181"/>
        </w:numPr>
        <w:pStyle w:val="Compact"/>
      </w:pPr>
      <w:r>
        <w:t xml:space="preserve">Pros: This method reduces data entry errors as you are only working on one participant form at a time</w:t>
      </w:r>
    </w:p>
    <w:p>
      <w:pPr>
        <w:numPr>
          <w:ilvl w:val="0"/>
          <w:numId w:val="1181"/>
        </w:numPr>
        <w:pStyle w:val="Compact"/>
      </w:pPr>
      <w:r>
        <w:t xml:space="preserve">Cons: Takes some time, and possibly expertise, to set up the data entry forms</w:t>
      </w:r>
    </w:p>
    <w:p>
      <w:pPr>
        <w:pStyle w:val="CaptionedFigure"/>
      </w:pPr>
      <w:r>
        <w:drawing>
          <wp:inline>
            <wp:extent cx="5334000" cy="3111997"/>
            <wp:effectExtent b="0" l="0" r="0" t="0"/>
            <wp:docPr descr="Figure 9.7: Example form view data entry" title="" id="404" name="Picture"/>
            <a:graphic>
              <a:graphicData uri="http://schemas.openxmlformats.org/drawingml/2006/picture">
                <pic:pic>
                  <pic:nvPicPr>
                    <pic:cNvPr descr="img/form-view-new.PNG" id="405" name="Picture"/>
                    <pic:cNvPicPr>
                      <a:picLocks noChangeArrowheads="1" noChangeAspect="1"/>
                    </pic:cNvPicPr>
                  </pic:nvPicPr>
                  <pic:blipFill>
                    <a:blip r:embed="rId403"/>
                    <a:stretch>
                      <a:fillRect/>
                    </a:stretch>
                  </pic:blipFill>
                  <pic:spPr bwMode="auto">
                    <a:xfrm>
                      <a:off x="0" y="0"/>
                      <a:ext cx="5334000" cy="3111997"/>
                    </a:xfrm>
                    <a:prstGeom prst="rect">
                      <a:avLst/>
                    </a:prstGeom>
                    <a:noFill/>
                    <a:ln w="9525">
                      <a:noFill/>
                      <a:headEnd/>
                      <a:tailEnd/>
                    </a:ln>
                  </pic:spPr>
                </pic:pic>
              </a:graphicData>
            </a:graphic>
          </wp:inline>
        </w:drawing>
      </w:r>
    </w:p>
    <w:p>
      <w:pPr>
        <w:pStyle w:val="ImageCaption"/>
      </w:pPr>
      <w:r>
        <w:t xml:space="preserve">Figure 9.7: Example form view data entry</w:t>
      </w:r>
    </w:p>
    <w:p>
      <w:pPr>
        <w:pStyle w:val="BlockText"/>
      </w:pPr>
      <w:r>
        <w:rPr>
          <w:bCs/>
          <w:b/>
        </w:rPr>
        <w:t xml:space="preserve">Note</w:t>
      </w:r>
      <w:r>
        <w:t xml:space="preserve"> </w:t>
      </w:r>
      <w:r>
        <w:t xml:space="preserve"> </w:t>
      </w:r>
      <w:r>
        <w:t xml:space="preserve"> </w:t>
      </w:r>
      <w:r>
        <w:t xml:space="preserve">If your participant tracking database is separate from your data collection tools, all information will need to be entered by your team using one of these ways. However, if your participant tracking tool is also your data collection/data capture tool (such as those who collect data using RedCap), fields such as data collection status (e.g., survey completed) may not need to be manually entered. Rather they may be automated to populate as</w:t>
      </w:r>
      <w:r>
        <w:t xml:space="preserve"> </w:t>
      </w:r>
      <w:r>
        <w:t xml:space="preserve">“</w:t>
      </w:r>
      <w:r>
        <w:t xml:space="preserve">complete</w:t>
      </w:r>
      <w:r>
        <w:t xml:space="preserve">”</w:t>
      </w:r>
      <w:r>
        <w:t xml:space="preserve"> </w:t>
      </w:r>
      <w:r>
        <w:t xml:space="preserve">once a participant submits their responses in the data collection tool.</w:t>
      </w:r>
    </w:p>
    <w:bookmarkEnd w:id="406"/>
    <w:bookmarkEnd w:id="407"/>
    <w:bookmarkStart w:id="411" w:name="ids"/>
    <w:p>
      <w:pPr>
        <w:pStyle w:val="Heading2"/>
      </w:pPr>
      <w:r>
        <w:rPr>
          <w:rStyle w:val="SectionNumber"/>
        </w:rPr>
        <w:t xml:space="preserve">9.4</w:t>
      </w:r>
      <w:r>
        <w:tab/>
      </w:r>
      <w:r>
        <w:t xml:space="preserve">Creating unique identifiers</w:t>
      </w:r>
    </w:p>
    <w:p>
      <w:pPr>
        <w:pStyle w:val="FirstParagraph"/>
      </w:pPr>
      <w:r>
        <w:t xml:space="preserve">Assigning unique identifiers (UIDs) is an important part of ensuring the protection of the privacy of human participants. Hopefully at this point your team has already created your study id schema and documented it in an</w:t>
      </w:r>
      <w:r>
        <w:t xml:space="preserve"> </w:t>
      </w:r>
      <w:hyperlink w:anchor="sop">
        <w:r>
          <w:rPr>
            <w:rStyle w:val="Hyperlink"/>
          </w:rPr>
          <w:t xml:space="preserve">SOP</w:t>
        </w:r>
      </w:hyperlink>
      <w:r>
        <w:t xml:space="preserve">. However, since this is the point when you will begin actually assigning those IDs, this is a good time to discuss best practices for creating your unique identifier schema. There are several rules to consider when assigning your identifiers.</w:t>
      </w:r>
    </w:p>
    <w:p>
      <w:pPr>
        <w:numPr>
          <w:ilvl w:val="0"/>
          <w:numId w:val="1182"/>
        </w:numPr>
        <w:pStyle w:val="Compact"/>
      </w:pPr>
      <w:r>
        <w:t xml:space="preserve">These identifiers are numeric or alphanumeric and typically range from 2-10 digits</w:t>
      </w:r>
    </w:p>
    <w:p>
      <w:pPr>
        <w:numPr>
          <w:ilvl w:val="0"/>
          <w:numId w:val="1182"/>
        </w:numPr>
        <w:pStyle w:val="Compact"/>
      </w:pPr>
      <w:r>
        <w:t xml:space="preserve">They must be unique within entities and but also across entities to reduce confusion</w:t>
      </w:r>
    </w:p>
    <w:p>
      <w:pPr>
        <w:numPr>
          <w:ilvl w:val="1"/>
          <w:numId w:val="1183"/>
        </w:numPr>
        <w:pStyle w:val="Compact"/>
      </w:pPr>
      <w:r>
        <w:t xml:space="preserve">For example, no duplicating IDs within students or across students and teachers</w:t>
      </w:r>
    </w:p>
    <w:p>
      <w:pPr>
        <w:numPr>
          <w:ilvl w:val="0"/>
          <w:numId w:val="1182"/>
        </w:numPr>
        <w:pStyle w:val="Compact"/>
      </w:pPr>
      <w:r>
        <w:t xml:space="preserve">The identifier must be randomly assigned and be completely distinct from any participant information. This ensures both confidentiality as well as consistency (e.g., names change, locations change)</w:t>
      </w:r>
    </w:p>
    <w:p>
      <w:pPr>
        <w:numPr>
          <w:ilvl w:val="1"/>
          <w:numId w:val="1184"/>
        </w:numPr>
        <w:pStyle w:val="Compact"/>
      </w:pPr>
      <w:r>
        <w:t xml:space="preserve">The ID should not be associated with name, teacher, location, dob, income, grade level, and so forth. Some examples of what not to do include:</w:t>
      </w:r>
    </w:p>
    <w:p>
      <w:pPr>
        <w:numPr>
          <w:ilvl w:val="2"/>
          <w:numId w:val="1185"/>
        </w:numPr>
        <w:pStyle w:val="Compact"/>
      </w:pPr>
      <w:r>
        <w:t xml:space="preserve">Do not sort names alphabetically and then assign IDs in sequential order</w:t>
      </w:r>
    </w:p>
    <w:p>
      <w:pPr>
        <w:numPr>
          <w:ilvl w:val="2"/>
          <w:numId w:val="1185"/>
        </w:numPr>
        <w:pStyle w:val="Compact"/>
      </w:pPr>
      <w:r>
        <w:t xml:space="preserve">Do not include initials as part of an identifier</w:t>
      </w:r>
    </w:p>
    <w:p>
      <w:pPr>
        <w:numPr>
          <w:ilvl w:val="2"/>
          <w:numId w:val="1185"/>
        </w:numPr>
        <w:pStyle w:val="Compact"/>
      </w:pPr>
      <w:r>
        <w:t xml:space="preserve">Do not include teacher or school identifiers within a student identifier</w:t>
      </w:r>
    </w:p>
    <w:p>
      <w:pPr>
        <w:numPr>
          <w:ilvl w:val="0"/>
          <w:numId w:val="1182"/>
        </w:numPr>
        <w:pStyle w:val="Compact"/>
      </w:pPr>
      <w:r>
        <w:t xml:space="preserve">Participants must keep this same identifier for the entire project, never change a participant’s ID</w:t>
      </w:r>
    </w:p>
    <w:p>
      <w:pPr>
        <w:numPr>
          <w:ilvl w:val="1"/>
          <w:numId w:val="1186"/>
        </w:numPr>
        <w:pStyle w:val="Compact"/>
      </w:pPr>
      <w:r>
        <w:t xml:space="preserve">This applies across all waves of data collection</w:t>
      </w:r>
    </w:p>
    <w:p>
      <w:pPr>
        <w:numPr>
          <w:ilvl w:val="1"/>
          <w:numId w:val="1186"/>
        </w:numPr>
        <w:pStyle w:val="Compact"/>
      </w:pPr>
      <w:r>
        <w:t xml:space="preserve">This even applies in circumstances where a participant has the opportunity to be re-recruited into your study more than once (as seen in Figure</w:t>
      </w:r>
      <w:r>
        <w:t xml:space="preserve"> </w:t>
      </w:r>
      <w:r>
        <w:t xml:space="preserve">9.8</w:t>
      </w:r>
      <w:r>
        <w:t xml:space="preserve">). The participant still keeps the same ID throughout the study. You can use other variables to identify the unique instances of that participant (e.g., cohort associated with that participant)</w:t>
      </w:r>
    </w:p>
    <w:p>
      <w:pPr>
        <w:numPr>
          <w:ilvl w:val="0"/>
          <w:numId w:val="1182"/>
        </w:numPr>
        <w:pStyle w:val="Compact"/>
      </w:pPr>
      <w:r>
        <w:t xml:space="preserve">If confidentiality was promised to schools or districts, assign identifiers to sites as well</w:t>
      </w:r>
    </w:p>
    <w:p>
      <w:pPr>
        <w:pStyle w:val="CaptionedFigure"/>
      </w:pPr>
      <w:r>
        <w:drawing>
          <wp:inline>
            <wp:extent cx="5334000" cy="2306991"/>
            <wp:effectExtent b="0" l="0" r="0" t="0"/>
            <wp:docPr descr="Figure 9.8: Example of keeping participant IDs for the entire study" title="" id="409" name="Picture"/>
            <a:graphic>
              <a:graphicData uri="http://schemas.openxmlformats.org/drawingml/2006/picture">
                <pic:pic>
                  <pic:nvPicPr>
                    <pic:cNvPr descr="img/dupe_id.PNG" id="410" name="Picture"/>
                    <pic:cNvPicPr>
                      <a:picLocks noChangeArrowheads="1" noChangeAspect="1"/>
                    </pic:cNvPicPr>
                  </pic:nvPicPr>
                  <pic:blipFill>
                    <a:blip r:embed="rId408"/>
                    <a:stretch>
                      <a:fillRect/>
                    </a:stretch>
                  </pic:blipFill>
                  <pic:spPr bwMode="auto">
                    <a:xfrm>
                      <a:off x="0" y="0"/>
                      <a:ext cx="5334000" cy="2306991"/>
                    </a:xfrm>
                    <a:prstGeom prst="rect">
                      <a:avLst/>
                    </a:prstGeom>
                    <a:noFill/>
                    <a:ln w="9525">
                      <a:noFill/>
                      <a:headEnd/>
                      <a:tailEnd/>
                    </a:ln>
                  </pic:spPr>
                </pic:pic>
              </a:graphicData>
            </a:graphic>
          </wp:inline>
        </w:drawing>
      </w:r>
    </w:p>
    <w:p>
      <w:pPr>
        <w:pStyle w:val="ImageCaption"/>
      </w:pPr>
      <w:r>
        <w:t xml:space="preserve">Figure 9.8: Example of keeping participant IDs for the entire study</w:t>
      </w:r>
    </w:p>
    <w:p>
      <w:pPr>
        <w:pStyle w:val="BodyText"/>
      </w:pPr>
      <w:r>
        <w:t xml:space="preserve">The only time you will not assign unique identifiers is when you collect anonymous data. In this situation you will not be able to assign identifiers since you will not know who participants are. However, it is still possible to assign identifiers to known entities such as school sites if anonymity is required.</w:t>
      </w:r>
    </w:p>
    <w:bookmarkEnd w:id="411"/>
    <w:bookmarkStart w:id="412" w:name="tracking-best-practices"/>
    <w:p>
      <w:pPr>
        <w:pStyle w:val="Heading2"/>
      </w:pPr>
      <w:r>
        <w:rPr>
          <w:rStyle w:val="SectionNumber"/>
        </w:rPr>
        <w:t xml:space="preserve">9.5</w:t>
      </w:r>
      <w:r>
        <w:tab/>
      </w:r>
      <w:r>
        <w:t xml:space="preserve">Tracking best practices</w:t>
      </w:r>
    </w:p>
    <w:p>
      <w:pPr>
        <w:pStyle w:val="FirstParagraph"/>
      </w:pPr>
      <w:r>
        <w:t xml:space="preserve">Last, it is important to review</w:t>
      </w:r>
      <w:r>
        <w:t xml:space="preserve"> </w:t>
      </w:r>
      <w:r>
        <w:rPr>
          <w:bCs/>
          <w:b/>
        </w:rPr>
        <w:t xml:space="preserve">how</w:t>
      </w:r>
      <w:r>
        <w:t xml:space="preserve"> </w:t>
      </w:r>
      <w:r>
        <w:t xml:space="preserve">to use the participant tracking database. As mentioned earlier, this database should be created before you begin recruiting participants so that as soon as participants begin to consent, they can be added to your database. Then once data collection begins, your Institutional Review Board (IRB) approved staff member can begin tracking data as it is collected. Your team may designate one person to track, or they may designate multiple. If you are working across multiple sites, with multiple teams, you will most likely have one or more persons at each site tracking data as it comes in.</w:t>
      </w:r>
    </w:p>
    <w:p>
      <w:pPr>
        <w:pStyle w:val="BodyText"/>
      </w:pPr>
      <w:r>
        <w:t xml:space="preserve">Since this is a highly sensitive database, not only may you want to restrict who has access to your database, but if your tool allows it, it can be helpful to also limit access to specific tables with identifiable information. For instance, project coordinators may have access to all information in the database (including sensitive data), while research assistants have limited access to tables that only include unique identifiers where they can track data collection completion. No matter who is tracking information, it is important to develop a tracking routine, assign roles and responsibilities, add your routine to an</w:t>
      </w:r>
      <w:r>
        <w:t xml:space="preserve"> </w:t>
      </w:r>
      <w:hyperlink w:anchor="sop">
        <w:r>
          <w:rPr>
            <w:rStyle w:val="Hyperlink"/>
          </w:rPr>
          <w:t xml:space="preserve">SOP</w:t>
        </w:r>
      </w:hyperlink>
      <w:r>
        <w:t xml:space="preserve">.</w:t>
      </w:r>
    </w:p>
    <w:p>
      <w:pPr>
        <w:pStyle w:val="BodyText"/>
      </w:pPr>
      <w:r>
        <w:t xml:space="preserve">Some tracking best practices include:</w:t>
      </w:r>
    </w:p>
    <w:p>
      <w:pPr>
        <w:numPr>
          <w:ilvl w:val="0"/>
          <w:numId w:val="1187"/>
        </w:numPr>
        <w:pStyle w:val="Compact"/>
      </w:pPr>
      <w:r>
        <w:t xml:space="preserve">Update all relevant contact information in this database alone, not in other places.</w:t>
      </w:r>
    </w:p>
    <w:p>
      <w:pPr>
        <w:numPr>
          <w:ilvl w:val="1"/>
          <w:numId w:val="1188"/>
        </w:numPr>
        <w:pStyle w:val="Compact"/>
      </w:pPr>
      <w:r>
        <w:t xml:space="preserve">Again, you can allow multiple people to update or designate one contact to funnel all updates through.</w:t>
      </w:r>
    </w:p>
    <w:p>
      <w:pPr>
        <w:numPr>
          <w:ilvl w:val="0"/>
          <w:numId w:val="1187"/>
        </w:numPr>
        <w:pStyle w:val="Compact"/>
      </w:pPr>
      <w:r>
        <w:t xml:space="preserve">When tracking data (consents, paperwork, data collection forms) only track data that you physically have (paper or electronic)</w:t>
      </w:r>
    </w:p>
    <w:p>
      <w:pPr>
        <w:numPr>
          <w:ilvl w:val="1"/>
          <w:numId w:val="1189"/>
        </w:numPr>
        <w:pStyle w:val="Compact"/>
      </w:pPr>
      <w:r>
        <w:t xml:space="preserve">Never track data as</w:t>
      </w:r>
      <w:r>
        <w:t xml:space="preserve"> </w:t>
      </w:r>
      <w:r>
        <w:t xml:space="preserve">“</w:t>
      </w:r>
      <w:r>
        <w:t xml:space="preserve">complete</w:t>
      </w:r>
      <w:r>
        <w:t xml:space="preserve">”</w:t>
      </w:r>
      <w:r>
        <w:t xml:space="preserve"> </w:t>
      </w:r>
      <w:r>
        <w:t xml:space="preserve">that someone tells you they collected</w:t>
      </w:r>
    </w:p>
    <w:p>
      <w:pPr>
        <w:numPr>
          <w:ilvl w:val="2"/>
          <w:numId w:val="1190"/>
        </w:numPr>
        <w:pStyle w:val="Compact"/>
      </w:pPr>
      <w:r>
        <w:t xml:space="preserve">You can always mark this information in a</w:t>
      </w:r>
      <w:r>
        <w:t xml:space="preserve"> </w:t>
      </w:r>
      <w:r>
        <w:t xml:space="preserve">“</w:t>
      </w:r>
      <w:r>
        <w:t xml:space="preserve">notes</w:t>
      </w:r>
      <w:r>
        <w:t xml:space="preserve">”</w:t>
      </w:r>
      <w:r>
        <w:t xml:space="preserve"> </w:t>
      </w:r>
      <w:r>
        <w:t xml:space="preserve">field and track when you have the physical data</w:t>
      </w:r>
    </w:p>
    <w:p>
      <w:pPr>
        <w:numPr>
          <w:ilvl w:val="0"/>
          <w:numId w:val="1187"/>
        </w:numPr>
        <w:pStyle w:val="Compact"/>
      </w:pPr>
      <w:r>
        <w:t xml:space="preserve">Track daily during data collection</w:t>
      </w:r>
    </w:p>
    <w:p>
      <w:pPr>
        <w:numPr>
          <w:ilvl w:val="1"/>
          <w:numId w:val="1191"/>
        </w:numPr>
        <w:pStyle w:val="Compact"/>
      </w:pPr>
      <w:r>
        <w:t xml:space="preserve">Do not wait until the end of data collection to track what data was collected</w:t>
      </w:r>
    </w:p>
    <w:p>
      <w:pPr>
        <w:numPr>
          <w:ilvl w:val="1"/>
          <w:numId w:val="1191"/>
        </w:numPr>
        <w:pStyle w:val="Compact"/>
      </w:pPr>
      <w:r>
        <w:t xml:space="preserve">This helps ensure that you don’t miss the opportunity to collect data that you</w:t>
      </w:r>
      <w:r>
        <w:t xml:space="preserve"> </w:t>
      </w:r>
      <w:r>
        <w:rPr>
          <w:iCs/>
          <w:i/>
        </w:rPr>
        <w:t xml:space="preserve">thought</w:t>
      </w:r>
      <w:r>
        <w:t xml:space="preserve"> </w:t>
      </w:r>
      <w:r>
        <w:t xml:space="preserve">you had but never actually collected</w:t>
      </w:r>
    </w:p>
    <w:p>
      <w:pPr>
        <w:numPr>
          <w:ilvl w:val="0"/>
          <w:numId w:val="1187"/>
        </w:numPr>
        <w:pStyle w:val="Compact"/>
      </w:pPr>
      <w:r>
        <w:t xml:space="preserve">Only track complete data as</w:t>
      </w:r>
      <w:r>
        <w:t xml:space="preserve"> </w:t>
      </w:r>
      <w:r>
        <w:t xml:space="preserve">“</w:t>
      </w:r>
      <w:r>
        <w:t xml:space="preserve">complete</w:t>
      </w:r>
      <w:r>
        <w:t xml:space="preserve">”</w:t>
      </w:r>
    </w:p>
    <w:p>
      <w:pPr>
        <w:numPr>
          <w:ilvl w:val="1"/>
          <w:numId w:val="1192"/>
        </w:numPr>
        <w:pStyle w:val="Compact"/>
      </w:pPr>
      <w:r>
        <w:t xml:space="preserve">If a form is only partially completed and you plan to send it back out to the field for completion, mark this in the</w:t>
      </w:r>
      <w:r>
        <w:t xml:space="preserve"> </w:t>
      </w:r>
      <w:r>
        <w:t xml:space="preserve">“</w:t>
      </w:r>
      <w:r>
        <w:t xml:space="preserve">notes</w:t>
      </w:r>
      <w:r>
        <w:t xml:space="preserve">”</w:t>
      </w:r>
      <w:r>
        <w:t xml:space="preserve"> </w:t>
      </w:r>
      <w:r>
        <w:t xml:space="preserve">but do not mark it as</w:t>
      </w:r>
      <w:r>
        <w:t xml:space="preserve"> </w:t>
      </w:r>
      <w:r>
        <w:t xml:space="preserve">“</w:t>
      </w:r>
      <w:r>
        <w:t xml:space="preserve">completed</w:t>
      </w:r>
      <w:r>
        <w:t xml:space="preserve">”</w:t>
      </w:r>
      <w:r>
        <w:t xml:space="preserve">. If you have a</w:t>
      </w:r>
      <w:r>
        <w:t xml:space="preserve"> </w:t>
      </w:r>
      <w:r>
        <w:t xml:space="preserve">“</w:t>
      </w:r>
      <w:r>
        <w:t xml:space="preserve">partially completed</w:t>
      </w:r>
      <w:r>
        <w:t xml:space="preserve">”</w:t>
      </w:r>
      <w:r>
        <w:t xml:space="preserve"> </w:t>
      </w:r>
      <w:r>
        <w:t xml:space="preserve">option, you can mark this option.</w:t>
      </w:r>
    </w:p>
    <w:bookmarkEnd w:id="412"/>
    <w:bookmarkEnd w:id="413"/>
    <w:bookmarkStart w:id="453" w:name="data-collection"/>
    <w:p>
      <w:pPr>
        <w:pStyle w:val="Heading1"/>
      </w:pPr>
      <w:r>
        <w:rPr>
          <w:rStyle w:val="SectionNumber"/>
        </w:rPr>
        <w:t xml:space="preserve">10</w:t>
      </w:r>
      <w:r>
        <w:tab/>
      </w:r>
      <w:r>
        <w:t xml:space="preserve">Data Collection</w:t>
      </w:r>
    </w:p>
    <w:p>
      <w:pPr>
        <w:pStyle w:val="CaptionedFigure"/>
      </w:pPr>
      <w:r>
        <w:drawing>
          <wp:inline>
            <wp:extent cx="5334000" cy="2963333"/>
            <wp:effectExtent b="0" l="0" r="0" t="0"/>
            <wp:docPr descr="Figure 10.1: Data collection in the research project life cycle" title="" id="415" name="Picture"/>
            <a:graphic>
              <a:graphicData uri="http://schemas.openxmlformats.org/drawingml/2006/picture">
                <pic:pic>
                  <pic:nvPicPr>
                    <pic:cNvPr descr="img/lifecycle_collect.PNG" id="416" name="Picture"/>
                    <pic:cNvPicPr>
                      <a:picLocks noChangeArrowheads="1" noChangeAspect="1"/>
                    </pic:cNvPicPr>
                  </pic:nvPicPr>
                  <pic:blipFill>
                    <a:blip r:embed="rId41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10.1: Data collection in the research project life cycle</w:t>
      </w:r>
    </w:p>
    <w:p>
      <w:pPr>
        <w:pStyle w:val="BodyText"/>
      </w:pPr>
      <w:r>
        <w:t xml:space="preserve">When collecting original data as part of your study (i.e., you are administering your own survey, assessment, or observation), data management best practices should be interwoven throughout your data collection process. The number one way to ensure the integrity of your data is to spend time planning your data collection efforts</w:t>
      </w:r>
      <w:r>
        <w:t xml:space="preserve"> </w:t>
      </w:r>
      <w:r>
        <w:t xml:space="preserve">(</w:t>
      </w:r>
      <w:hyperlink w:anchor="X91a7968a5e890750589105e8c763fa217748bc4">
        <w:r>
          <w:rPr>
            <w:rStyle w:val="Hyperlink"/>
          </w:rPr>
          <w:t xml:space="preserve">Northern Illinois University n.d.</w:t>
        </w:r>
      </w:hyperlink>
      <w:r>
        <w:t xml:space="preserve">)</w:t>
      </w:r>
      <w:r>
        <w:t xml:space="preserve">. Not only does planning minimize errors, it also keeps your data secure, valid, and relieves future data cleaning headaches.</w:t>
      </w:r>
    </w:p>
    <w:p>
      <w:pPr>
        <w:pStyle w:val="BodyText"/>
      </w:pPr>
      <w:r>
        <w:t xml:space="preserve">If you have ever created a data collection instrument and expected it to export data that looks like the image on the left (Figure</w:t>
      </w:r>
      <w:r>
        <w:t xml:space="preserve"> </w:t>
      </w:r>
      <w:r>
        <w:t xml:space="preserve">9.2</w:t>
      </w:r>
      <w:r>
        <w:t xml:space="preserve">), but instead export data that looks like the image on the right, then you know what I mean. Collecting quality data doesn’t just happen because you create an instrument, it takes careful consideration, structure, and planning on the part of the entire team.</w:t>
      </w:r>
    </w:p>
    <w:p>
      <w:pPr>
        <w:pStyle w:val="CaptionedFigure"/>
      </w:pPr>
      <w:r>
        <w:drawing>
          <wp:inline>
            <wp:extent cx="5334000" cy="1780833"/>
            <wp:effectExtent b="0" l="0" r="0" t="0"/>
            <wp:docPr descr="Figure 10.2: A comparison of data collected without planning and data collected with planning" title="" id="418" name="Picture"/>
            <a:graphic>
              <a:graphicData uri="http://schemas.openxmlformats.org/drawingml/2006/picture">
                <pic:pic>
                  <pic:nvPicPr>
                    <pic:cNvPr descr="img/bad_data_collect.PNG" id="419" name="Picture"/>
                    <pic:cNvPicPr>
                      <a:picLocks noChangeArrowheads="1" noChangeAspect="1"/>
                    </pic:cNvPicPr>
                  </pic:nvPicPr>
                  <pic:blipFill>
                    <a:blip r:embed="rId417"/>
                    <a:stretch>
                      <a:fillRect/>
                    </a:stretch>
                  </pic:blipFill>
                  <pic:spPr bwMode="auto">
                    <a:xfrm>
                      <a:off x="0" y="0"/>
                      <a:ext cx="5334000" cy="1780833"/>
                    </a:xfrm>
                    <a:prstGeom prst="rect">
                      <a:avLst/>
                    </a:prstGeom>
                    <a:noFill/>
                    <a:ln w="9525">
                      <a:noFill/>
                      <a:headEnd/>
                      <a:tailEnd/>
                    </a:ln>
                  </pic:spPr>
                </pic:pic>
              </a:graphicData>
            </a:graphic>
          </wp:inline>
        </w:drawing>
      </w:r>
    </w:p>
    <w:p>
      <w:pPr>
        <w:pStyle w:val="ImageCaption"/>
      </w:pPr>
      <w:r>
        <w:t xml:space="preserve">Figure 10.2: A comparison of data collected without planning and data collected with planning</w:t>
      </w:r>
    </w:p>
    <w:bookmarkStart w:id="420" w:name="planning"/>
    <w:p>
      <w:pPr>
        <w:pStyle w:val="Heading2"/>
      </w:pPr>
      <w:r>
        <w:rPr>
          <w:rStyle w:val="SectionNumber"/>
        </w:rPr>
        <w:t xml:space="preserve">10.1</w:t>
      </w:r>
      <w:r>
        <w:tab/>
      </w:r>
      <w:r>
        <w:t xml:space="preserve">Planning</w:t>
      </w:r>
    </w:p>
    <w:p>
      <w:pPr>
        <w:pStyle w:val="FirstParagraph"/>
      </w:pPr>
      <w:r>
        <w:t xml:space="preserve">Planning for data collection begins in the</w:t>
      </w:r>
      <w:r>
        <w:t xml:space="preserve"> </w:t>
      </w:r>
      <w:hyperlink w:anchor="document">
        <w:r>
          <w:rPr>
            <w:rStyle w:val="Hyperlink"/>
          </w:rPr>
          <w:t xml:space="preserve">Data Management Plan</w:t>
        </w:r>
      </w:hyperlink>
      <w:r>
        <w:t xml:space="preserve"> </w:t>
      </w:r>
      <w:r>
        <w:t xml:space="preserve">phase when you first choose measures you plan to collect as well as the instruments you plan to use to collect those measures. Then, during the planning and documentation phase, you can begin to really flesh out the exact items you plan to collect, how those items will be recorded (e.g., type, name, values), and how they will be collected (e.g., online survey, paper form). And last in the create instruments phase, you start to choose tools to build your instruments in and begin constructing those instruments.</w:t>
      </w:r>
    </w:p>
    <w:p>
      <w:pPr>
        <w:pStyle w:val="BodyText"/>
      </w:pPr>
      <w:r>
        <w:t xml:space="preserve">However, planning includes not only carefully designing your data collection instruments, but it also includes considering the data collection and handling process itself. In this chapter we will review best practices for building your data collection instruments and we will also discuss our two other lines of defense which include data management in the field and implementing ongoing data checks to catch errors early on</w:t>
      </w:r>
      <w:r>
        <w:t xml:space="preserve"> </w:t>
      </w:r>
      <w:r>
        <w:t xml:space="preserve">(</w:t>
      </w:r>
      <w:hyperlink w:anchor="ref-dime_analytics_data_nodate">
        <w:r>
          <w:rPr>
            <w:rStyle w:val="Hyperlink"/>
          </w:rPr>
          <w:t xml:space="preserve">Analytics n.d.</w:t>
        </w:r>
      </w:hyperlink>
      <w:r>
        <w:t xml:space="preserve">)</w:t>
      </w:r>
      <w:r>
        <w:t xml:space="preserve">.</w:t>
      </w:r>
    </w:p>
    <w:p>
      <w:pPr>
        <w:pStyle w:val="BodyText"/>
      </w:pPr>
      <w:r>
        <w:t xml:space="preserve">Before we dive into planning for building data collection instruments, it’s important to first review the ethical and legal considerations of your data collection effort. When working with human subjects it is likely that the Institutional Review Board (IRB) will need to review and approve all of your data collection instruments as well as any agreement forms that will be collected as part of your study. Our next section will provide an overview of the IRB and its requirements as well as best practices for creating agreement forms for participants and partners.</w:t>
      </w:r>
    </w:p>
    <w:bookmarkEnd w:id="420"/>
    <w:bookmarkStart w:id="423" w:name="institutional-review-board"/>
    <w:p>
      <w:pPr>
        <w:pStyle w:val="Heading2"/>
      </w:pPr>
      <w:r>
        <w:rPr>
          <w:rStyle w:val="SectionNumber"/>
        </w:rPr>
        <w:t xml:space="preserve">10.2</w:t>
      </w:r>
      <w:r>
        <w:tab/>
      </w:r>
      <w:r>
        <w:t xml:space="preserve">Institutional Review Board</w:t>
      </w:r>
    </w:p>
    <w:p>
      <w:pPr>
        <w:pStyle w:val="FirstParagraph"/>
      </w:pPr>
      <w:r>
        <w:t xml:space="preserve">The IRB is a formal organization designated to review and monitor human participant research and ensure that the welfare, rights, and privacy of research participants are maintained throughout the project.</w:t>
      </w:r>
    </w:p>
    <w:bookmarkStart w:id="421" w:name="background"/>
    <w:p>
      <w:pPr>
        <w:pStyle w:val="Heading3"/>
      </w:pPr>
      <w:r>
        <w:rPr>
          <w:rStyle w:val="SectionNumber"/>
        </w:rPr>
        <w:t xml:space="preserve">10.2.1</w:t>
      </w:r>
      <w:r>
        <w:tab/>
      </w:r>
      <w:r>
        <w:t xml:space="preserve">Background</w:t>
      </w:r>
    </w:p>
    <w:p>
      <w:pPr>
        <w:pStyle w:val="FirstParagraph"/>
      </w:pPr>
      <w:r>
        <w:t xml:space="preserve">In 1974 the IRB was established as part of the National Research Act in response to a long history of unethical research that had been conducted with human participants</w:t>
      </w:r>
      <w:r>
        <w:t xml:space="preserve"> </w:t>
      </w:r>
      <w:r>
        <w:t xml:space="preserve">(</w:t>
      </w:r>
      <w:hyperlink w:anchor="ref-qiao_brief_2018">
        <w:r>
          <w:rPr>
            <w:rStyle w:val="Hyperlink"/>
          </w:rPr>
          <w:t xml:space="preserve">Qiao 2018</w:t>
        </w:r>
      </w:hyperlink>
      <w:r>
        <w:t xml:space="preserve">)</w:t>
      </w:r>
      <w:r>
        <w:t xml:space="preserve">. In 1979, the Belmont Report established a set of ethical principles for doing research with human participants. Those ethical principles included</w:t>
      </w:r>
      <w:r>
        <w:t xml:space="preserve"> </w:t>
      </w:r>
      <w:r>
        <w:t xml:space="preserve">(</w:t>
      </w:r>
      <w:hyperlink w:anchor="ref-duru_institutional_nodate">
        <w:r>
          <w:rPr>
            <w:rStyle w:val="Hyperlink"/>
          </w:rPr>
          <w:t xml:space="preserve">Duru and Sautmann n.d.</w:t>
        </w:r>
      </w:hyperlink>
      <w:r>
        <w:t xml:space="preserve">;</w:t>
      </w:r>
      <w:r>
        <w:t xml:space="preserve"> </w:t>
      </w:r>
      <w:hyperlink w:anchor="ref-huisman_3_nodate">
        <w:r>
          <w:rPr>
            <w:rStyle w:val="Hyperlink"/>
          </w:rPr>
          <w:t xml:space="preserve">Huisman n.d.</w:t>
        </w:r>
      </w:hyperlink>
      <w:r>
        <w:t xml:space="preserve">;</w:t>
      </w:r>
      <w:r>
        <w:t xml:space="preserve"> </w:t>
      </w:r>
      <w:hyperlink w:anchor="X746f052673391e3efcffee8cf6eb7552e89fc1b">
        <w:r>
          <w:rPr>
            <w:rStyle w:val="Hyperlink"/>
          </w:rPr>
          <w:t xml:space="preserve">Office for Human Research Office for Human Research Protections 2018</w:t>
        </w:r>
      </w:hyperlink>
      <w:r>
        <w:t xml:space="preserve">)</w:t>
      </w:r>
      <w:r>
        <w:t xml:space="preserve">.</w:t>
      </w:r>
    </w:p>
    <w:p>
      <w:pPr>
        <w:numPr>
          <w:ilvl w:val="0"/>
          <w:numId w:val="1193"/>
        </w:numPr>
        <w:pStyle w:val="Compact"/>
      </w:pPr>
      <w:r>
        <w:t xml:space="preserve">Respect for persons</w:t>
      </w:r>
    </w:p>
    <w:p>
      <w:pPr>
        <w:numPr>
          <w:ilvl w:val="1"/>
          <w:numId w:val="1194"/>
        </w:numPr>
        <w:pStyle w:val="Compact"/>
      </w:pPr>
      <w:r>
        <w:t xml:space="preserve">This included both protecting autonomy of participants by acquiring consent as well as providing a plan to protect participant privacy</w:t>
      </w:r>
    </w:p>
    <w:p>
      <w:pPr>
        <w:numPr>
          <w:ilvl w:val="2"/>
          <w:numId w:val="1195"/>
        </w:numPr>
        <w:pStyle w:val="Compact"/>
      </w:pPr>
      <w:r>
        <w:t xml:space="preserve">In practice this meant acquiring consent in a way that ensures participants can comprehend what is being asked of them, understand that their participation is voluntary, and understand your plan to protect their privacy</w:t>
      </w:r>
    </w:p>
    <w:p>
      <w:pPr>
        <w:numPr>
          <w:ilvl w:val="0"/>
          <w:numId w:val="1193"/>
        </w:numPr>
        <w:pStyle w:val="Compact"/>
      </w:pPr>
      <w:r>
        <w:t xml:space="preserve">Beneficence</w:t>
      </w:r>
    </w:p>
    <w:p>
      <w:pPr>
        <w:numPr>
          <w:ilvl w:val="1"/>
          <w:numId w:val="1196"/>
        </w:numPr>
        <w:pStyle w:val="Compact"/>
      </w:pPr>
      <w:r>
        <w:t xml:space="preserve">This involved maximizing good and minimizing harm in the study, for both participants and society at large</w:t>
      </w:r>
    </w:p>
    <w:p>
      <w:pPr>
        <w:numPr>
          <w:ilvl w:val="2"/>
          <w:numId w:val="1197"/>
        </w:numPr>
        <w:pStyle w:val="Compact"/>
      </w:pPr>
      <w:r>
        <w:t xml:space="preserve">In practice this meant taking time to assess risk and benefits of your study for both the intervention itself as well as the data collection efforts (e.g., how burdensome is the survey)</w:t>
      </w:r>
    </w:p>
    <w:p>
      <w:pPr>
        <w:numPr>
          <w:ilvl w:val="0"/>
          <w:numId w:val="1193"/>
        </w:numPr>
        <w:pStyle w:val="Compact"/>
      </w:pPr>
      <w:r>
        <w:t xml:space="preserve">Justice</w:t>
      </w:r>
    </w:p>
    <w:p>
      <w:pPr>
        <w:numPr>
          <w:ilvl w:val="1"/>
          <w:numId w:val="1198"/>
        </w:numPr>
        <w:pStyle w:val="Compact"/>
      </w:pPr>
      <w:r>
        <w:t xml:space="preserve">This included providing additional care and consideration when working with vulnerable populations (e.g., children, prisoners), making sure your practices are non-exploitative and there is fair distribution of costs and benefits across all participants</w:t>
      </w:r>
    </w:p>
    <w:p>
      <w:pPr>
        <w:numPr>
          <w:ilvl w:val="2"/>
          <w:numId w:val="1199"/>
        </w:numPr>
        <w:pStyle w:val="Compact"/>
      </w:pPr>
      <w:r>
        <w:t xml:space="preserve">In practice this involved fairness in the selection of participants</w:t>
      </w:r>
    </w:p>
    <w:p>
      <w:pPr>
        <w:pStyle w:val="FirstParagraph"/>
      </w:pPr>
      <w:r>
        <w:t xml:space="preserve">Heavily influenced by the Belmont Report, in 1991 the Federal Policy for the Protection of Human Subjects was published, establishing core procedures for human subject protections. The policy, 45 CFR part 46</w:t>
      </w:r>
      <w:r>
        <w:t xml:space="preserve"> </w:t>
      </w:r>
      <w:r>
        <w:t xml:space="preserve">(</w:t>
      </w:r>
      <w:hyperlink w:anchor="Xfa8e61c17ce77df1f0ca99f64b5270ba73f0ec5">
        <w:r>
          <w:rPr>
            <w:rStyle w:val="Hyperlink"/>
          </w:rPr>
          <w:t xml:space="preserve">Office for Human Research Protections 2016</w:t>
        </w:r>
      </w:hyperlink>
      <w:r>
        <w:t xml:space="preserve">)</w:t>
      </w:r>
      <w:r>
        <w:t xml:space="preserve">, included four subparts. Subpart A, known as the</w:t>
      </w:r>
      <w:r>
        <w:t xml:space="preserve"> </w:t>
      </w:r>
      <w:r>
        <w:t xml:space="preserve">“</w:t>
      </w:r>
      <w:r>
        <w:t xml:space="preserve">Common Rule</w:t>
      </w:r>
      <w:r>
        <w:t xml:space="preserve">”</w:t>
      </w:r>
      <w:r>
        <w:t xml:space="preserve"> </w:t>
      </w:r>
      <w:r>
        <w:t xml:space="preserve">for the 15 federal departments and agencies which codified the policy in separate regulations, provided a set of protections for human subjects research including informed consent, review by an IRB, and compliance monitoring</w:t>
      </w:r>
      <w:r>
        <w:t xml:space="preserve"> </w:t>
      </w:r>
      <w:r>
        <w:t xml:space="preserve">(</w:t>
      </w:r>
      <w:hyperlink w:anchor="X8d536304c081b49faff10847448613960f4de37">
        <w:r>
          <w:rPr>
            <w:rStyle w:val="Hyperlink"/>
          </w:rPr>
          <w:t xml:space="preserve">Office for Human Research 2009</w:t>
        </w:r>
      </w:hyperlink>
      <w:r>
        <w:t xml:space="preserve">;</w:t>
      </w:r>
      <w:r>
        <w:t xml:space="preserve"> </w:t>
      </w:r>
      <w:hyperlink w:anchor="Xe01abb322d5a2a574620ca90cee12a2386fae73">
        <w:r>
          <w:rPr>
            <w:rStyle w:val="Hyperlink"/>
          </w:rPr>
          <w:t xml:space="preserve">National Institute of Justice 2007</w:t>
        </w:r>
      </w:hyperlink>
      <w:r>
        <w:t xml:space="preserve">)</w:t>
      </w:r>
      <w:r>
        <w:t xml:space="preserve">.</w:t>
      </w:r>
    </w:p>
    <w:p>
      <w:pPr>
        <w:pStyle w:val="BodyText"/>
      </w:pPr>
      <w:r>
        <w:t xml:space="preserve">In 2018 the Common Rule was revised in order to better protect research participants and to reduce administrative burden</w:t>
      </w:r>
      <w:r>
        <w:t xml:space="preserve"> </w:t>
      </w:r>
      <w:r>
        <w:t xml:space="preserve">(</w:t>
      </w:r>
      <w:hyperlink w:anchor="Xa3023eb90d3fb752caa2d085e739baeeef35364">
        <w:r>
          <w:rPr>
            <w:rStyle w:val="Hyperlink"/>
          </w:rPr>
          <w:t xml:space="preserve">Office for Human Research Office for Human Research 2018</w:t>
        </w:r>
      </w:hyperlink>
      <w:r>
        <w:t xml:space="preserve">;</w:t>
      </w:r>
      <w:r>
        <w:t xml:space="preserve"> </w:t>
      </w:r>
      <w:hyperlink w:anchor="Xd8cb2039f885a2f0562793cc8233d4c84548b7f">
        <w:r>
          <w:rPr>
            <w:rStyle w:val="Hyperlink"/>
          </w:rPr>
          <w:t xml:space="preserve">Health and Human Services n.d.</w:t>
        </w:r>
      </w:hyperlink>
      <w:r>
        <w:t xml:space="preserve">)</w:t>
      </w:r>
      <w:r>
        <w:t xml:space="preserve">. While many revisions were made, some changes that are applicable to education researchers include the following</w:t>
      </w:r>
      <w:r>
        <w:t xml:space="preserve"> </w:t>
      </w:r>
      <w:r>
        <w:t xml:space="preserve">(</w:t>
      </w:r>
      <w:hyperlink w:anchor="ref-fordham_university_revised_nodate">
        <w:r>
          <w:rPr>
            <w:rStyle w:val="Hyperlink"/>
          </w:rPr>
          <w:t xml:space="preserve">Fordham University n.d.</w:t>
        </w:r>
      </w:hyperlink>
      <w:r>
        <w:t xml:space="preserve">)</w:t>
      </w:r>
      <w:r>
        <w:t xml:space="preserve">.</w:t>
      </w:r>
    </w:p>
    <w:p>
      <w:pPr>
        <w:numPr>
          <w:ilvl w:val="0"/>
          <w:numId w:val="1200"/>
        </w:numPr>
        <w:pStyle w:val="Compact"/>
      </w:pPr>
      <w:r>
        <w:t xml:space="preserve">Revisions and additions to exempt categories, many of which are applicable to research conducted in educational settings</w:t>
      </w:r>
    </w:p>
    <w:p>
      <w:pPr>
        <w:numPr>
          <w:ilvl w:val="0"/>
          <w:numId w:val="1200"/>
        </w:numPr>
        <w:pStyle w:val="Compact"/>
      </w:pPr>
      <w:r>
        <w:t xml:space="preserve">Reduced burden of continuing review, particularly for exempt and expedited studies</w:t>
      </w:r>
    </w:p>
    <w:p>
      <w:pPr>
        <w:numPr>
          <w:ilvl w:val="0"/>
          <w:numId w:val="1200"/>
        </w:numPr>
        <w:pStyle w:val="Compact"/>
      </w:pPr>
      <w:r>
        <w:t xml:space="preserve">Clarifications on how informed consent should be organized, written, and provided</w:t>
      </w:r>
    </w:p>
    <w:bookmarkEnd w:id="421"/>
    <w:bookmarkStart w:id="422" w:name="requirements"/>
    <w:p>
      <w:pPr>
        <w:pStyle w:val="Heading3"/>
      </w:pPr>
      <w:r>
        <w:rPr>
          <w:rStyle w:val="SectionNumber"/>
        </w:rPr>
        <w:t xml:space="preserve">10.2.2</w:t>
      </w:r>
      <w:r>
        <w:tab/>
      </w:r>
      <w:r>
        <w:t xml:space="preserve">Requirements</w:t>
      </w:r>
    </w:p>
    <w:p>
      <w:pPr>
        <w:pStyle w:val="FirstParagraph"/>
      </w:pPr>
      <w:r>
        <w:t xml:space="preserve">While each institution’s IRB submission process is different, typically if your study involves working with human subjects, you are required to submit an application to the IRB. As part of your application you will be asked to state what review category your study falls under</w:t>
      </w:r>
      <w:r>
        <w:t xml:space="preserve"> </w:t>
      </w:r>
      <w:r>
        <w:t xml:space="preserve">(</w:t>
      </w:r>
      <w:hyperlink w:anchor="ref-lafayette_college_three_nodate">
        <w:r>
          <w:rPr>
            <w:rStyle w:val="Hyperlink"/>
          </w:rPr>
          <w:t xml:space="preserve">Lafayette College n.d.</w:t>
        </w:r>
      </w:hyperlink>
      <w:r>
        <w:t xml:space="preserve">;</w:t>
      </w:r>
      <w:r>
        <w:t xml:space="preserve"> </w:t>
      </w:r>
      <w:hyperlink w:anchor="Xcf7d2b239fec6ccc39c5020aff75f7e6e3d2c18">
        <w:r>
          <w:rPr>
            <w:rStyle w:val="Hyperlink"/>
          </w:rPr>
          <w:t xml:space="preserve">Northwestern University n.d.</w:t>
        </w:r>
      </w:hyperlink>
      <w:r>
        <w:t xml:space="preserve">;</w:t>
      </w:r>
      <w:r>
        <w:t xml:space="preserve"> </w:t>
      </w:r>
      <w:hyperlink w:anchor="Xef65912c9bf377773ee44837d538c8c78b3cec5">
        <w:r>
          <w:rPr>
            <w:rStyle w:val="Hyperlink"/>
          </w:rPr>
          <w:t xml:space="preserve">University of California Berkeley 2022</w:t>
        </w:r>
      </w:hyperlink>
      <w:r>
        <w:t xml:space="preserve">)</w:t>
      </w:r>
      <w:r>
        <w:t xml:space="preserve">.</w:t>
      </w:r>
    </w:p>
    <w:p>
      <w:pPr>
        <w:numPr>
          <w:ilvl w:val="0"/>
          <w:numId w:val="1201"/>
        </w:numPr>
        <w:pStyle w:val="Compact"/>
      </w:pPr>
      <w:r>
        <w:t xml:space="preserve">Exempt</w:t>
      </w:r>
    </w:p>
    <w:p>
      <w:pPr>
        <w:numPr>
          <w:ilvl w:val="1"/>
          <w:numId w:val="1202"/>
        </w:numPr>
        <w:pStyle w:val="Compact"/>
      </w:pPr>
      <w:r>
        <w:t xml:space="preserve">These studies usually involve minimal risk and fit within categories predefined by your IRB (e.g., Evaluating the use of accepted or revised standardized tests). These studies typically involve a shorter review process and a quicker review than non-exempt studies</w:t>
      </w:r>
    </w:p>
    <w:p>
      <w:pPr>
        <w:numPr>
          <w:ilvl w:val="0"/>
          <w:numId w:val="1201"/>
        </w:numPr>
        <w:pStyle w:val="Compact"/>
      </w:pPr>
      <w:r>
        <w:t xml:space="preserve">Expedited</w:t>
      </w:r>
    </w:p>
    <w:p>
      <w:pPr>
        <w:numPr>
          <w:ilvl w:val="1"/>
          <w:numId w:val="1203"/>
        </w:numPr>
        <w:pStyle w:val="Compact"/>
      </w:pPr>
      <w:r>
        <w:t xml:space="preserve">These studies also involve minimal risk but do not meet criteria for exempt status (e.g., collection of voice, video, or image data from non-vulnerable populations)</w:t>
      </w:r>
    </w:p>
    <w:p>
      <w:pPr>
        <w:numPr>
          <w:ilvl w:val="0"/>
          <w:numId w:val="1201"/>
        </w:numPr>
        <w:pStyle w:val="Compact"/>
      </w:pPr>
      <w:r>
        <w:t xml:space="preserve">Full Review</w:t>
      </w:r>
    </w:p>
    <w:p>
      <w:pPr>
        <w:numPr>
          <w:ilvl w:val="1"/>
          <w:numId w:val="1204"/>
        </w:numPr>
        <w:pStyle w:val="Compact"/>
      </w:pPr>
      <w:r>
        <w:t xml:space="preserve">If a study does not fall into one of the two categories above (e.g., collection of information about illegal behavior), it requires full review, discussed by the full board at a convened meeting.</w:t>
      </w:r>
    </w:p>
    <w:p>
      <w:pPr>
        <w:pStyle w:val="FirstParagraph"/>
      </w:pPr>
      <w:r>
        <w:t xml:space="preserve">As part of your application, common documents you may be required to submit include the following</w:t>
      </w:r>
      <w:r>
        <w:t xml:space="preserve"> </w:t>
      </w:r>
      <w:r>
        <w:t xml:space="preserve">(</w:t>
      </w:r>
      <w:hyperlink w:anchor="Xb5167037696e6ea4eee64f93b11e73cd0bc0362">
        <w:r>
          <w:rPr>
            <w:rStyle w:val="Hyperlink"/>
          </w:rPr>
          <w:t xml:space="preserve">Cabrini University n.d.</w:t>
        </w:r>
      </w:hyperlink>
      <w:r>
        <w:t xml:space="preserve">;</w:t>
      </w:r>
      <w:r>
        <w:t xml:space="preserve"> </w:t>
      </w:r>
      <w:hyperlink w:anchor="ref-duru_institutional_nodate">
        <w:r>
          <w:rPr>
            <w:rStyle w:val="Hyperlink"/>
          </w:rPr>
          <w:t xml:space="preserve">Duru and Sautmann n.d.</w:t>
        </w:r>
      </w:hyperlink>
      <w:r>
        <w:t xml:space="preserve">)</w:t>
      </w:r>
      <w:r>
        <w:t xml:space="preserve">.</w:t>
      </w:r>
    </w:p>
    <w:p>
      <w:pPr>
        <w:numPr>
          <w:ilvl w:val="0"/>
          <w:numId w:val="1205"/>
        </w:numPr>
        <w:pStyle w:val="Compact"/>
      </w:pPr>
      <w:r>
        <w:t xml:space="preserve">Certificates from human subjects training (e.g., CITI training)</w:t>
      </w:r>
    </w:p>
    <w:p>
      <w:pPr>
        <w:numPr>
          <w:ilvl w:val="0"/>
          <w:numId w:val="1205"/>
        </w:numPr>
        <w:pStyle w:val="Compact"/>
      </w:pPr>
      <w:r>
        <w:t xml:space="preserve">Research protocol (see Chapter</w:t>
      </w:r>
      <w:r>
        <w:t xml:space="preserve"> </w:t>
      </w:r>
      <w:r>
        <w:t xml:space="preserve">7</w:t>
      </w:r>
      <w:r>
        <w:t xml:space="preserve">)</w:t>
      </w:r>
    </w:p>
    <w:p>
      <w:pPr>
        <w:numPr>
          <w:ilvl w:val="1"/>
          <w:numId w:val="1206"/>
        </w:numPr>
        <w:pStyle w:val="Compact"/>
      </w:pPr>
      <w:r>
        <w:t xml:space="preserve">When writing your protocol, make sure to review your IRBs rules around data handling and include this information in your plan. IRBs typically have specific rules for things such as how paper and electronic data must be stored and backed up, how long data should be retained, and how data can be transferred and shared, and how data should be anonymized</w:t>
      </w:r>
      <w:r>
        <w:t xml:space="preserve"> </w:t>
      </w:r>
      <w:r>
        <w:t xml:space="preserve">(</w:t>
      </w:r>
      <w:hyperlink w:anchor="ref-filip_san_nodate">
        <w:r>
          <w:rPr>
            <w:rStyle w:val="Hyperlink"/>
          </w:rPr>
          <w:t xml:space="preserve">Filip, n.d.</w:t>
        </w:r>
      </w:hyperlink>
      <w:r>
        <w:t xml:space="preserve">)</w:t>
      </w:r>
      <w:r>
        <w:t xml:space="preserve">.</w:t>
      </w:r>
    </w:p>
    <w:p>
      <w:pPr>
        <w:numPr>
          <w:ilvl w:val="0"/>
          <w:numId w:val="1205"/>
        </w:numPr>
        <w:pStyle w:val="Compact"/>
      </w:pPr>
      <w:r>
        <w:t xml:space="preserve">Study materials (e.g., recruitment materials)</w:t>
      </w:r>
    </w:p>
    <w:p>
      <w:pPr>
        <w:numPr>
          <w:ilvl w:val="0"/>
          <w:numId w:val="1205"/>
        </w:numPr>
        <w:pStyle w:val="Compact"/>
      </w:pPr>
      <w:r>
        <w:t xml:space="preserve">Copies of your instruments (e.g., surveys, interview guides)</w:t>
      </w:r>
    </w:p>
    <w:p>
      <w:pPr>
        <w:numPr>
          <w:ilvl w:val="1"/>
          <w:numId w:val="1207"/>
        </w:numPr>
        <w:pStyle w:val="Compact"/>
      </w:pPr>
      <w:r>
        <w:t xml:space="preserve">Note that these will need to be created before you can submit to your IRB so make sure to consider timing and start building your instruments early enough to give you time to submit to your IRB before recruitment and data collection</w:t>
      </w:r>
    </w:p>
    <w:p>
      <w:pPr>
        <w:numPr>
          <w:ilvl w:val="0"/>
          <w:numId w:val="1205"/>
        </w:numPr>
        <w:pStyle w:val="Compact"/>
      </w:pPr>
      <w:r>
        <w:t xml:space="preserve">Copy of informed consent/assent forms</w:t>
      </w:r>
    </w:p>
    <w:p>
      <w:pPr>
        <w:numPr>
          <w:ilvl w:val="0"/>
          <w:numId w:val="1205"/>
        </w:numPr>
        <w:pStyle w:val="Compact"/>
      </w:pPr>
      <w:r>
        <w:t xml:space="preserve">If collecting data from sites (such as school districts) or sharing data between sites, supporting documentation from those partners may be required (MOUs, Data Use/Sharing Agreements, Letters of support, Confidentiality Agreements)</w:t>
      </w:r>
    </w:p>
    <w:p>
      <w:pPr>
        <w:numPr>
          <w:ilvl w:val="0"/>
          <w:numId w:val="1205"/>
        </w:numPr>
        <w:pStyle w:val="Compact"/>
      </w:pPr>
      <w:r>
        <w:t xml:space="preserve">If partnering with other institutions, IRB approval letters from partner institutions may also be required</w:t>
      </w:r>
    </w:p>
    <w:p>
      <w:pPr>
        <w:pStyle w:val="FirstParagraph"/>
      </w:pPr>
      <w:r>
        <w:t xml:space="preserve">The review process can take several weeks and it is common for the IRB to request revisions to materials. Make sure to review your timeline and give yourself plenty of time to work through this process before you need to begin recruitment and data collection. Note that there are other types of agreements, such as confidentiality agreements</w:t>
      </w:r>
    </w:p>
    <w:bookmarkEnd w:id="422"/>
    <w:bookmarkEnd w:id="423"/>
    <w:bookmarkStart w:id="448" w:name="agreements"/>
    <w:p>
      <w:pPr>
        <w:pStyle w:val="Heading2"/>
      </w:pPr>
      <w:r>
        <w:rPr>
          <w:rStyle w:val="SectionNumber"/>
        </w:rPr>
        <w:t xml:space="preserve">10.3</w:t>
      </w:r>
      <w:r>
        <w:tab/>
      </w:r>
      <w:r>
        <w:t xml:space="preserve">Agreements</w:t>
      </w:r>
    </w:p>
    <w:p>
      <w:pPr>
        <w:pStyle w:val="FirstParagraph"/>
      </w:pPr>
      <w:r>
        <w:t xml:space="preserve">There are several types of agreements that may be required for your research study for both ethical and legal reasons. Here we will discuss the most common type of agreements, informed consent and assent, as well as other agreements used when working with external partners including Data Sharing Agreements, Memorandum of Understanding documents, and Confidentiality Agreements.</w:t>
      </w:r>
    </w:p>
    <w:bookmarkStart w:id="438" w:name="consent"/>
    <w:p>
      <w:pPr>
        <w:pStyle w:val="Heading3"/>
      </w:pPr>
      <w:r>
        <w:rPr>
          <w:rStyle w:val="SectionNumber"/>
        </w:rPr>
        <w:t xml:space="preserve">10.3.1</w:t>
      </w:r>
      <w:r>
        <w:tab/>
      </w:r>
      <w:r>
        <w:t xml:space="preserve">Consents</w:t>
      </w:r>
    </w:p>
    <w:p>
      <w:pPr>
        <w:pStyle w:val="FirstParagraph"/>
      </w:pPr>
      <w:r>
        <w:t xml:space="preserve">Informed consent involves obtaining a participant’s voluntary agreement to participate in your research study. As described in the Belmont Report, informed consent should meet the following criteria</w:t>
      </w:r>
      <w:r>
        <w:t xml:space="preserve"> </w:t>
      </w:r>
      <w:r>
        <w:t xml:space="preserve">(</w:t>
      </w:r>
      <w:hyperlink w:anchor="ref-huisman_3_nodate">
        <w:r>
          <w:rPr>
            <w:rStyle w:val="Hyperlink"/>
          </w:rPr>
          <w:t xml:space="preserve">Huisman n.d.</w:t>
        </w:r>
      </w:hyperlink>
      <w:r>
        <w:t xml:space="preserve">)</w:t>
      </w:r>
      <w:r>
        <w:t xml:space="preserve">.</w:t>
      </w:r>
    </w:p>
    <w:p>
      <w:pPr>
        <w:numPr>
          <w:ilvl w:val="0"/>
          <w:numId w:val="1208"/>
        </w:numPr>
        <w:pStyle w:val="Compact"/>
      </w:pPr>
      <w:r>
        <w:t xml:space="preserve">Describe the study and what is expected of the participant</w:t>
      </w:r>
    </w:p>
    <w:p>
      <w:pPr>
        <w:numPr>
          <w:ilvl w:val="0"/>
          <w:numId w:val="1208"/>
        </w:numPr>
        <w:pStyle w:val="Compact"/>
      </w:pPr>
      <w:r>
        <w:t xml:space="preserve">Use accessible language to ensure comprehension. Avoid technical jargon and explain terms that may not be easily understood</w:t>
      </w:r>
    </w:p>
    <w:p>
      <w:pPr>
        <w:numPr>
          <w:ilvl w:val="0"/>
          <w:numId w:val="1208"/>
        </w:numPr>
        <w:pStyle w:val="Compact"/>
      </w:pPr>
      <w:r>
        <w:t xml:space="preserve">Should explain that participation is voluntary</w:t>
      </w:r>
    </w:p>
    <w:p>
      <w:pPr>
        <w:numPr>
          <w:ilvl w:val="0"/>
          <w:numId w:val="1208"/>
        </w:numPr>
        <w:pStyle w:val="Compact"/>
      </w:pPr>
      <w:r>
        <w:t xml:space="preserve">Review how participant privacy will be maintained</w:t>
      </w:r>
    </w:p>
    <w:p>
      <w:pPr>
        <w:pStyle w:val="FirstParagraph"/>
      </w:pPr>
      <w:r>
        <w:t xml:space="preserve">With the revised Common Rule, additional requirements for informed consent were added</w:t>
      </w:r>
      <w:r>
        <w:t xml:space="preserve"> </w:t>
      </w:r>
      <w:r>
        <w:t xml:space="preserve">(</w:t>
      </w:r>
      <w:hyperlink w:anchor="ref-fordham_university_revised_nodate">
        <w:r>
          <w:rPr>
            <w:rStyle w:val="Hyperlink"/>
          </w:rPr>
          <w:t xml:space="preserve">Fordham University n.d.</w:t>
        </w:r>
      </w:hyperlink>
      <w:r>
        <w:t xml:space="preserve">)</w:t>
      </w:r>
      <w:r>
        <w:t xml:space="preserve">.</w:t>
      </w:r>
    </w:p>
    <w:p>
      <w:pPr>
        <w:numPr>
          <w:ilvl w:val="0"/>
          <w:numId w:val="1209"/>
        </w:numPr>
        <w:pStyle w:val="Compact"/>
      </w:pPr>
      <w:r>
        <w:t xml:space="preserve">The top of the consent must begin with a concise review of key information that allows participants to make informed decisions.</w:t>
      </w:r>
    </w:p>
    <w:p>
      <w:pPr>
        <w:numPr>
          <w:ilvl w:val="0"/>
          <w:numId w:val="1209"/>
        </w:numPr>
        <w:pStyle w:val="Compact"/>
      </w:pPr>
      <w:r>
        <w:t xml:space="preserve">All information must be presented with sufficient detail to make decisions, not just bulleted lists of facts</w:t>
      </w:r>
    </w:p>
    <w:p>
      <w:pPr>
        <w:numPr>
          <w:ilvl w:val="0"/>
          <w:numId w:val="1209"/>
        </w:numPr>
        <w:pStyle w:val="Compact"/>
      </w:pPr>
      <w:r>
        <w:t xml:space="preserve">The form must disclose any plans to use participant data for other future research</w:t>
      </w:r>
    </w:p>
    <w:p>
      <w:pPr>
        <w:pStyle w:val="FirstParagraph"/>
      </w:pPr>
      <w:r>
        <w:t xml:space="preserve">Figure</w:t>
      </w:r>
      <w:r>
        <w:t xml:space="preserve"> </w:t>
      </w:r>
      <w:r>
        <w:t xml:space="preserve">10.3</w:t>
      </w:r>
      <w:r>
        <w:t xml:space="preserve"> </w:t>
      </w:r>
      <w:r>
        <w:t xml:space="preserve">shows common elements that are included in a participant consent form</w:t>
      </w:r>
      <w:r>
        <w:t xml:space="preserve"> </w:t>
      </w:r>
      <w:r>
        <w:t xml:space="preserve">(</w:t>
      </w:r>
      <w:hyperlink w:anchor="ref-bellevue_college_elements_nodate">
        <w:r>
          <w:rPr>
            <w:rStyle w:val="Hyperlink"/>
          </w:rPr>
          <w:t xml:space="preserve">Bellevue College, n.d.</w:t>
        </w:r>
      </w:hyperlink>
      <w:r>
        <w:t xml:space="preserve">;</w:t>
      </w:r>
      <w:r>
        <w:t xml:space="preserve"> </w:t>
      </w:r>
      <w:hyperlink w:anchor="ref-community_turing_2022">
        <w:r>
          <w:rPr>
            <w:rStyle w:val="Hyperlink"/>
          </w:rPr>
          <w:t xml:space="preserve">Community 2022</w:t>
        </w:r>
      </w:hyperlink>
      <w:r>
        <w:t xml:space="preserve">)</w:t>
      </w:r>
      <w:r>
        <w:t xml:space="preserve">.</w:t>
      </w:r>
    </w:p>
    <w:p>
      <w:pPr>
        <w:pStyle w:val="CaptionedFigure"/>
      </w:pPr>
      <w:r>
        <w:drawing>
          <wp:inline>
            <wp:extent cx="5334000" cy="1680810"/>
            <wp:effectExtent b="0" l="0" r="0" t="0"/>
            <wp:docPr descr="Figure 10.3: Common topics to include in an informed consent information sheet" title="" id="425" name="Picture"/>
            <a:graphic>
              <a:graphicData uri="http://schemas.openxmlformats.org/drawingml/2006/picture">
                <pic:pic>
                  <pic:nvPicPr>
                    <pic:cNvPr descr="img/consent.PNG" id="426" name="Picture"/>
                    <pic:cNvPicPr>
                      <a:picLocks noChangeArrowheads="1" noChangeAspect="1"/>
                    </pic:cNvPicPr>
                  </pic:nvPicPr>
                  <pic:blipFill>
                    <a:blip r:embed="rId424"/>
                    <a:stretch>
                      <a:fillRect/>
                    </a:stretch>
                  </pic:blipFill>
                  <pic:spPr bwMode="auto">
                    <a:xfrm>
                      <a:off x="0" y="0"/>
                      <a:ext cx="5334000" cy="1680810"/>
                    </a:xfrm>
                    <a:prstGeom prst="rect">
                      <a:avLst/>
                    </a:prstGeom>
                    <a:noFill/>
                    <a:ln w="9525">
                      <a:noFill/>
                      <a:headEnd/>
                      <a:tailEnd/>
                    </a:ln>
                  </pic:spPr>
                </pic:pic>
              </a:graphicData>
            </a:graphic>
          </wp:inline>
        </w:drawing>
      </w:r>
    </w:p>
    <w:p>
      <w:pPr>
        <w:pStyle w:val="ImageCaption"/>
      </w:pPr>
      <w:r>
        <w:t xml:space="preserve">Figure 10.3: Common topics to include in an informed consent information sheet</w:t>
      </w:r>
    </w:p>
    <w:p>
      <w:pPr>
        <w:pStyle w:val="BodyText"/>
      </w:pPr>
      <w:r>
        <w:t xml:space="preserve">Depending on the type of research study, a participant signature or a check box denoting consent may be required. If so, it can be helpful to put the above information on a cover/information sheet, and then have a separate page for signed consent. Before signing, participants should be required to acknowledge that they</w:t>
      </w:r>
    </w:p>
    <w:p>
      <w:pPr>
        <w:numPr>
          <w:ilvl w:val="0"/>
          <w:numId w:val="1210"/>
        </w:numPr>
        <w:pStyle w:val="Compact"/>
      </w:pPr>
      <w:r>
        <w:t xml:space="preserve">Have read and understood the information provided</w:t>
      </w:r>
    </w:p>
    <w:p>
      <w:pPr>
        <w:numPr>
          <w:ilvl w:val="0"/>
          <w:numId w:val="1210"/>
        </w:numPr>
        <w:pStyle w:val="Compact"/>
      </w:pPr>
      <w:r>
        <w:t xml:space="preserve">Have been given the opportunity to ask questions</w:t>
      </w:r>
    </w:p>
    <w:p>
      <w:pPr>
        <w:numPr>
          <w:ilvl w:val="0"/>
          <w:numId w:val="1210"/>
        </w:numPr>
        <w:pStyle w:val="Compact"/>
      </w:pPr>
      <w:r>
        <w:t xml:space="preserve">Understand that their participation is voluntary</w:t>
      </w:r>
    </w:p>
    <w:p>
      <w:pPr>
        <w:numPr>
          <w:ilvl w:val="0"/>
          <w:numId w:val="1210"/>
        </w:numPr>
        <w:pStyle w:val="Compact"/>
      </w:pPr>
      <w:r>
        <w:t xml:space="preserve">Understand that they may withdraw from the study at any time</w:t>
      </w:r>
    </w:p>
    <w:p>
      <w:pPr>
        <w:pStyle w:val="FirstParagraph"/>
      </w:pPr>
      <w:r>
        <w:t xml:space="preserve">As mentioned above, not all studies require active consent. Some studies may allow passive consent that is obtained by providing the information sheet to all participants which says if they consent, they simply move forward with the study. If they choose to withdraw, they can notify a specified contact. Your institution’s IRB will let you know which type of consent is required for your study.</w:t>
      </w:r>
    </w:p>
    <w:bookmarkStart w:id="427" w:name="data-sharing"/>
    <w:p>
      <w:pPr>
        <w:pStyle w:val="Heading4"/>
      </w:pPr>
      <w:r>
        <w:rPr>
          <w:rStyle w:val="SectionNumber"/>
        </w:rPr>
        <w:t xml:space="preserve">10.3.1.1</w:t>
      </w:r>
      <w:r>
        <w:tab/>
      </w:r>
      <w:r>
        <w:t xml:space="preserve">Data Sharing</w:t>
      </w:r>
    </w:p>
    <w:p>
      <w:pPr>
        <w:pStyle w:val="FirstParagraph"/>
      </w:pPr>
      <w:r>
        <w:t xml:space="preserve">While creating your consent is very important to consider how you want to gain consent for public data sharing. There are essentially three different ways you can go about obtaining consent for data sharing</w:t>
      </w:r>
      <w:r>
        <w:t xml:space="preserve"> </w:t>
      </w:r>
      <w:r>
        <w:t xml:space="preserve">(</w:t>
      </w:r>
      <w:hyperlink w:anchor="ref-gilmore_practical_2018">
        <w:r>
          <w:rPr>
            <w:rStyle w:val="Hyperlink"/>
          </w:rPr>
          <w:t xml:space="preserve">Gilmore, Kennedy, and Adolph 2018</w:t>
        </w:r>
      </w:hyperlink>
      <w:r>
        <w:t xml:space="preserve">)</w:t>
      </w:r>
      <w:r>
        <w:t xml:space="preserve">.</w:t>
      </w:r>
    </w:p>
    <w:p>
      <w:pPr>
        <w:numPr>
          <w:ilvl w:val="0"/>
          <w:numId w:val="1211"/>
        </w:numPr>
        <w:pStyle w:val="Compact"/>
      </w:pPr>
      <w:r>
        <w:t xml:space="preserve">Include a line about public data sharing in your consent to participate to research, therefore a participant who consents is agreeing to both participate in the research study and have their data shared publicly.</w:t>
      </w:r>
    </w:p>
    <w:p>
      <w:pPr>
        <w:numPr>
          <w:ilvl w:val="0"/>
          <w:numId w:val="1211"/>
        </w:numPr>
        <w:pStyle w:val="Compact"/>
      </w:pPr>
      <w:r>
        <w:t xml:space="preserve">Have participant’s consent to data sharing at the same time you provide the research study consent, but provide a separate consent form for the purposes of public data sharing.</w:t>
      </w:r>
    </w:p>
    <w:p>
      <w:pPr>
        <w:numPr>
          <w:ilvl w:val="0"/>
          <w:numId w:val="1211"/>
        </w:numPr>
        <w:pStyle w:val="Compact"/>
      </w:pPr>
      <w:r>
        <w:t xml:space="preserve">Have participant’s consent to data sharing on a separate consent form, at a later time, after research activities are completed. Obtaining consent this way ensures the participant’s are fully aware of the data collected from them and can make an informed decision about the future of that data.</w:t>
      </w:r>
    </w:p>
    <w:p>
      <w:pPr>
        <w:pStyle w:val="FirstParagraph"/>
      </w:pPr>
      <w:r>
        <w:t xml:space="preserve">A limitation of using method 1, as discussed by</w:t>
      </w:r>
      <w:r>
        <w:t xml:space="preserve"> </w:t>
      </w:r>
      <w:r>
        <w:t xml:space="preserve">Gilmore, Kennedy, and Adolph (</w:t>
      </w:r>
      <w:hyperlink w:anchor="ref-gilmore_practical_2018">
        <w:r>
          <w:rPr>
            <w:rStyle w:val="Hyperlink"/>
          </w:rPr>
          <w:t xml:space="preserve">2018</w:t>
        </w:r>
      </w:hyperlink>
      <w:r>
        <w:t xml:space="preserve">)</w:t>
      </w:r>
      <w:r>
        <w:t xml:space="preserve">, is that if a participant is uncomfortable with their data being publicly shared, you will then also loose them as a study participant. So method 2 or 3 may be your best option. If you choose to go with method 2 or 3, it is very important that you not only track your participant study consent status in your</w:t>
      </w:r>
      <w:r>
        <w:t xml:space="preserve"> </w:t>
      </w:r>
      <w:hyperlink w:anchor="tracking">
        <w:r>
          <w:rPr>
            <w:rStyle w:val="Hyperlink"/>
          </w:rPr>
          <w:t xml:space="preserve">tracking database</w:t>
        </w:r>
      </w:hyperlink>
      <w:r>
        <w:t xml:space="preserve"> </w:t>
      </w:r>
      <w:r>
        <w:t xml:space="preserve">but that you also add a field to track the consent status for data sharing so that you only public share data for those that have given you permission to do so.</w:t>
      </w:r>
    </w:p>
    <w:p>
      <w:pPr>
        <w:pStyle w:val="BodyText"/>
      </w:pPr>
      <w:r>
        <w:t xml:space="preserve">Meyer (</w:t>
      </w:r>
      <w:hyperlink w:anchor="ref-meyer_practical_2018">
        <w:r>
          <w:rPr>
            <w:rStyle w:val="Hyperlink"/>
          </w:rPr>
          <w:t xml:space="preserve">2018</w:t>
        </w:r>
      </w:hyperlink>
      <w:r>
        <w:t xml:space="preserve">)</w:t>
      </w:r>
      <w:r>
        <w:t xml:space="preserve"> </w:t>
      </w:r>
      <w:r>
        <w:t xml:space="preserve">provides some general best practices to consider when adding language about public data sharing to a consent form.</w:t>
      </w:r>
    </w:p>
    <w:p>
      <w:pPr>
        <w:numPr>
          <w:ilvl w:val="0"/>
          <w:numId w:val="1212"/>
        </w:numPr>
        <w:pStyle w:val="Compact"/>
      </w:pPr>
      <w:r>
        <w:t xml:space="preserve">Don’t promise to destroy your data (unless your funder/IRB explicitly requires it)</w:t>
      </w:r>
    </w:p>
    <w:p>
      <w:pPr>
        <w:numPr>
          <w:ilvl w:val="1"/>
          <w:numId w:val="1213"/>
        </w:numPr>
        <w:pStyle w:val="Compact"/>
      </w:pPr>
      <w:r>
        <w:t xml:space="preserve">Do incorporate data-retention and sharing plans including letting participants know who will have access to their data</w:t>
      </w:r>
    </w:p>
    <w:p>
      <w:pPr>
        <w:numPr>
          <w:ilvl w:val="0"/>
          <w:numId w:val="1212"/>
        </w:numPr>
        <w:pStyle w:val="Compact"/>
      </w:pPr>
      <w:r>
        <w:t xml:space="preserve">Don’t promise to not share data</w:t>
      </w:r>
    </w:p>
    <w:p>
      <w:pPr>
        <w:numPr>
          <w:ilvl w:val="1"/>
          <w:numId w:val="1214"/>
        </w:numPr>
        <w:pStyle w:val="Compact"/>
      </w:pPr>
      <w:r>
        <w:t xml:space="preserve">Do get consent to retain and share data (consider adding the specific repository you plan to share your data in). Considered offering tiered levels of consent for participants who may not want all of their data publicly shared but will allow some.</w:t>
      </w:r>
    </w:p>
    <w:p>
      <w:pPr>
        <w:numPr>
          <w:ilvl w:val="0"/>
          <w:numId w:val="1212"/>
        </w:numPr>
        <w:pStyle w:val="Compact"/>
      </w:pPr>
      <w:r>
        <w:t xml:space="preserve">Don’t promise that research analyses of the collected data will be limited to certain topics</w:t>
      </w:r>
    </w:p>
    <w:p>
      <w:pPr>
        <w:numPr>
          <w:ilvl w:val="1"/>
          <w:numId w:val="1215"/>
        </w:numPr>
        <w:pStyle w:val="Compact"/>
      </w:pPr>
      <w:r>
        <w:t xml:space="preserve">Do say that data may be used for future research and share general purposes (e.g., replication, new analyses)</w:t>
      </w:r>
    </w:p>
    <w:p>
      <w:pPr>
        <w:numPr>
          <w:ilvl w:val="0"/>
          <w:numId w:val="1212"/>
        </w:numPr>
        <w:pStyle w:val="Compact"/>
      </w:pPr>
      <w:r>
        <w:t xml:space="preserve">Do review the ways you plan to de-identify data but be thoughtful when considering risks of re-identification (ex: small sample size for sub-groups)</w:t>
      </w:r>
    </w:p>
    <w:bookmarkEnd w:id="427"/>
    <w:bookmarkStart w:id="428" w:name="assents"/>
    <w:p>
      <w:pPr>
        <w:pStyle w:val="Heading4"/>
      </w:pPr>
      <w:r>
        <w:rPr>
          <w:rStyle w:val="SectionNumber"/>
        </w:rPr>
        <w:t xml:space="preserve">10.3.1.2</w:t>
      </w:r>
      <w:r>
        <w:tab/>
      </w:r>
      <w:r>
        <w:t xml:space="preserve">Assents</w:t>
      </w:r>
    </w:p>
    <w:p>
      <w:pPr>
        <w:pStyle w:val="FirstParagraph"/>
      </w:pPr>
      <w:r>
        <w:t xml:space="preserve">If your study involves participants under the age of 18, you may also be required to obtain a participant assent form, in addition to a parent/guardian consent form. The guidelines for when assent is needed varies across IRBs, but typically if a child is age 7 or older</w:t>
      </w:r>
      <w:r>
        <w:t xml:space="preserve"> </w:t>
      </w:r>
      <w:r>
        <w:t xml:space="preserve">(</w:t>
      </w:r>
      <w:hyperlink w:anchor="ref-duru_institutional_nodate">
        <w:r>
          <w:rPr>
            <w:rStyle w:val="Hyperlink"/>
          </w:rPr>
          <w:t xml:space="preserve">Duru and Sautmann n.d.</w:t>
        </w:r>
      </w:hyperlink>
      <w:r>
        <w:t xml:space="preserve">)</w:t>
      </w:r>
      <w:r>
        <w:t xml:space="preserve">, both assent and parent consent is needed. While including similar information as above, these are typically shorter forms, that require much more simplistic language depending on the age of the child.</w:t>
      </w:r>
    </w:p>
    <w:bookmarkEnd w:id="428"/>
    <w:bookmarkStart w:id="437" w:name="collecting"/>
    <w:p>
      <w:pPr>
        <w:pStyle w:val="Heading4"/>
      </w:pPr>
      <w:r>
        <w:rPr>
          <w:rStyle w:val="SectionNumber"/>
        </w:rPr>
        <w:t xml:space="preserve">10.3.1.3</w:t>
      </w:r>
      <w:r>
        <w:tab/>
      </w:r>
      <w:r>
        <w:t xml:space="preserve">Collecting</w:t>
      </w:r>
    </w:p>
    <w:p>
      <w:pPr>
        <w:pStyle w:val="FirstParagraph"/>
      </w:pPr>
      <w:r>
        <w:t xml:space="preserve">Last, many institutions have started collecting electronic consent rather than paper consents, especially with a rise in remote data collection efforts. A few considerations for electronic consent include the following</w:t>
      </w:r>
      <w:r>
        <w:t xml:space="preserve"> </w:t>
      </w:r>
      <w:r>
        <w:t xml:space="preserve">(</w:t>
      </w:r>
      <w:hyperlink w:anchor="ref-lee_considerations_2020">
        <w:r>
          <w:rPr>
            <w:rStyle w:val="Hyperlink"/>
          </w:rPr>
          <w:t xml:space="preserve">Lee, Hughes, and Marsh 2020</w:t>
        </w:r>
      </w:hyperlink>
      <w:r>
        <w:t xml:space="preserve">)</w:t>
      </w:r>
      <w:r>
        <w:t xml:space="preserve">.</w:t>
      </w:r>
    </w:p>
    <w:p>
      <w:pPr>
        <w:numPr>
          <w:ilvl w:val="0"/>
          <w:numId w:val="1216"/>
        </w:numPr>
        <w:pStyle w:val="Compact"/>
      </w:pPr>
      <w:r>
        <w:t xml:space="preserve">Make sure your IRB approves this method</w:t>
      </w:r>
    </w:p>
    <w:p>
      <w:pPr>
        <w:numPr>
          <w:ilvl w:val="0"/>
          <w:numId w:val="1216"/>
        </w:numPr>
        <w:pStyle w:val="Compact"/>
      </w:pPr>
      <w:r>
        <w:t xml:space="preserve">Use institution and IRB approved tools to collect consent (e.g., Qualtrics, DocuSign)</w:t>
      </w:r>
    </w:p>
    <w:p>
      <w:pPr>
        <w:numPr>
          <w:ilvl w:val="0"/>
          <w:numId w:val="1216"/>
        </w:numPr>
        <w:pStyle w:val="Compact"/>
      </w:pPr>
      <w:r>
        <w:t xml:space="preserve">Find out what information is required by your IRB (e.g., signature, typed name, check box, date)</w:t>
      </w:r>
    </w:p>
    <w:p>
      <w:pPr>
        <w:numPr>
          <w:ilvl w:val="0"/>
          <w:numId w:val="1216"/>
        </w:numPr>
        <w:pStyle w:val="Compact"/>
      </w:pPr>
      <w:r>
        <w:t xml:space="preserve">Consider how those consents will be stored (e.g., download PDFs, download spreadsheet, store in collection tool)</w:t>
      </w:r>
    </w:p>
    <w:p>
      <w:pPr>
        <w:pStyle w:val="FirstParagraph"/>
      </w:pPr>
      <w:r>
        <w:rPr>
          <w:bCs/>
          <w:b/>
        </w:rPr>
        <w:t xml:space="preserve">Templates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Holly Lane, Wilhemina van Dijk</w:t>
            </w:r>
          </w:p>
        </w:tc>
        <w:tc>
          <w:tcPr/>
          <w:p>
            <w:pPr>
              <w:pStyle w:val="Compact"/>
              <w:jc w:val="left"/>
            </w:pPr>
            <w:r>
              <w:t xml:space="preserve">Example parent consent</w:t>
            </w:r>
            <w:r>
              <w:t xml:space="preserve"> </w:t>
            </w:r>
            <w:r>
              <w:rPr>
                <w:rStyle w:val="FootnoteReference"/>
              </w:rPr>
              <w:footnoteReference w:id="429"/>
            </w:r>
          </w:p>
        </w:tc>
      </w:tr>
      <w:tr>
        <w:tc>
          <w:tcPr/>
          <w:p>
            <w:pPr>
              <w:pStyle w:val="Compact"/>
              <w:jc w:val="left"/>
            </w:pPr>
            <w:r>
              <w:t xml:space="preserve">Jeffrey Shero, Sara Hart</w:t>
            </w:r>
          </w:p>
        </w:tc>
        <w:tc>
          <w:tcPr/>
          <w:p>
            <w:pPr>
              <w:pStyle w:val="Compact"/>
              <w:jc w:val="left"/>
            </w:pPr>
            <w:r>
              <w:t xml:space="preserve">Informed consent template with a focus on data sharing</w:t>
            </w:r>
            <w:r>
              <w:t xml:space="preserve"> </w:t>
            </w:r>
            <w:r>
              <w:rPr>
                <w:rStyle w:val="FootnoteReference"/>
              </w:rPr>
              <w:footnoteReference w:id="431"/>
            </w:r>
          </w:p>
        </w:tc>
      </w:tr>
      <w:tr>
        <w:tc>
          <w:tcPr/>
          <w:p>
            <w:pPr>
              <w:pStyle w:val="Compact"/>
              <w:jc w:val="left"/>
            </w:pPr>
            <w:r>
              <w:t xml:space="preserve">J-PAL</w:t>
            </w:r>
          </w:p>
        </w:tc>
        <w:tc>
          <w:tcPr/>
          <w:p>
            <w:pPr>
              <w:pStyle w:val="Compact"/>
              <w:jc w:val="left"/>
            </w:pPr>
            <w:r>
              <w:t xml:space="preserve">Annontated informed consent checklist</w:t>
            </w:r>
            <w:r>
              <w:t xml:space="preserve"> </w:t>
            </w:r>
            <w:r>
              <w:rPr>
                <w:rStyle w:val="FootnoteReference"/>
              </w:rPr>
              <w:footnoteReference w:id="433"/>
            </w:r>
          </w:p>
        </w:tc>
      </w:tr>
      <w:tr>
        <w:tc>
          <w:tcPr/>
          <w:p>
            <w:pPr>
              <w:pStyle w:val="Compact"/>
              <w:jc w:val="left"/>
            </w:pPr>
            <w:r>
              <w:t xml:space="preserve">University of Virginia</w:t>
            </w:r>
          </w:p>
        </w:tc>
        <w:tc>
          <w:tcPr/>
          <w:p>
            <w:pPr>
              <w:pStyle w:val="Compact"/>
              <w:jc w:val="left"/>
            </w:pPr>
            <w:r>
              <w:t xml:space="preserve">A collection of consent and assent templates</w:t>
            </w:r>
            <w:r>
              <w:t xml:space="preserve"> </w:t>
            </w:r>
            <w:r>
              <w:rPr>
                <w:rStyle w:val="FootnoteReference"/>
              </w:rPr>
              <w:footnoteReference w:id="435"/>
            </w:r>
          </w:p>
        </w:tc>
      </w:tr>
    </w:tbl>
    <w:bookmarkEnd w:id="437"/>
    <w:bookmarkEnd w:id="438"/>
    <w:bookmarkStart w:id="447" w:name="other-agreements"/>
    <w:p>
      <w:pPr>
        <w:pStyle w:val="Heading3"/>
      </w:pPr>
      <w:r>
        <w:rPr>
          <w:rStyle w:val="SectionNumber"/>
        </w:rPr>
        <w:t xml:space="preserve">10.3.2</w:t>
      </w:r>
      <w:r>
        <w:tab/>
      </w:r>
      <w:r>
        <w:t xml:space="preserve">Other agreements</w:t>
      </w:r>
    </w:p>
    <w:p>
      <w:pPr>
        <w:pStyle w:val="FirstParagraph"/>
      </w:pPr>
      <w:r>
        <w:t xml:space="preserve">As we discussed in Chapter</w:t>
      </w:r>
      <w:r>
        <w:t xml:space="preserve"> </w:t>
      </w:r>
      <w:r>
        <w:t xml:space="preserve">7</w:t>
      </w:r>
      <w:r>
        <w:t xml:space="preserve">, a data use agreement (DUA) is a contractual document that lays out expectations for how data will be shared between two or more parties. While the terms Data Use Agreement and Data Sharing Agreement (DSA) are often used interchangeably, I want to differentiate between the two documents. Data Use Agreements are typically legally binding agreements that provide terms and conditions for working with restricted use data. DUAs are commonly written for data sharing with school districts. In this case, a DUA may include the terms for sharing, working with, and storing identifiable district level data.</w:t>
      </w:r>
    </w:p>
    <w:p>
      <w:pPr>
        <w:pStyle w:val="BodyText"/>
      </w:pPr>
      <w:r>
        <w:t xml:space="preserve">When working with de-identified non-sensitive data, a data sharing agreement is a good option. A DSA is a less formal agreement but is still beneficial if you want to provide terms for how data is used, such as limiting the types of projects that use the data</w:t>
      </w:r>
      <w:r>
        <w:t xml:space="preserve"> </w:t>
      </w:r>
      <w:r>
        <w:t xml:space="preserve">(</w:t>
      </w:r>
      <w:hyperlink w:anchor="ref-ldbase_data_nodate">
        <w:r>
          <w:rPr>
            <w:rStyle w:val="Hyperlink"/>
          </w:rPr>
          <w:t xml:space="preserve">LDbase n.d.a</w:t>
        </w:r>
      </w:hyperlink>
      <w:r>
        <w:t xml:space="preserve">)</w:t>
      </w:r>
      <w:r>
        <w:t xml:space="preserve">. We will talk more about these types of agreements in the Chapter</w:t>
      </w:r>
      <w:r>
        <w:t xml:space="preserve"> </w:t>
      </w:r>
      <w:r>
        <w:t xml:space="preserve">14</w:t>
      </w:r>
      <w:r>
        <w:t xml:space="preserve">.</w:t>
      </w:r>
    </w:p>
    <w:p>
      <w:pPr>
        <w:pStyle w:val="BodyText"/>
      </w:pPr>
      <w:r>
        <w:t xml:space="preserve">Another type of agreement, commonly signed when working with partners such a school districts, is a memorandum of understandings (MOU), which establishes the framework for collaboration</w:t>
      </w:r>
      <w:r>
        <w:t xml:space="preserve"> </w:t>
      </w:r>
      <w:r>
        <w:t xml:space="preserve">(</w:t>
      </w:r>
      <w:hyperlink w:anchor="Xe2eee4d1f7bd27c87dd0af04aef59311d284e11">
        <w:r>
          <w:rPr>
            <w:rStyle w:val="Hyperlink"/>
          </w:rPr>
          <w:t xml:space="preserve">National Center for Education Statistics n.d.</w:t>
        </w:r>
      </w:hyperlink>
      <w:r>
        <w:t xml:space="preserve">;</w:t>
      </w:r>
      <w:r>
        <w:t xml:space="preserve"> </w:t>
      </w:r>
      <w:hyperlink w:anchor="ref-rel_west_data_nodate">
        <w:r>
          <w:rPr>
            <w:rStyle w:val="Hyperlink"/>
          </w:rPr>
          <w:t xml:space="preserve">West, n.d.</w:t>
        </w:r>
      </w:hyperlink>
      <w:r>
        <w:t xml:space="preserve">)</w:t>
      </w:r>
      <w:r>
        <w:t xml:space="preserve">. This document is typically not legally binding, but establishes agreements around things such as responsibilities, communication, and expectations</w:t>
      </w:r>
      <w:r>
        <w:t xml:space="preserve"> </w:t>
      </w:r>
      <w:r>
        <w:t xml:space="preserve">(</w:t>
      </w:r>
      <w:hyperlink w:anchor="ref-duru_grant_nodate">
        <w:r>
          <w:rPr>
            <w:rStyle w:val="Hyperlink"/>
          </w:rPr>
          <w:t xml:space="preserve">Duru and Kopper n.d.b</w:t>
        </w:r>
      </w:hyperlink>
      <w:r>
        <w:t xml:space="preserve">)</w:t>
      </w:r>
      <w:r>
        <w:t xml:space="preserve">. An MOU can be a standalone document or can include a DSA or DUA as part of the document.</w:t>
      </w:r>
    </w:p>
    <w:p>
      <w:pPr>
        <w:pStyle w:val="BodyText"/>
      </w:pPr>
      <w:r>
        <w:t xml:space="preserve">Last, confidentiality agreements and non-disclosure agreements (NDAs) are other types of agreement that may be needed. These documents restrict the use of proprietary or confidential information</w:t>
      </w:r>
      <w:r>
        <w:t xml:space="preserve"> </w:t>
      </w:r>
      <w:r>
        <w:t xml:space="preserve">(</w:t>
      </w:r>
      <w:hyperlink w:anchor="X498959d71c5b4f0aeb372e81a5c5e1f13cb33aa">
        <w:r>
          <w:rPr>
            <w:rStyle w:val="Hyperlink"/>
          </w:rPr>
          <w:t xml:space="preserve">University of Washington n.d.</w:t>
        </w:r>
      </w:hyperlink>
      <w:r>
        <w:t xml:space="preserve">)</w:t>
      </w:r>
      <w:r>
        <w:t xml:space="preserve"> </w:t>
      </w:r>
      <w:r>
        <w:t xml:space="preserve">and are legally enforceable agreements.</w:t>
      </w:r>
    </w:p>
    <w:p>
      <w:pPr>
        <w:pStyle w:val="BodyText"/>
      </w:pPr>
      <w:r>
        <w:rPr>
          <w:bCs/>
          <w:b/>
        </w:rPr>
        <w:t xml:space="preserve">Templates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Amy O’Hara</w:t>
            </w:r>
          </w:p>
        </w:tc>
        <w:tc>
          <w:tcPr/>
          <w:p>
            <w:pPr>
              <w:pStyle w:val="Compact"/>
              <w:jc w:val="left"/>
            </w:pPr>
            <w:r>
              <w:t xml:space="preserve">Sample text for data sharing agreements</w:t>
            </w:r>
            <w:r>
              <w:t xml:space="preserve"> </w:t>
            </w:r>
            <w:r>
              <w:rPr>
                <w:rStyle w:val="FootnoteReference"/>
              </w:rPr>
              <w:footnoteReference w:id="439"/>
            </w:r>
          </w:p>
        </w:tc>
      </w:tr>
      <w:tr>
        <w:tc>
          <w:tcPr/>
          <w:p>
            <w:pPr>
              <w:pStyle w:val="Compact"/>
              <w:jc w:val="left"/>
            </w:pPr>
            <w:r>
              <w:t xml:space="preserve">REL West</w:t>
            </w:r>
          </w:p>
        </w:tc>
        <w:tc>
          <w:tcPr/>
          <w:p>
            <w:pPr>
              <w:pStyle w:val="Compact"/>
              <w:jc w:val="left"/>
            </w:pPr>
            <w:r>
              <w:t xml:space="preserve">Data use agreement checklist</w:t>
            </w:r>
            <w:r>
              <w:t xml:space="preserve"> </w:t>
            </w:r>
            <w:r>
              <w:rPr>
                <w:rStyle w:val="FootnoteReference"/>
              </w:rPr>
              <w:footnoteReference w:id="441"/>
            </w:r>
          </w:p>
        </w:tc>
      </w:tr>
      <w:tr>
        <w:tc>
          <w:tcPr/>
          <w:p>
            <w:pPr>
              <w:pStyle w:val="Compact"/>
              <w:jc w:val="left"/>
            </w:pPr>
            <w:r>
              <w:t xml:space="preserve">University of North Carolina</w:t>
            </w:r>
          </w:p>
        </w:tc>
        <w:tc>
          <w:tcPr/>
          <w:p>
            <w:pPr>
              <w:pStyle w:val="Compact"/>
              <w:jc w:val="left"/>
            </w:pPr>
            <w:r>
              <w:t xml:space="preserve">Data use agreement decision making flow chart</w:t>
            </w:r>
            <w:r>
              <w:t xml:space="preserve"> </w:t>
            </w:r>
            <w:r>
              <w:rPr>
                <w:rStyle w:val="FootnoteReference"/>
              </w:rPr>
              <w:footnoteReference w:id="443"/>
            </w:r>
          </w:p>
        </w:tc>
      </w:tr>
      <w:tr>
        <w:tc>
          <w:tcPr/>
          <w:p>
            <w:pPr>
              <w:pStyle w:val="Compact"/>
              <w:jc w:val="left"/>
            </w:pPr>
            <w:r>
              <w:t xml:space="preserve">Wilhelmina van Dijk, Sara Hart</w:t>
            </w:r>
          </w:p>
        </w:tc>
        <w:tc>
          <w:tcPr/>
          <w:p>
            <w:pPr>
              <w:pStyle w:val="Compact"/>
              <w:jc w:val="left"/>
            </w:pPr>
            <w:r>
              <w:t xml:space="preserve">Example data sharing agreement</w:t>
            </w:r>
            <w:r>
              <w:t xml:space="preserve"> </w:t>
            </w:r>
            <w:r>
              <w:rPr>
                <w:rStyle w:val="FootnoteReference"/>
              </w:rPr>
              <w:footnoteReference w:id="445"/>
            </w:r>
          </w:p>
        </w:tc>
      </w:tr>
    </w:tbl>
    <w:bookmarkEnd w:id="447"/>
    <w:bookmarkEnd w:id="448"/>
    <w:bookmarkStart w:id="449" w:name="Xf7efaddcd31ff300181cdd1a411b180336ddc41"/>
    <w:p>
      <w:pPr>
        <w:pStyle w:val="Heading2"/>
      </w:pPr>
      <w:r>
        <w:rPr>
          <w:rStyle w:val="SectionNumber"/>
        </w:rPr>
        <w:t xml:space="preserve">10.4</w:t>
      </w:r>
      <w:r>
        <w:tab/>
      </w:r>
      <w:r>
        <w:t xml:space="preserve">General instrument creation considerations</w:t>
      </w:r>
    </w:p>
    <w:p>
      <w:pPr>
        <w:pStyle w:val="FirstParagraph"/>
      </w:pPr>
      <w:r>
        <w:t xml:space="preserve">With a solid understanding of the ethical and legal requirements needed to plan data collection, we are now ready to discuss best practices for creating data collection instruments.</w:t>
      </w:r>
    </w:p>
    <w:bookmarkEnd w:id="449"/>
    <w:bookmarkStart w:id="450" w:name="electronic-data-collection-instruments"/>
    <w:p>
      <w:pPr>
        <w:pStyle w:val="Heading2"/>
      </w:pPr>
      <w:r>
        <w:rPr>
          <w:rStyle w:val="SectionNumber"/>
        </w:rPr>
        <w:t xml:space="preserve">10.5</w:t>
      </w:r>
      <w:r>
        <w:tab/>
      </w:r>
      <w:r>
        <w:t xml:space="preserve">Electronic data collection instruments</w:t>
      </w:r>
    </w:p>
    <w:bookmarkEnd w:id="450"/>
    <w:bookmarkStart w:id="451" w:name="paper-data-collection-instruments"/>
    <w:p>
      <w:pPr>
        <w:pStyle w:val="Heading2"/>
      </w:pPr>
      <w:r>
        <w:rPr>
          <w:rStyle w:val="SectionNumber"/>
        </w:rPr>
        <w:t xml:space="preserve">10.6</w:t>
      </w:r>
      <w:r>
        <w:tab/>
      </w:r>
      <w:r>
        <w:t xml:space="preserve">Paper data collection instruments</w:t>
      </w:r>
    </w:p>
    <w:bookmarkEnd w:id="451"/>
    <w:bookmarkStart w:id="452" w:name="interviewsfocus-groups"/>
    <w:p>
      <w:pPr>
        <w:pStyle w:val="Heading2"/>
      </w:pPr>
      <w:r>
        <w:rPr>
          <w:rStyle w:val="SectionNumber"/>
        </w:rPr>
        <w:t xml:space="preserve">10.7</w:t>
      </w:r>
      <w:r>
        <w:tab/>
      </w:r>
      <w:r>
        <w:t xml:space="preserve">Interviews/focus groups</w:t>
      </w:r>
    </w:p>
    <w:bookmarkEnd w:id="452"/>
    <w:bookmarkEnd w:id="453"/>
    <w:bookmarkStart w:id="457" w:name="data-capture"/>
    <w:p>
      <w:pPr>
        <w:pStyle w:val="Heading1"/>
      </w:pPr>
      <w:r>
        <w:rPr>
          <w:rStyle w:val="SectionNumber"/>
        </w:rPr>
        <w:t xml:space="preserve">11</w:t>
      </w:r>
      <w:r>
        <w:tab/>
      </w:r>
      <w:r>
        <w:t xml:space="preserve">Data Capture</w:t>
      </w:r>
    </w:p>
    <w:bookmarkStart w:id="454" w:name="electronic-data-capture"/>
    <w:p>
      <w:pPr>
        <w:pStyle w:val="Heading2"/>
      </w:pPr>
      <w:r>
        <w:rPr>
          <w:rStyle w:val="SectionNumber"/>
        </w:rPr>
        <w:t xml:space="preserve">11.1</w:t>
      </w:r>
      <w:r>
        <w:tab/>
      </w:r>
      <w:r>
        <w:t xml:space="preserve">Electronic data capture</w:t>
      </w:r>
    </w:p>
    <w:bookmarkEnd w:id="454"/>
    <w:bookmarkStart w:id="455" w:name="paper-data-capture"/>
    <w:p>
      <w:pPr>
        <w:pStyle w:val="Heading2"/>
      </w:pPr>
      <w:r>
        <w:rPr>
          <w:rStyle w:val="SectionNumber"/>
        </w:rPr>
        <w:t xml:space="preserve">11.2</w:t>
      </w:r>
      <w:r>
        <w:tab/>
      </w:r>
      <w:r>
        <w:t xml:space="preserve">Paper data capture</w:t>
      </w:r>
    </w:p>
    <w:bookmarkEnd w:id="455"/>
    <w:bookmarkStart w:id="456" w:name="extant-data"/>
    <w:p>
      <w:pPr>
        <w:pStyle w:val="Heading2"/>
      </w:pPr>
      <w:r>
        <w:rPr>
          <w:rStyle w:val="SectionNumber"/>
        </w:rPr>
        <w:t xml:space="preserve">11.3</w:t>
      </w:r>
      <w:r>
        <w:tab/>
      </w:r>
      <w:r>
        <w:t xml:space="preserve">Extant data</w:t>
      </w:r>
    </w:p>
    <w:bookmarkEnd w:id="456"/>
    <w:bookmarkEnd w:id="457"/>
    <w:bookmarkStart w:id="466" w:name="data-storage-and-security"/>
    <w:p>
      <w:pPr>
        <w:pStyle w:val="Heading1"/>
      </w:pPr>
      <w:r>
        <w:rPr>
          <w:rStyle w:val="SectionNumber"/>
        </w:rPr>
        <w:t xml:space="preserve">12</w:t>
      </w:r>
      <w:r>
        <w:tab/>
      </w:r>
      <w:r>
        <w:t xml:space="preserve">Data Storage and Security</w:t>
      </w:r>
    </w:p>
    <w:bookmarkStart w:id="458" w:name="types-of-data-youll-be-storing"/>
    <w:p>
      <w:pPr>
        <w:pStyle w:val="Heading2"/>
      </w:pPr>
      <w:r>
        <w:rPr>
          <w:rStyle w:val="SectionNumber"/>
        </w:rPr>
        <w:t xml:space="preserve">12.1</w:t>
      </w:r>
      <w:r>
        <w:tab/>
      </w:r>
      <w:r>
        <w:t xml:space="preserve">Types of data you’ll be storing</w:t>
      </w:r>
    </w:p>
    <w:bookmarkEnd w:id="458"/>
    <w:bookmarkStart w:id="459" w:name="general-security-rules"/>
    <w:p>
      <w:pPr>
        <w:pStyle w:val="Heading2"/>
      </w:pPr>
      <w:r>
        <w:rPr>
          <w:rStyle w:val="SectionNumber"/>
        </w:rPr>
        <w:t xml:space="preserve">12.2</w:t>
      </w:r>
      <w:r>
        <w:tab/>
      </w:r>
      <w:r>
        <w:t xml:space="preserve">General security rules</w:t>
      </w:r>
    </w:p>
    <w:bookmarkEnd w:id="459"/>
    <w:bookmarkStart w:id="460" w:name="trackingstorage"/>
    <w:p>
      <w:pPr>
        <w:pStyle w:val="Heading2"/>
      </w:pPr>
      <w:r>
        <w:rPr>
          <w:rStyle w:val="SectionNumber"/>
        </w:rPr>
        <w:t xml:space="preserve">12.3</w:t>
      </w:r>
      <w:r>
        <w:tab/>
      </w:r>
      <w:r>
        <w:t xml:space="preserve">Participant tracking database</w:t>
      </w:r>
    </w:p>
    <w:bookmarkEnd w:id="460"/>
    <w:bookmarkStart w:id="461" w:name="electronic-data"/>
    <w:p>
      <w:pPr>
        <w:pStyle w:val="Heading2"/>
      </w:pPr>
      <w:r>
        <w:rPr>
          <w:rStyle w:val="SectionNumber"/>
        </w:rPr>
        <w:t xml:space="preserve">12.4</w:t>
      </w:r>
      <w:r>
        <w:tab/>
      </w:r>
      <w:r>
        <w:t xml:space="preserve">Electronic data</w:t>
      </w:r>
    </w:p>
    <w:bookmarkEnd w:id="461"/>
    <w:bookmarkStart w:id="462" w:name="detachable-media"/>
    <w:p>
      <w:pPr>
        <w:pStyle w:val="Heading2"/>
      </w:pPr>
      <w:r>
        <w:rPr>
          <w:rStyle w:val="SectionNumber"/>
        </w:rPr>
        <w:t xml:space="preserve">12.5</w:t>
      </w:r>
      <w:r>
        <w:tab/>
      </w:r>
      <w:r>
        <w:t xml:space="preserve">Detachable media</w:t>
      </w:r>
    </w:p>
    <w:bookmarkEnd w:id="462"/>
    <w:bookmarkStart w:id="463" w:name="audiovisual-data"/>
    <w:p>
      <w:pPr>
        <w:pStyle w:val="Heading2"/>
      </w:pPr>
      <w:r>
        <w:rPr>
          <w:rStyle w:val="SectionNumber"/>
        </w:rPr>
        <w:t xml:space="preserve">12.6</w:t>
      </w:r>
      <w:r>
        <w:tab/>
      </w:r>
      <w:r>
        <w:t xml:space="preserve">Audio/visual data</w:t>
      </w:r>
    </w:p>
    <w:bookmarkEnd w:id="463"/>
    <w:bookmarkStart w:id="464" w:name="paper-data"/>
    <w:p>
      <w:pPr>
        <w:pStyle w:val="Heading2"/>
      </w:pPr>
      <w:r>
        <w:rPr>
          <w:rStyle w:val="SectionNumber"/>
        </w:rPr>
        <w:t xml:space="preserve">12.7</w:t>
      </w:r>
      <w:r>
        <w:tab/>
      </w:r>
      <w:r>
        <w:t xml:space="preserve">Paper data</w:t>
      </w:r>
    </w:p>
    <w:bookmarkEnd w:id="464"/>
    <w:bookmarkStart w:id="465" w:name="sharing-data"/>
    <w:p>
      <w:pPr>
        <w:pStyle w:val="Heading2"/>
      </w:pPr>
      <w:r>
        <w:rPr>
          <w:rStyle w:val="SectionNumber"/>
        </w:rPr>
        <w:t xml:space="preserve">12.8</w:t>
      </w:r>
      <w:r>
        <w:tab/>
      </w:r>
      <w:r>
        <w:t xml:space="preserve">Sharing data</w:t>
      </w:r>
    </w:p>
    <w:bookmarkEnd w:id="465"/>
    <w:bookmarkEnd w:id="466"/>
    <w:bookmarkStart w:id="472" w:name="clean"/>
    <w:p>
      <w:pPr>
        <w:pStyle w:val="Heading1"/>
      </w:pPr>
      <w:r>
        <w:rPr>
          <w:rStyle w:val="SectionNumber"/>
        </w:rPr>
        <w:t xml:space="preserve">13</w:t>
      </w:r>
      <w:r>
        <w:tab/>
      </w:r>
      <w:r>
        <w:t xml:space="preserve">Data Cleaning</w:t>
      </w:r>
    </w:p>
    <w:bookmarkStart w:id="467" w:name="foundational-knowledge"/>
    <w:p>
      <w:pPr>
        <w:pStyle w:val="Heading2"/>
      </w:pPr>
      <w:r>
        <w:rPr>
          <w:rStyle w:val="SectionNumber"/>
        </w:rPr>
        <w:t xml:space="preserve">13.1</w:t>
      </w:r>
      <w:r>
        <w:tab/>
      </w:r>
      <w:r>
        <w:t xml:space="preserve">Foundational knowledge</w:t>
      </w:r>
    </w:p>
    <w:bookmarkEnd w:id="467"/>
    <w:bookmarkStart w:id="468" w:name="data-structure"/>
    <w:p>
      <w:pPr>
        <w:pStyle w:val="Heading2"/>
      </w:pPr>
      <w:r>
        <w:rPr>
          <w:rStyle w:val="SectionNumber"/>
        </w:rPr>
        <w:t xml:space="preserve">13.2</w:t>
      </w:r>
      <w:r>
        <w:tab/>
      </w:r>
      <w:r>
        <w:t xml:space="preserve">Data structure</w:t>
      </w:r>
    </w:p>
    <w:bookmarkEnd w:id="468"/>
    <w:bookmarkStart w:id="469" w:name="data-cleaning-plan-1"/>
    <w:p>
      <w:pPr>
        <w:pStyle w:val="Heading2"/>
      </w:pPr>
      <w:r>
        <w:rPr>
          <w:rStyle w:val="SectionNumber"/>
        </w:rPr>
        <w:t xml:space="preserve">13.3</w:t>
      </w:r>
      <w:r>
        <w:tab/>
      </w:r>
      <w:r>
        <w:t xml:space="preserve">Data cleaning plan</w:t>
      </w:r>
    </w:p>
    <w:bookmarkEnd w:id="469"/>
    <w:bookmarkStart w:id="470" w:name="data-validation"/>
    <w:p>
      <w:pPr>
        <w:pStyle w:val="Heading2"/>
      </w:pPr>
      <w:r>
        <w:rPr>
          <w:rStyle w:val="SectionNumber"/>
        </w:rPr>
        <w:t xml:space="preserve">13.4</w:t>
      </w:r>
      <w:r>
        <w:tab/>
      </w:r>
      <w:r>
        <w:t xml:space="preserve">Data validation</w:t>
      </w:r>
    </w:p>
    <w:bookmarkEnd w:id="470"/>
    <w:bookmarkStart w:id="471" w:name="why-use-code"/>
    <w:p>
      <w:pPr>
        <w:pStyle w:val="Heading2"/>
      </w:pPr>
      <w:r>
        <w:rPr>
          <w:rStyle w:val="SectionNumber"/>
        </w:rPr>
        <w:t xml:space="preserve">13.5</w:t>
      </w:r>
      <w:r>
        <w:tab/>
      </w:r>
      <w:r>
        <w:t xml:space="preserve">Why use code?</w:t>
      </w:r>
    </w:p>
    <w:bookmarkEnd w:id="471"/>
    <w:bookmarkEnd w:id="472"/>
    <w:bookmarkStart w:id="477" w:name="share"/>
    <w:p>
      <w:pPr>
        <w:pStyle w:val="Heading1"/>
      </w:pPr>
      <w:r>
        <w:rPr>
          <w:rStyle w:val="SectionNumber"/>
        </w:rPr>
        <w:t xml:space="preserve">14</w:t>
      </w:r>
      <w:r>
        <w:tab/>
      </w:r>
      <w:r>
        <w:t xml:space="preserve">Data Sharing</w:t>
      </w:r>
    </w:p>
    <w:bookmarkStart w:id="473" w:name="why-share-your-data"/>
    <w:p>
      <w:pPr>
        <w:pStyle w:val="Heading2"/>
      </w:pPr>
      <w:r>
        <w:rPr>
          <w:rStyle w:val="SectionNumber"/>
        </w:rPr>
        <w:t xml:space="preserve">14.1</w:t>
      </w:r>
      <w:r>
        <w:tab/>
      </w:r>
      <w:r>
        <w:t xml:space="preserve">Why share your data?</w:t>
      </w:r>
    </w:p>
    <w:bookmarkEnd w:id="473"/>
    <w:bookmarkStart w:id="474" w:name="considering-fair-principles"/>
    <w:p>
      <w:pPr>
        <w:pStyle w:val="Heading2"/>
      </w:pPr>
      <w:r>
        <w:rPr>
          <w:rStyle w:val="SectionNumber"/>
        </w:rPr>
        <w:t xml:space="preserve">14.2</w:t>
      </w:r>
      <w:r>
        <w:tab/>
      </w:r>
      <w:r>
        <w:t xml:space="preserve">Considering FAIR principles</w:t>
      </w:r>
    </w:p>
    <w:bookmarkEnd w:id="474"/>
    <w:bookmarkStart w:id="475" w:name="best-practices"/>
    <w:p>
      <w:pPr>
        <w:pStyle w:val="Heading2"/>
      </w:pPr>
      <w:r>
        <w:rPr>
          <w:rStyle w:val="SectionNumber"/>
        </w:rPr>
        <w:t xml:space="preserve">14.3</w:t>
      </w:r>
      <w:r>
        <w:tab/>
      </w:r>
      <w:r>
        <w:t xml:space="preserve">Best practices</w:t>
      </w:r>
    </w:p>
    <w:bookmarkEnd w:id="475"/>
    <w:bookmarkStart w:id="476" w:name="retractions-and-revisions"/>
    <w:p>
      <w:pPr>
        <w:pStyle w:val="Heading2"/>
      </w:pPr>
      <w:r>
        <w:rPr>
          <w:rStyle w:val="SectionNumber"/>
        </w:rPr>
        <w:t xml:space="preserve">14.4</w:t>
      </w:r>
      <w:r>
        <w:tab/>
      </w:r>
      <w:r>
        <w:t xml:space="preserve">Retractions and revisions</w:t>
      </w:r>
    </w:p>
    <w:bookmarkEnd w:id="476"/>
    <w:bookmarkEnd w:id="477"/>
    <w:bookmarkStart w:id="480" w:name="wrapping-it-up-1"/>
    <w:p>
      <w:pPr>
        <w:pStyle w:val="Heading1"/>
      </w:pPr>
      <w:r>
        <w:rPr>
          <w:rStyle w:val="SectionNumber"/>
        </w:rPr>
        <w:t xml:space="preserve">15</w:t>
      </w:r>
      <w:r>
        <w:tab/>
      </w:r>
      <w:r>
        <w:t xml:space="preserve">Wrapping It Up</w:t>
      </w:r>
    </w:p>
    <w:bookmarkStart w:id="478" w:name="connecting-practices-to-outcomes"/>
    <w:p>
      <w:pPr>
        <w:pStyle w:val="Heading2"/>
      </w:pPr>
      <w:r>
        <w:rPr>
          <w:rStyle w:val="SectionNumber"/>
        </w:rPr>
        <w:t xml:space="preserve">15.1</w:t>
      </w:r>
      <w:r>
        <w:tab/>
      </w:r>
      <w:r>
        <w:t xml:space="preserve">Connecting practices to outcomes</w:t>
      </w:r>
    </w:p>
    <w:bookmarkEnd w:id="478"/>
    <w:bookmarkStart w:id="479" w:name="putting-in-the-work"/>
    <w:p>
      <w:pPr>
        <w:pStyle w:val="Heading2"/>
      </w:pPr>
      <w:r>
        <w:rPr>
          <w:rStyle w:val="SectionNumber"/>
        </w:rPr>
        <w:t xml:space="preserve">15.2</w:t>
      </w:r>
      <w:r>
        <w:tab/>
      </w:r>
      <w:r>
        <w:t xml:space="preserve">Putting in the work</w:t>
      </w:r>
    </w:p>
    <w:bookmarkEnd w:id="479"/>
    <w:bookmarkEnd w:id="480"/>
    <w:bookmarkStart w:id="785" w:name="call-to-action"/>
    <w:p>
      <w:pPr>
        <w:pStyle w:val="Heading1"/>
      </w:pPr>
      <w:r>
        <w:rPr>
          <w:rStyle w:val="SectionNumber"/>
        </w:rPr>
        <w:t xml:space="preserve">16</w:t>
      </w:r>
      <w:r>
        <w:tab/>
      </w:r>
      <w:r>
        <w:t xml:space="preserve">Call to Action</w:t>
      </w:r>
    </w:p>
    <w:bookmarkStart w:id="481" w:name="last-thoughts"/>
    <w:p>
      <w:pPr>
        <w:pStyle w:val="Heading2"/>
      </w:pPr>
      <w:r>
        <w:rPr>
          <w:rStyle w:val="SectionNumber"/>
        </w:rPr>
        <w:t xml:space="preserve">16.1</w:t>
      </w:r>
      <w:r>
        <w:tab/>
      </w:r>
      <w:r>
        <w:t xml:space="preserve">Last thoughts</w:t>
      </w:r>
    </w:p>
    <w:bookmarkEnd w:id="481"/>
    <w:bookmarkStart w:id="482" w:name="training-for-future-researchers"/>
    <w:p>
      <w:pPr>
        <w:pStyle w:val="Heading2"/>
      </w:pPr>
      <w:r>
        <w:rPr>
          <w:rStyle w:val="SectionNumber"/>
        </w:rPr>
        <w:t xml:space="preserve">16.2</w:t>
      </w:r>
      <w:r>
        <w:tab/>
      </w:r>
      <w:r>
        <w:t xml:space="preserve">Training for future researchers</w:t>
      </w:r>
    </w:p>
    <w:bookmarkEnd w:id="482"/>
    <w:bookmarkStart w:id="784" w:name="X77f9e2dc88081311896fe5c0fa48604f4a8018c"/>
    <w:p>
      <w:pPr>
        <w:pStyle w:val="Heading2"/>
      </w:pPr>
      <w:r>
        <w:rPr>
          <w:rStyle w:val="SectionNumber"/>
        </w:rPr>
        <w:t xml:space="preserve">16.3</w:t>
      </w:r>
      <w:r>
        <w:tab/>
      </w:r>
      <w:r>
        <w:t xml:space="preserve">Investing in data management and data managers</w:t>
      </w:r>
    </w:p>
    <w:bookmarkStart w:id="783" w:name="refs"/>
    <w:bookmarkStart w:id="483" w:name="ref-aczel_crowdsourced_nodate"/>
    <w:p>
      <w:pPr>
        <w:pStyle w:val="Bibliography"/>
      </w:pPr>
      <w:r>
        <w:t xml:space="preserve">Aczel, Balazs. n.d.</w:t>
      </w:r>
      <w:r>
        <w:t xml:space="preserve"> </w:t>
      </w:r>
      <w:r>
        <w:t xml:space="preserve">“A</w:t>
      </w:r>
      <w:r>
        <w:t xml:space="preserve"> </w:t>
      </w:r>
      <w:r>
        <w:t xml:space="preserve">Crowdsourced</w:t>
      </w:r>
      <w:r>
        <w:t xml:space="preserve"> </w:t>
      </w:r>
      <w:r>
        <w:t xml:space="preserve">Effort</w:t>
      </w:r>
      <w:r>
        <w:t xml:space="preserve"> </w:t>
      </w:r>
      <w:r>
        <w:t xml:space="preserve">to</w:t>
      </w:r>
      <w:r>
        <w:t xml:space="preserve"> </w:t>
      </w:r>
      <w:r>
        <w:t xml:space="preserve">Develop</w:t>
      </w:r>
      <w:r>
        <w:t xml:space="preserve"> </w:t>
      </w:r>
      <w:r>
        <w:t xml:space="preserve">a</w:t>
      </w:r>
      <w:r>
        <w:t xml:space="preserve"> </w:t>
      </w:r>
      <w:r>
        <w:t xml:space="preserve">Lab</w:t>
      </w:r>
      <w:r>
        <w:t xml:space="preserve"> </w:t>
      </w:r>
      <w:r>
        <w:t xml:space="preserve">Manual</w:t>
      </w:r>
      <w:r>
        <w:t xml:space="preserve"> </w:t>
      </w:r>
      <w:r>
        <w:t xml:space="preserve">Template</w:t>
      </w:r>
      <w:r>
        <w:t xml:space="preserve">.”</w:t>
      </w:r>
      <w:r>
        <w:t xml:space="preserve"> </w:t>
      </w:r>
      <w:r>
        <w:rPr>
          <w:iCs/>
          <w:i/>
        </w:rPr>
        <w:t xml:space="preserve">Google Docs</w:t>
      </w:r>
      <w:r>
        <w:t xml:space="preserve">. Accessed January 12, 2023.</w:t>
      </w:r>
      <w:r>
        <w:t xml:space="preserve"> </w:t>
      </w:r>
      <w:hyperlink r:id="rId218">
        <w:r>
          <w:rPr>
            <w:rStyle w:val="Hyperlink"/>
          </w:rPr>
          <w:t xml:space="preserve">https://docs.google.com/document/d/1LqGdtHg0dMbj9lsCnC1QOoWzIsnSNRTSek6i3Kls2Ik</w:t>
        </w:r>
      </w:hyperlink>
      <w:r>
        <w:t xml:space="preserve">.</w:t>
      </w:r>
    </w:p>
    <w:bookmarkEnd w:id="483"/>
    <w:bookmarkStart w:id="485" w:name="ref-alexander_telling_2023"/>
    <w:p>
      <w:pPr>
        <w:pStyle w:val="Bibliography"/>
      </w:pPr>
      <w:r>
        <w:t xml:space="preserve">Alexander, Rohan. 2023.</w:t>
      </w:r>
      <w:r>
        <w:t xml:space="preserve"> </w:t>
      </w:r>
      <w:r>
        <w:rPr>
          <w:iCs/>
          <w:i/>
        </w:rPr>
        <w:t xml:space="preserve">Telling</w:t>
      </w:r>
      <w:r>
        <w:rPr>
          <w:iCs/>
          <w:i/>
        </w:rPr>
        <w:t xml:space="preserve"> </w:t>
      </w:r>
      <w:r>
        <w:rPr>
          <w:iCs/>
          <w:i/>
        </w:rPr>
        <w:t xml:space="preserve">Stories</w:t>
      </w:r>
      <w:r>
        <w:rPr>
          <w:iCs/>
          <w:i/>
        </w:rPr>
        <w:t xml:space="preserve"> </w:t>
      </w:r>
      <w:r>
        <w:rPr>
          <w:iCs/>
          <w:i/>
        </w:rPr>
        <w:t xml:space="preserve">with</w:t>
      </w:r>
      <w:r>
        <w:rPr>
          <w:iCs/>
          <w:i/>
        </w:rPr>
        <w:t xml:space="preserve"> </w:t>
      </w:r>
      <w:r>
        <w:rPr>
          <w:iCs/>
          <w:i/>
        </w:rPr>
        <w:t xml:space="preserve">Data</w:t>
      </w:r>
      <w:r>
        <w:t xml:space="preserve">.</w:t>
      </w:r>
      <w:r>
        <w:t xml:space="preserve"> </w:t>
      </w:r>
      <w:hyperlink r:id="rId484">
        <w:r>
          <w:rPr>
            <w:rStyle w:val="Hyperlink"/>
          </w:rPr>
          <w:t xml:space="preserve">https://tellingstorieswithdata.com/</w:t>
        </w:r>
      </w:hyperlink>
      <w:r>
        <w:t xml:space="preserve">.</w:t>
      </w:r>
    </w:p>
    <w:bookmarkEnd w:id="485"/>
    <w:bookmarkStart w:id="487" w:name="ref-alston_beginners_2021"/>
    <w:p>
      <w:pPr>
        <w:pStyle w:val="Bibliography"/>
      </w:pPr>
      <w:r>
        <w:t xml:space="preserve">Alston, Jesse M., and Jessica A. Rick. 2021.</w:t>
      </w:r>
      <w:r>
        <w:t xml:space="preserve"> </w:t>
      </w:r>
      <w:r>
        <w:t xml:space="preserve">“A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The Bulletin of the Ecological Society of America</w:t>
      </w:r>
      <w:r>
        <w:t xml:space="preserve"> </w:t>
      </w:r>
      <w:r>
        <w:t xml:space="preserve">102 (2).</w:t>
      </w:r>
      <w:r>
        <w:t xml:space="preserve"> </w:t>
      </w:r>
      <w:hyperlink r:id="rId486">
        <w:r>
          <w:rPr>
            <w:rStyle w:val="Hyperlink"/>
          </w:rPr>
          <w:t xml:space="preserve">https://doi.org/10.1002/bes2.1801</w:t>
        </w:r>
      </w:hyperlink>
      <w:r>
        <w:t xml:space="preserve">.</w:t>
      </w:r>
    </w:p>
    <w:bookmarkEnd w:id="487"/>
    <w:bookmarkStart w:id="489" w:name="ref-dime_analytics_data_nodate"/>
    <w:p>
      <w:pPr>
        <w:pStyle w:val="Bibliography"/>
      </w:pPr>
      <w:r>
        <w:t xml:space="preserve">Analytics, DIME. n.d.</w:t>
      </w:r>
      <w:r>
        <w:t xml:space="preserve"> </w:t>
      </w:r>
      <w:r>
        <w:t xml:space="preserve">“Data</w:t>
      </w:r>
      <w:r>
        <w:t xml:space="preserve"> </w:t>
      </w:r>
      <w:r>
        <w:t xml:space="preserve">Quality</w:t>
      </w:r>
      <w:r>
        <w:t xml:space="preserve"> </w:t>
      </w:r>
      <w:r>
        <w:t xml:space="preserve">Assurance</w:t>
      </w:r>
      <w:r>
        <w:t xml:space="preserve"> </w:t>
      </w:r>
      <w:r>
        <w:t xml:space="preserve">Plan</w:t>
      </w:r>
      <w:r>
        <w:t xml:space="preserve">.”</w:t>
      </w:r>
      <w:r>
        <w:t xml:space="preserve"> </w:t>
      </w:r>
      <w:r>
        <w:t xml:space="preserve">Accessed April 27, 2023.</w:t>
      </w:r>
      <w:r>
        <w:t xml:space="preserve"> </w:t>
      </w:r>
      <w:hyperlink r:id="rId488">
        <w:r>
          <w:rPr>
            <w:rStyle w:val="Hyperlink"/>
          </w:rPr>
          <w:t xml:space="preserve">https://dimewiki.worldbank.org/Data_Quality_Assurance_Plan</w:t>
        </w:r>
      </w:hyperlink>
      <w:r>
        <w:t xml:space="preserve">.</w:t>
      </w:r>
    </w:p>
    <w:bookmarkEnd w:id="489"/>
    <w:bookmarkStart w:id="491" w:name="ref-arslan_how_2018"/>
    <w:p>
      <w:pPr>
        <w:pStyle w:val="Bibliography"/>
      </w:pPr>
      <w:r>
        <w:t xml:space="preserve">Arslan, Ruben C. 2018.</w:t>
      </w:r>
      <w:r>
        <w:t xml:space="preserve"> </w:t>
      </w:r>
      <w:r>
        <w:t xml:space="preserve">“How to Automatically Document Data with the Codebook Package to Facilitate Data Re-Use.”</w:t>
      </w:r>
      <w:r>
        <w:t xml:space="preserve"> </w:t>
      </w:r>
      <w:r>
        <w:t xml:space="preserve">Preprint. PsyArXiv.</w:t>
      </w:r>
      <w:r>
        <w:t xml:space="preserve"> </w:t>
      </w:r>
      <w:hyperlink r:id="rId490">
        <w:r>
          <w:rPr>
            <w:rStyle w:val="Hyperlink"/>
          </w:rPr>
          <w:t xml:space="preserve">https://doi.org/10.31234/osf.io/5qc6h</w:t>
        </w:r>
      </w:hyperlink>
      <w:r>
        <w:t xml:space="preserve">.</w:t>
      </w:r>
    </w:p>
    <w:bookmarkEnd w:id="491"/>
    <w:bookmarkStart w:id="493" w:name="ref-ashcraft_naming_2022"/>
    <w:p>
      <w:pPr>
        <w:pStyle w:val="Bibliography"/>
      </w:pPr>
      <w:r>
        <w:t xml:space="preserve">Ashcraft, Alvin. 2022.</w:t>
      </w:r>
      <w:r>
        <w:t xml:space="preserve"> </w:t>
      </w:r>
      <w:r>
        <w:t xml:space="preserve">“Naming</w:t>
      </w:r>
      <w:r>
        <w:t xml:space="preserve"> </w:t>
      </w:r>
      <w:r>
        <w:t xml:space="preserve">Files</w:t>
      </w:r>
      <w:r>
        <w:t xml:space="preserve">,</w:t>
      </w:r>
      <w:r>
        <w:t xml:space="preserve"> </w:t>
      </w:r>
      <w:r>
        <w:t xml:space="preserve">Paths</w:t>
      </w:r>
      <w:r>
        <w:t xml:space="preserve">, and</w:t>
      </w:r>
      <w:r>
        <w:t xml:space="preserve"> </w:t>
      </w:r>
      <w:r>
        <w:t xml:space="preserve">Namespaces</w:t>
      </w:r>
      <w:r>
        <w:t xml:space="preserve"> </w:t>
      </w:r>
      <w:r>
        <w:t xml:space="preserve">-</w:t>
      </w:r>
      <w:r>
        <w:t xml:space="preserve"> </w:t>
      </w:r>
      <w:r>
        <w:t xml:space="preserve">Win32</w:t>
      </w:r>
      <w:r>
        <w:t xml:space="preserve"> </w:t>
      </w:r>
      <w:r>
        <w:t xml:space="preserve">Apps.”</w:t>
      </w:r>
      <w:r>
        <w:t xml:space="preserve"> </w:t>
      </w:r>
      <w:hyperlink r:id="rId492">
        <w:r>
          <w:rPr>
            <w:rStyle w:val="Hyperlink"/>
          </w:rPr>
          <w:t xml:space="preserve">https://learn.microsoft.com/en-us/windows/win32/fileio/naming-a-file</w:t>
        </w:r>
      </w:hyperlink>
      <w:r>
        <w:t xml:space="preserve">.</w:t>
      </w:r>
    </w:p>
    <w:bookmarkEnd w:id="493"/>
    <w:bookmarkStart w:id="495" w:name="ref-baker_1500_2016"/>
    <w:p>
      <w:pPr>
        <w:pStyle w:val="Bibliography"/>
      </w:pPr>
      <w:r>
        <w:t xml:space="preserve">Baker, Monya. 2016.</w:t>
      </w:r>
      <w:r>
        <w:t xml:space="preserve"> </w:t>
      </w:r>
      <w:r>
        <w:t xml:space="preserve">“1,500 Scientists Lift the Lid on Reproducibility.”</w:t>
      </w:r>
      <w:r>
        <w:t xml:space="preserve"> </w:t>
      </w:r>
      <w:r>
        <w:rPr>
          <w:iCs/>
          <w:i/>
        </w:rPr>
        <w:t xml:space="preserve">Nature</w:t>
      </w:r>
      <w:r>
        <w:t xml:space="preserve"> </w:t>
      </w:r>
      <w:r>
        <w:t xml:space="preserve">533 (7604): 452–54.</w:t>
      </w:r>
      <w:r>
        <w:t xml:space="preserve"> </w:t>
      </w:r>
      <w:hyperlink r:id="rId494">
        <w:r>
          <w:rPr>
            <w:rStyle w:val="Hyperlink"/>
          </w:rPr>
          <w:t xml:space="preserve">https://doi.org/10.1038/533452a</w:t>
        </w:r>
      </w:hyperlink>
      <w:r>
        <w:t xml:space="preserve">.</w:t>
      </w:r>
    </w:p>
    <w:bookmarkEnd w:id="495"/>
    <w:bookmarkStart w:id="497" w:name="ref-bellevue_college_elements_nodate"/>
    <w:p>
      <w:pPr>
        <w:pStyle w:val="Bibliography"/>
      </w:pPr>
      <w:r>
        <w:t xml:space="preserve">Bellevue College. n.d.</w:t>
      </w:r>
      <w:r>
        <w:t xml:space="preserve"> </w:t>
      </w:r>
      <w:r>
        <w:t xml:space="preserve">“Elements of</w:t>
      </w:r>
      <w:r>
        <w:t xml:space="preserve"> </w:t>
      </w:r>
      <w:r>
        <w:t xml:space="preserve">Informed</w:t>
      </w:r>
      <w:r>
        <w:t xml:space="preserve"> </w:t>
      </w:r>
      <w:r>
        <w:t xml:space="preserve">Consent</w:t>
      </w:r>
      <w:r>
        <w:t xml:space="preserve">.”</w:t>
      </w:r>
      <w:r>
        <w:t xml:space="preserve"> </w:t>
      </w:r>
      <w:hyperlink r:id="rId496">
        <w:r>
          <w:rPr>
            <w:rStyle w:val="Hyperlink"/>
          </w:rPr>
          <w:t xml:space="preserve">https://www.bellevuecollege.edu/wp-content/uploads/sites/38/2016/03/Elements_of_Informed_Consent.doc</w:t>
        </w:r>
      </w:hyperlink>
      <w:r>
        <w:t xml:space="preserve">.</w:t>
      </w:r>
    </w:p>
    <w:bookmarkEnd w:id="497"/>
    <w:bookmarkStart w:id="499" w:name="ref-bids-contributors_brain_2022"/>
    <w:p>
      <w:pPr>
        <w:pStyle w:val="Bibliography"/>
      </w:pPr>
      <w:r>
        <w:t xml:space="preserve">BIDS-Contributors. 2022.</w:t>
      </w:r>
      <w:r>
        <w:t xml:space="preserve"> </w:t>
      </w:r>
      <w:r>
        <w:t xml:space="preserve">“The</w:t>
      </w:r>
      <w:r>
        <w:t xml:space="preserve"> </w:t>
      </w:r>
      <w:r>
        <w:t xml:space="preserve">Brain</w:t>
      </w:r>
      <w:r>
        <w:t xml:space="preserve"> </w:t>
      </w:r>
      <w:r>
        <w:t xml:space="preserve">Imaging</w:t>
      </w:r>
      <w:r>
        <w:t xml:space="preserve"> </w:t>
      </w:r>
      <w:r>
        <w:t xml:space="preserve">Data</w:t>
      </w:r>
      <w:r>
        <w:t xml:space="preserve"> </w:t>
      </w:r>
      <w:r>
        <w:t xml:space="preserve">Structure</w:t>
      </w:r>
      <w:r>
        <w:t xml:space="preserve"> </w:t>
      </w:r>
      <w:r>
        <w:t xml:space="preserve">(</w:t>
      </w:r>
      <w:r>
        <w:t xml:space="preserve">BIDS</w:t>
      </w:r>
      <w:r>
        <w:t xml:space="preserve">)</w:t>
      </w:r>
      <w:r>
        <w:t xml:space="preserve"> </w:t>
      </w:r>
      <w:r>
        <w:t xml:space="preserve">Specification</w:t>
      </w:r>
      <w:r>
        <w:t xml:space="preserve">,”</w:t>
      </w:r>
      <w:r>
        <w:t xml:space="preserve"> </w:t>
      </w:r>
      <w:r>
        <w:t xml:space="preserve">October.</w:t>
      </w:r>
      <w:r>
        <w:t xml:space="preserve"> </w:t>
      </w:r>
      <w:hyperlink r:id="rId498">
        <w:r>
          <w:rPr>
            <w:rStyle w:val="Hyperlink"/>
          </w:rPr>
          <w:t xml:space="preserve">https://doi.org/10.5281/ZENODO.3686061</w:t>
        </w:r>
      </w:hyperlink>
      <w:r>
        <w:t xml:space="preserve">.</w:t>
      </w:r>
    </w:p>
    <w:bookmarkEnd w:id="499"/>
    <w:bookmarkStart w:id="501" w:name="ref-bolam_guides_nodate"/>
    <w:p>
      <w:pPr>
        <w:pStyle w:val="Bibliography"/>
      </w:pPr>
      <w:r>
        <w:t xml:space="preserve">Bolam, Mike. n.d.</w:t>
      </w:r>
      <w:r>
        <w:t xml:space="preserve"> </w:t>
      </w:r>
      <w:r>
        <w:t xml:space="preserve">“Guides:</w:t>
      </w:r>
      <w:r>
        <w:t xml:space="preserve"> </w:t>
      </w:r>
      <w:r>
        <w:t xml:space="preserve">Metadata</w:t>
      </w:r>
      <w:r>
        <w:t xml:space="preserve"> </w:t>
      </w:r>
      <w:r>
        <w:t xml:space="preserve">&amp;</w:t>
      </w:r>
      <w:r>
        <w:t xml:space="preserve"> </w:t>
      </w:r>
      <w:r>
        <w:t xml:space="preserve">Discovery</w:t>
      </w:r>
      <w:r>
        <w:t xml:space="preserve"> </w:t>
      </w:r>
      <w:r>
        <w:t xml:space="preserve">@</w:t>
      </w:r>
      <w:r>
        <w:t xml:space="preserve"> </w:t>
      </w:r>
      <w:r>
        <w:t xml:space="preserve">Pitt</w:t>
      </w:r>
      <w:r>
        <w:t xml:space="preserve">:</w:t>
      </w:r>
      <w:r>
        <w:t xml:space="preserve"> </w:t>
      </w:r>
      <w:r>
        <w:t xml:space="preserve">Metadata</w:t>
      </w:r>
      <w:r>
        <w:t xml:space="preserve"> </w:t>
      </w:r>
      <w:r>
        <w:t xml:space="preserve">Standards</w:t>
      </w:r>
      <w:r>
        <w:t xml:space="preserve">.”</w:t>
      </w:r>
      <w:r>
        <w:t xml:space="preserve"> </w:t>
      </w:r>
      <w:r>
        <w:t xml:space="preserve">Accessed January 18, 2023.</w:t>
      </w:r>
      <w:r>
        <w:t xml:space="preserve"> </w:t>
      </w:r>
      <w:hyperlink r:id="rId500">
        <w:r>
          <w:rPr>
            <w:rStyle w:val="Hyperlink"/>
          </w:rPr>
          <w:t xml:space="preserve">https://pitt.libguides.com/metadatadiscovery/metadata-standards</w:t>
        </w:r>
      </w:hyperlink>
      <w:r>
        <w:t xml:space="preserve">.</w:t>
      </w:r>
    </w:p>
    <w:bookmarkEnd w:id="501"/>
    <w:bookmarkStart w:id="503" w:name="ref-bordelon_guides_nodate-1"/>
    <w:p>
      <w:pPr>
        <w:pStyle w:val="Bibliography"/>
      </w:pPr>
      <w:r>
        <w:t xml:space="preserve">Bordelon, Dominic. n.d.a.</w:t>
      </w:r>
      <w:r>
        <w:t xml:space="preserve"> </w:t>
      </w:r>
      <w:r>
        <w:t xml:space="preserve">“Guides:</w:t>
      </w:r>
      <w:r>
        <w:t xml:space="preserve"> </w:t>
      </w:r>
      <w:r>
        <w:t xml:space="preserve">Research</w:t>
      </w:r>
      <w:r>
        <w:t xml:space="preserve"> </w:t>
      </w:r>
      <w:r>
        <w:t xml:space="preserve">Data</w:t>
      </w:r>
      <w:r>
        <w:t xml:space="preserve"> </w:t>
      </w:r>
      <w:r>
        <w:t xml:space="preserve">Management</w:t>
      </w:r>
      <w:r>
        <w:t xml:space="preserve"> </w:t>
      </w:r>
      <w:r>
        <w:t xml:space="preserve">@</w:t>
      </w:r>
      <w:r>
        <w:t xml:space="preserve"> </w:t>
      </w:r>
      <w:r>
        <w:t xml:space="preserve">Pitt</w:t>
      </w:r>
      <w:r>
        <w:t xml:space="preserve">:</w:t>
      </w:r>
      <w:r>
        <w:t xml:space="preserve"> </w:t>
      </w:r>
      <w:r>
        <w:t xml:space="preserve">Describing</w:t>
      </w:r>
      <w:r>
        <w:t xml:space="preserve"> </w:t>
      </w:r>
      <w:r>
        <w:t xml:space="preserve">Data</w:t>
      </w:r>
      <w:r>
        <w:t xml:space="preserve">.”</w:t>
      </w:r>
      <w:r>
        <w:t xml:space="preserve"> </w:t>
      </w:r>
      <w:r>
        <w:t xml:space="preserve">Accessed March 14, 2023.</w:t>
      </w:r>
      <w:r>
        <w:t xml:space="preserve"> </w:t>
      </w:r>
      <w:hyperlink r:id="rId502">
        <w:r>
          <w:rPr>
            <w:rStyle w:val="Hyperlink"/>
          </w:rPr>
          <w:t xml:space="preserve">https://pitt.libguides.com/managedata/describingdata</w:t>
        </w:r>
      </w:hyperlink>
      <w:r>
        <w:t xml:space="preserve">.</w:t>
      </w:r>
    </w:p>
    <w:bookmarkEnd w:id="503"/>
    <w:bookmarkStart w:id="505" w:name="ref-bordelon_guides_nodate"/>
    <w:p>
      <w:pPr>
        <w:pStyle w:val="Bibliography"/>
      </w:pPr>
      <w:r>
        <w:t xml:space="preserve">———. n.d.b.</w:t>
      </w:r>
      <w:r>
        <w:t xml:space="preserve"> </w:t>
      </w:r>
      <w:r>
        <w:t xml:space="preserve">“Guides:</w:t>
      </w:r>
      <w:r>
        <w:t xml:space="preserve"> </w:t>
      </w:r>
      <w:r>
        <w:t xml:space="preserve">Research</w:t>
      </w:r>
      <w:r>
        <w:t xml:space="preserve"> </w:t>
      </w:r>
      <w:r>
        <w:t xml:space="preserve">Data</w:t>
      </w:r>
      <w:r>
        <w:t xml:space="preserve"> </w:t>
      </w:r>
      <w:r>
        <w:t xml:space="preserve">Management</w:t>
      </w:r>
      <w:r>
        <w:t xml:space="preserve"> </w:t>
      </w:r>
      <w:r>
        <w:t xml:space="preserve">@</w:t>
      </w:r>
      <w:r>
        <w:t xml:space="preserve"> </w:t>
      </w:r>
      <w:r>
        <w:t xml:space="preserve">Pitt</w:t>
      </w:r>
      <w:r>
        <w:t xml:space="preserve">:</w:t>
      </w:r>
      <w:r>
        <w:t xml:space="preserve"> </w:t>
      </w:r>
      <w:r>
        <w:t xml:space="preserve">Understanding</w:t>
      </w:r>
      <w:r>
        <w:t xml:space="preserve"> </w:t>
      </w:r>
      <w:r>
        <w:t xml:space="preserve">Research</w:t>
      </w:r>
      <w:r>
        <w:t xml:space="preserve"> </w:t>
      </w:r>
      <w:r>
        <w:t xml:space="preserve">Data</w:t>
      </w:r>
      <w:r>
        <w:t xml:space="preserve"> </w:t>
      </w:r>
      <w:r>
        <w:t xml:space="preserve">Management</w:t>
      </w:r>
      <w:r>
        <w:t xml:space="preserve">.”</w:t>
      </w:r>
      <w:r>
        <w:t xml:space="preserve"> </w:t>
      </w:r>
      <w:r>
        <w:t xml:space="preserve">Accessed October 13, 2022.</w:t>
      </w:r>
      <w:r>
        <w:t xml:space="preserve"> </w:t>
      </w:r>
      <w:hyperlink r:id="rId504">
        <w:r>
          <w:rPr>
            <w:rStyle w:val="Hyperlink"/>
          </w:rPr>
          <w:t xml:space="preserve">https://pitt.libguides.com/managedata/understanding</w:t>
        </w:r>
      </w:hyperlink>
      <w:r>
        <w:t xml:space="preserve">.</w:t>
      </w:r>
    </w:p>
    <w:bookmarkEnd w:id="505"/>
    <w:bookmarkStart w:id="507" w:name="ref-borghi_data_2021"/>
    <w:p>
      <w:pPr>
        <w:pStyle w:val="Bibliography"/>
      </w:pPr>
      <w:r>
        <w:t xml:space="preserve">Borghi, John, and Ana Van Gulick. 2021.</w:t>
      </w:r>
      <w:r>
        <w:t xml:space="preserve"> </w:t>
      </w:r>
      <w:r>
        <w:t xml:space="preserve">“Data Management and Sharing:</w:t>
      </w:r>
      <w:r>
        <w:t xml:space="preserve"> </w:t>
      </w:r>
      <w:r>
        <w:t xml:space="preserve">Practices</w:t>
      </w:r>
      <w:r>
        <w:t xml:space="preserve"> </w:t>
      </w:r>
      <w:r>
        <w:t xml:space="preserve">and Perceptions of Psychology Researchers.”</w:t>
      </w:r>
      <w:r>
        <w:t xml:space="preserve"> </w:t>
      </w:r>
      <w:r>
        <w:rPr>
          <w:iCs/>
          <w:i/>
        </w:rPr>
        <w:t xml:space="preserve">PLOS ONE</w:t>
      </w:r>
      <w:r>
        <w:t xml:space="preserve"> </w:t>
      </w:r>
      <w:r>
        <w:t xml:space="preserve">16 (5): e0252047.</w:t>
      </w:r>
      <w:r>
        <w:t xml:space="preserve"> </w:t>
      </w:r>
      <w:hyperlink r:id="rId506">
        <w:r>
          <w:rPr>
            <w:rStyle w:val="Hyperlink"/>
          </w:rPr>
          <w:t xml:space="preserve">https://doi.org/10.1371/journal.pone.0252047</w:t>
        </w:r>
      </w:hyperlink>
      <w:r>
        <w:t xml:space="preserve">.</w:t>
      </w:r>
    </w:p>
    <w:bookmarkEnd w:id="507"/>
    <w:bookmarkStart w:id="509" w:name="ref-borghi_promoting_2022"/>
    <w:p>
      <w:pPr>
        <w:pStyle w:val="Bibliography"/>
      </w:pPr>
      <w:r>
        <w:t xml:space="preserve">———. 2022.</w:t>
      </w:r>
      <w:r>
        <w:t xml:space="preserve"> </w:t>
      </w:r>
      <w:r>
        <w:t xml:space="preserve">“Promoting</w:t>
      </w:r>
      <w:r>
        <w:t xml:space="preserve"> </w:t>
      </w:r>
      <w:r>
        <w:t xml:space="preserve">Open</w:t>
      </w:r>
      <w:r>
        <w:t xml:space="preserve"> </w:t>
      </w:r>
      <w:r>
        <w:t xml:space="preserve">Science</w:t>
      </w:r>
      <w:r>
        <w:t xml:space="preserve"> </w:t>
      </w:r>
      <w:r>
        <w:t xml:space="preserve">Through</w:t>
      </w:r>
      <w:r>
        <w:t xml:space="preserve"> </w:t>
      </w:r>
      <w:r>
        <w:t xml:space="preserve">Research</w:t>
      </w:r>
      <w:r>
        <w:t xml:space="preserve"> </w:t>
      </w:r>
      <w:r>
        <w:t xml:space="preserve">Data</w:t>
      </w:r>
      <w:r>
        <w:t xml:space="preserve"> </w:t>
      </w:r>
      <w:r>
        <w:t xml:space="preserve">Management</w:t>
      </w:r>
      <w:r>
        <w:t xml:space="preserve">.”</w:t>
      </w:r>
      <w:r>
        <w:t xml:space="preserve"> </w:t>
      </w:r>
      <w:r>
        <w:rPr>
          <w:iCs/>
          <w:i/>
        </w:rPr>
        <w:t xml:space="preserve">Harvard Data Science Review</w:t>
      </w:r>
      <w:r>
        <w:t xml:space="preserve">, July. https://doi.org/</w:t>
      </w:r>
      <w:hyperlink r:id="rId508">
        <w:r>
          <w:rPr>
            <w:rStyle w:val="Hyperlink"/>
          </w:rPr>
          <w:t xml:space="preserve">https://doi.org/10.1162/99608f92.9497f68e</w:t>
        </w:r>
      </w:hyperlink>
      <w:r>
        <w:t xml:space="preserve">.</w:t>
      </w:r>
    </w:p>
    <w:bookmarkEnd w:id="509"/>
    <w:bookmarkStart w:id="511" w:name="ref-borycz_implementing_2021"/>
    <w:p>
      <w:pPr>
        <w:pStyle w:val="Bibliography"/>
      </w:pPr>
      <w:r>
        <w:t xml:space="preserve">Borycz, Joshua. 2021.</w:t>
      </w:r>
      <w:r>
        <w:t xml:space="preserve"> </w:t>
      </w:r>
      <w:r>
        <w:t xml:space="preserve">“Implementing</w:t>
      </w:r>
      <w:r>
        <w:t xml:space="preserve"> </w:t>
      </w:r>
      <w:r>
        <w:t xml:space="preserve">Data</w:t>
      </w:r>
      <w:r>
        <w:t xml:space="preserve"> </w:t>
      </w:r>
      <w:r>
        <w:t xml:space="preserve">Management</w:t>
      </w:r>
      <w:r>
        <w:t xml:space="preserve"> </w:t>
      </w:r>
      <w:r>
        <w:t xml:space="preserve">Workflows</w:t>
      </w:r>
      <w:r>
        <w:t xml:space="preserve"> </w:t>
      </w:r>
      <w:r>
        <w:t xml:space="preserve">in</w:t>
      </w:r>
      <w:r>
        <w:t xml:space="preserve"> </w:t>
      </w:r>
      <w:r>
        <w:t xml:space="preserve">Research</w:t>
      </w:r>
      <w:r>
        <w:t xml:space="preserve"> </w:t>
      </w:r>
      <w:r>
        <w:t xml:space="preserve">Groups</w:t>
      </w:r>
      <w:r>
        <w:t xml:space="preserve"> </w:t>
      </w:r>
      <w:r>
        <w:t xml:space="preserve">Through</w:t>
      </w:r>
      <w:r>
        <w:t xml:space="preserve"> </w:t>
      </w:r>
      <w:r>
        <w:t xml:space="preserve">Integrated</w:t>
      </w:r>
      <w:r>
        <w:t xml:space="preserve"> </w:t>
      </w:r>
      <w:r>
        <w:t xml:space="preserve">Library</w:t>
      </w:r>
      <w:r>
        <w:t xml:space="preserve"> </w:t>
      </w:r>
      <w:r>
        <w:t xml:space="preserve">Consultancy</w:t>
      </w:r>
      <w:r>
        <w:t xml:space="preserve">.”</w:t>
      </w:r>
      <w:r>
        <w:t xml:space="preserve"> </w:t>
      </w:r>
      <w:r>
        <w:rPr>
          <w:iCs/>
          <w:i/>
        </w:rPr>
        <w:t xml:space="preserve">Data Science Journal</w:t>
      </w:r>
      <w:r>
        <w:t xml:space="preserve"> </w:t>
      </w:r>
      <w:r>
        <w:t xml:space="preserve">20 (1): 9.</w:t>
      </w:r>
      <w:r>
        <w:t xml:space="preserve"> </w:t>
      </w:r>
      <w:hyperlink r:id="rId510">
        <w:r>
          <w:rPr>
            <w:rStyle w:val="Hyperlink"/>
          </w:rPr>
          <w:t xml:space="preserve">https://doi.org/10.5334/dsj-2021-009</w:t>
        </w:r>
      </w:hyperlink>
      <w:r>
        <w:t xml:space="preserve">.</w:t>
      </w:r>
    </w:p>
    <w:bookmarkEnd w:id="511"/>
    <w:bookmarkStart w:id="513" w:name="ref-bourgeois_chapter_2014"/>
    <w:p>
      <w:pPr>
        <w:pStyle w:val="Bibliography"/>
      </w:pPr>
      <w:r>
        <w:t xml:space="preserve">Bourgeois, Dave. 2014.</w:t>
      </w:r>
      <w:r>
        <w:t xml:space="preserve"> </w:t>
      </w:r>
      <w:r>
        <w:t xml:space="preserve">“Chapter 4:</w:t>
      </w:r>
      <w:r>
        <w:t xml:space="preserve"> </w:t>
      </w:r>
      <w:r>
        <w:t xml:space="preserve">Data</w:t>
      </w:r>
      <w:r>
        <w:t xml:space="preserve"> </w:t>
      </w:r>
      <w:r>
        <w:t xml:space="preserve">and</w:t>
      </w:r>
      <w:r>
        <w:t xml:space="preserve"> </w:t>
      </w:r>
      <w:r>
        <w:t xml:space="preserve">Databases</w:t>
      </w:r>
      <w:r>
        <w:t xml:space="preserve">,”</w:t>
      </w:r>
      <w:r>
        <w:t xml:space="preserve"> </w:t>
      </w:r>
      <w:r>
        <w:t xml:space="preserve">February.</w:t>
      </w:r>
      <w:r>
        <w:t xml:space="preserve"> </w:t>
      </w:r>
      <w:hyperlink r:id="rId512">
        <w:r>
          <w:rPr>
            <w:rStyle w:val="Hyperlink"/>
          </w:rPr>
          <w:t xml:space="preserve">https://pressbooks.pub/bus206/chapter/chapter-4-data-and-databases/</w:t>
        </w:r>
      </w:hyperlink>
      <w:r>
        <w:t xml:space="preserve">.</w:t>
      </w:r>
    </w:p>
    <w:bookmarkEnd w:id="513"/>
    <w:bookmarkStart w:id="515" w:name="ref-bourgeois_information_2014"/>
    <w:p>
      <w:pPr>
        <w:pStyle w:val="Bibliography"/>
      </w:pPr>
      <w:r>
        <w:t xml:space="preserve">Bourgeois, David. 2014.</w:t>
      </w:r>
      <w:r>
        <w:t xml:space="preserve"> </w:t>
      </w:r>
      <w:r>
        <w:rPr>
          <w:iCs/>
          <w:i/>
        </w:rPr>
        <w:t xml:space="preserve">Information</w:t>
      </w:r>
      <w:r>
        <w:rPr>
          <w:iCs/>
          <w:i/>
        </w:rPr>
        <w:t xml:space="preserve"> </w:t>
      </w:r>
      <w:r>
        <w:rPr>
          <w:iCs/>
          <w:i/>
        </w:rPr>
        <w:t xml:space="preserve">Systems</w:t>
      </w:r>
      <w:r>
        <w:rPr>
          <w:iCs/>
          <w:i/>
        </w:rPr>
        <w:t xml:space="preserve"> </w:t>
      </w:r>
      <w:r>
        <w:rPr>
          <w:iCs/>
          <w:i/>
        </w:rPr>
        <w:t xml:space="preserve">for</w:t>
      </w:r>
      <w:r>
        <w:rPr>
          <w:iCs/>
          <w:i/>
        </w:rPr>
        <w:t xml:space="preserve"> </w:t>
      </w:r>
      <w:r>
        <w:rPr>
          <w:iCs/>
          <w:i/>
        </w:rPr>
        <w:t xml:space="preserve">Business</w:t>
      </w:r>
      <w:r>
        <w:rPr>
          <w:iCs/>
          <w:i/>
        </w:rPr>
        <w:t xml:space="preserve"> </w:t>
      </w:r>
      <w:r>
        <w:rPr>
          <w:iCs/>
          <w:i/>
        </w:rPr>
        <w:t xml:space="preserve">and</w:t>
      </w:r>
      <w:r>
        <w:rPr>
          <w:iCs/>
          <w:i/>
        </w:rPr>
        <w:t xml:space="preserve"> </w:t>
      </w:r>
      <w:r>
        <w:rPr>
          <w:iCs/>
          <w:i/>
        </w:rPr>
        <w:t xml:space="preserve">Beyond</w:t>
      </w:r>
      <w:r>
        <w:t xml:space="preserve">. Published through the Open Textbook Challenge by the Saylor Academy.</w:t>
      </w:r>
      <w:r>
        <w:t xml:space="preserve"> </w:t>
      </w:r>
      <w:hyperlink r:id="rId514">
        <w:r>
          <w:rPr>
            <w:rStyle w:val="Hyperlink"/>
          </w:rPr>
          <w:t xml:space="preserve">https://pressbooks.pub/bus206/</w:t>
        </w:r>
      </w:hyperlink>
      <w:r>
        <w:t xml:space="preserve">.</w:t>
      </w:r>
    </w:p>
    <w:bookmarkEnd w:id="515"/>
    <w:bookmarkStart w:id="516" w:name="ref-briney_data_2015"/>
    <w:p>
      <w:pPr>
        <w:pStyle w:val="Bibliography"/>
      </w:pPr>
      <w:r>
        <w:t xml:space="preserve">Briney, Kristin. 2015.</w:t>
      </w:r>
      <w:r>
        <w:t xml:space="preserve"> </w:t>
      </w:r>
      <w:r>
        <w:rPr>
          <w:iCs/>
          <w:i/>
        </w:rPr>
        <w:t xml:space="preserve">Data Management for Researchers: Organize, Maintain and Share Your Data for Research Success</w:t>
      </w:r>
      <w:r>
        <w:t xml:space="preserve">. Research Skills Series. Exeter, UK: Pelagic Publishing.</w:t>
      </w:r>
    </w:p>
    <w:bookmarkEnd w:id="516"/>
    <w:bookmarkStart w:id="518" w:name="ref-briney_foundational_2020"/>
    <w:p>
      <w:pPr>
        <w:pStyle w:val="Bibliography"/>
      </w:pPr>
      <w:r>
        <w:t xml:space="preserve">Briney, Kristin, Heather Coates, and Abigail Goben. 2020.</w:t>
      </w:r>
      <w:r>
        <w:t xml:space="preserve"> </w:t>
      </w:r>
      <w:r>
        <w:t xml:space="preserve">“Foundational</w:t>
      </w:r>
      <w:r>
        <w:t xml:space="preserve"> </w:t>
      </w:r>
      <w:r>
        <w:t xml:space="preserve">Practices</w:t>
      </w:r>
      <w:r>
        <w:t xml:space="preserve"> </w:t>
      </w:r>
      <w:r>
        <w:t xml:space="preserve">of</w:t>
      </w:r>
      <w:r>
        <w:t xml:space="preserve"> </w:t>
      </w:r>
      <w:r>
        <w:t xml:space="preserve">Research</w:t>
      </w:r>
      <w:r>
        <w:t xml:space="preserve"> </w:t>
      </w:r>
      <w:r>
        <w:t xml:space="preserve">Data</w:t>
      </w:r>
      <w:r>
        <w:t xml:space="preserve"> </w:t>
      </w:r>
      <w:r>
        <w:t xml:space="preserve">Management</w:t>
      </w:r>
      <w:r>
        <w:t xml:space="preserve">.”</w:t>
      </w:r>
      <w:r>
        <w:t xml:space="preserve"> </w:t>
      </w:r>
      <w:r>
        <w:rPr>
          <w:iCs/>
          <w:i/>
        </w:rPr>
        <w:t xml:space="preserve">Research Ideas and Outcomes</w:t>
      </w:r>
      <w:r>
        <w:t xml:space="preserve"> </w:t>
      </w:r>
      <w:r>
        <w:t xml:space="preserve">6 (July): e56508.</w:t>
      </w:r>
      <w:r>
        <w:t xml:space="preserve"> </w:t>
      </w:r>
      <w:hyperlink r:id="rId517">
        <w:r>
          <w:rPr>
            <w:rStyle w:val="Hyperlink"/>
          </w:rPr>
          <w:t xml:space="preserve">https://doi.org/10.3897/rio.6.e56508</w:t>
        </w:r>
      </w:hyperlink>
      <w:r>
        <w:t xml:space="preserve">.</w:t>
      </w:r>
    </w:p>
    <w:bookmarkEnd w:id="518"/>
    <w:bookmarkStart w:id="520" w:name="ref-broman_data_2018"/>
    <w:p>
      <w:pPr>
        <w:pStyle w:val="Bibliography"/>
      </w:pPr>
      <w:r>
        <w:t xml:space="preserve">Broman, Karl W., and Kara H. Woo. 2018.</w:t>
      </w:r>
      <w:r>
        <w:t xml:space="preserve"> </w:t>
      </w:r>
      <w:r>
        <w:t xml:space="preserve">“Data</w:t>
      </w:r>
      <w:r>
        <w:t xml:space="preserve"> </w:t>
      </w:r>
      <w:r>
        <w:t xml:space="preserve">Organization</w:t>
      </w:r>
      <w:r>
        <w:t xml:space="preserve"> </w:t>
      </w:r>
      <w:r>
        <w:t xml:space="preserve">in</w:t>
      </w:r>
      <w:r>
        <w:t xml:space="preserve"> </w:t>
      </w:r>
      <w:r>
        <w:t xml:space="preserve">Spreadsheets</w:t>
      </w:r>
      <w:r>
        <w:t xml:space="preserve">.”</w:t>
      </w:r>
      <w:r>
        <w:t xml:space="preserve"> </w:t>
      </w:r>
      <w:r>
        <w:rPr>
          <w:iCs/>
          <w:i/>
        </w:rPr>
        <w:t xml:space="preserve">The American Statistician</w:t>
      </w:r>
      <w:r>
        <w:t xml:space="preserve"> </w:t>
      </w:r>
      <w:r>
        <w:t xml:space="preserve">72 (1): 2–10.</w:t>
      </w:r>
      <w:r>
        <w:t xml:space="preserve"> </w:t>
      </w:r>
      <w:hyperlink r:id="rId519">
        <w:r>
          <w:rPr>
            <w:rStyle w:val="Hyperlink"/>
          </w:rPr>
          <w:t xml:space="preserve">https://doi.org/10.1080/00031305.2017.1375989</w:t>
        </w:r>
      </w:hyperlink>
      <w:r>
        <w:t xml:space="preserve">.</w:t>
      </w:r>
    </w:p>
    <w:bookmarkEnd w:id="520"/>
    <w:bookmarkStart w:id="522" w:name="ref-buchanan_getting_2021"/>
    <w:p>
      <w:pPr>
        <w:pStyle w:val="Bibliography"/>
      </w:pPr>
      <w:r>
        <w:t xml:space="preserve">Buchanan, Erin M., Sarah E. Crain, Ari L. Cunningham, Hannah R. Johnson, Hannah Stash, Marietta Papadatou-Pastou, Peder M. Isager, Rickard Carlsson, and Balazs Aczel. 2021.</w:t>
      </w:r>
      <w:r>
        <w:t xml:space="preserve"> </w:t>
      </w:r>
      <w:r>
        <w:t xml:space="preserve">“Getting</w:t>
      </w:r>
      <w:r>
        <w:t xml:space="preserve"> </w:t>
      </w:r>
      <w:r>
        <w:t xml:space="preserve">Started</w:t>
      </w:r>
      <w:r>
        <w:t xml:space="preserve"> </w:t>
      </w:r>
      <w:r>
        <w:t xml:space="preserve">Creating</w:t>
      </w:r>
      <w:r>
        <w:t xml:space="preserve"> </w:t>
      </w:r>
      <w:r>
        <w:t xml:space="preserve">Data</w:t>
      </w:r>
      <w:r>
        <w:t xml:space="preserve"> </w:t>
      </w:r>
      <w:r>
        <w:t xml:space="preserve">Dictionaries</w:t>
      </w:r>
      <w:r>
        <w:t xml:space="preserve">:</w:t>
      </w:r>
      <w:r>
        <w:t xml:space="preserve"> </w:t>
      </w:r>
      <w:r>
        <w:t xml:space="preserve">How</w:t>
      </w:r>
      <w:r>
        <w:t xml:space="preserve"> </w:t>
      </w:r>
      <w:r>
        <w:t xml:space="preserve">to</w:t>
      </w:r>
      <w:r>
        <w:t xml:space="preserve"> </w:t>
      </w:r>
      <w:r>
        <w:t xml:space="preserve">Create</w:t>
      </w:r>
      <w:r>
        <w:t xml:space="preserve"> </w:t>
      </w:r>
      <w:r>
        <w:t xml:space="preserve">a</w:t>
      </w:r>
      <w:r>
        <w:t xml:space="preserve"> </w:t>
      </w:r>
      <w:r>
        <w:t xml:space="preserve">Shareable</w:t>
      </w:r>
      <w:r>
        <w:t xml:space="preserve"> </w:t>
      </w:r>
      <w:r>
        <w:t xml:space="preserve">Data</w:t>
      </w:r>
      <w:r>
        <w:t xml:space="preserve"> </w:t>
      </w:r>
      <w:r>
        <w:t xml:space="preserve">Set</w:t>
      </w:r>
      <w:r>
        <w:t xml:space="preserve">.”</w:t>
      </w:r>
      <w:r>
        <w:t xml:space="preserve"> </w:t>
      </w:r>
      <w:r>
        <w:rPr>
          <w:iCs/>
          <w:i/>
        </w:rPr>
        <w:t xml:space="preserve">Advances in Methods and Practices in Psychological Science</w:t>
      </w:r>
      <w:r>
        <w:t xml:space="preserve"> </w:t>
      </w:r>
      <w:r>
        <w:t xml:space="preserve">4 (1): 251524592092800.</w:t>
      </w:r>
      <w:r>
        <w:t xml:space="preserve"> </w:t>
      </w:r>
      <w:hyperlink r:id="rId521">
        <w:r>
          <w:rPr>
            <w:rStyle w:val="Hyperlink"/>
          </w:rPr>
          <w:t xml:space="preserve">https://doi.org/10.1177/2515245920928007</w:t>
        </w:r>
      </w:hyperlink>
      <w:r>
        <w:t xml:space="preserve">.</w:t>
      </w:r>
    </w:p>
    <w:bookmarkEnd w:id="522"/>
    <w:bookmarkStart w:id="524" w:name="ref-burnard_what_2014"/>
    <w:p>
      <w:pPr>
        <w:pStyle w:val="Bibliography"/>
      </w:pPr>
      <w:r>
        <w:t xml:space="preserve">Burnard, Lou. 2014.</w:t>
      </w:r>
      <w:r>
        <w:t xml:space="preserve"> </w:t>
      </w:r>
      <w:r>
        <w:rPr>
          <w:iCs/>
          <w:i/>
        </w:rPr>
        <w:t xml:space="preserve">What Is the</w:t>
      </w:r>
      <w:r>
        <w:rPr>
          <w:iCs/>
          <w:i/>
        </w:rPr>
        <w:t xml:space="preserve"> </w:t>
      </w:r>
      <w:r>
        <w:rPr>
          <w:iCs/>
          <w:i/>
        </w:rPr>
        <w:t xml:space="preserve">Text</w:t>
      </w:r>
      <w:r>
        <w:rPr>
          <w:iCs/>
          <w:i/>
        </w:rPr>
        <w:t xml:space="preserve"> </w:t>
      </w:r>
      <w:r>
        <w:rPr>
          <w:iCs/>
          <w:i/>
        </w:rPr>
        <w:t xml:space="preserve">Encoding</w:t>
      </w:r>
      <w:r>
        <w:rPr>
          <w:iCs/>
          <w:i/>
        </w:rPr>
        <w:t xml:space="preserve"> </w:t>
      </w:r>
      <w:r>
        <w:rPr>
          <w:iCs/>
          <w:i/>
        </w:rPr>
        <w:t xml:space="preserve">Initiative</w:t>
      </w:r>
      <w:r>
        <w:rPr>
          <w:iCs/>
          <w:i/>
        </w:rPr>
        <w:t xml:space="preserve">?:</w:t>
      </w:r>
      <w:r>
        <w:rPr>
          <w:iCs/>
          <w:i/>
        </w:rPr>
        <w:t xml:space="preserve"> </w:t>
      </w:r>
      <w:r>
        <w:rPr>
          <w:iCs/>
          <w:i/>
        </w:rPr>
        <w:t xml:space="preserve">How</w:t>
      </w:r>
      <w:r>
        <w:rPr>
          <w:iCs/>
          <w:i/>
        </w:rPr>
        <w:t xml:space="preserve"> </w:t>
      </w:r>
      <w:r>
        <w:rPr>
          <w:iCs/>
          <w:i/>
        </w:rPr>
        <w:t xml:space="preserve">to Add Intelligent Markup to Digital Resources</w:t>
      </w:r>
      <w:r>
        <w:t xml:space="preserve">. OpenEdition Press.</w:t>
      </w:r>
      <w:r>
        <w:t xml:space="preserve"> </w:t>
      </w:r>
      <w:hyperlink r:id="rId523">
        <w:r>
          <w:rPr>
            <w:rStyle w:val="Hyperlink"/>
          </w:rPr>
          <w:t xml:space="preserve">https://doi.org/10.4000/books.oep.426</w:t>
        </w:r>
      </w:hyperlink>
      <w:r>
        <w:t xml:space="preserve">.</w:t>
      </w:r>
    </w:p>
    <w:bookmarkEnd w:id="524"/>
    <w:bookmarkStart w:id="526" w:name="ref-butters_recognizing_2020"/>
    <w:p>
      <w:pPr>
        <w:pStyle w:val="Bibliography"/>
      </w:pPr>
      <w:r>
        <w:t xml:space="preserve">Butters, Oliver W, Rebecca C Wilson, and Paul R Burton. 2020.</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(4): 1067–74.</w:t>
      </w:r>
      <w:r>
        <w:t xml:space="preserve"> </w:t>
      </w:r>
      <w:hyperlink r:id="rId525">
        <w:r>
          <w:rPr>
            <w:rStyle w:val="Hyperlink"/>
          </w:rPr>
          <w:t xml:space="preserve">https://doi.org/10.1093/ije/dyaa087</w:t>
        </w:r>
      </w:hyperlink>
      <w:r>
        <w:t xml:space="preserve">.</w:t>
      </w:r>
    </w:p>
    <w:bookmarkEnd w:id="526"/>
    <w:bookmarkStart w:id="528" w:name="Xb5167037696e6ea4eee64f93b11e73cd0bc0362"/>
    <w:p>
      <w:pPr>
        <w:pStyle w:val="Bibliography"/>
      </w:pPr>
      <w:r>
        <w:t xml:space="preserve">Cabrini University. n.d.</w:t>
      </w:r>
      <w:r>
        <w:t xml:space="preserve"> </w:t>
      </w:r>
      <w:r>
        <w:t xml:space="preserve">“Submissions for</w:t>
      </w:r>
      <w:r>
        <w:t xml:space="preserve"> </w:t>
      </w:r>
      <w:r>
        <w:t xml:space="preserve">Research</w:t>
      </w:r>
      <w:r>
        <w:t xml:space="preserve"> </w:t>
      </w:r>
      <w:r>
        <w:t xml:space="preserve">Protocol</w:t>
      </w:r>
      <w:r>
        <w:t xml:space="preserve">.”</w:t>
      </w:r>
      <w:r>
        <w:t xml:space="preserve"> </w:t>
      </w:r>
      <w:r>
        <w:t xml:space="preserve">Accessed April 27, 2023.</w:t>
      </w:r>
      <w:r>
        <w:t xml:space="preserve"> </w:t>
      </w:r>
      <w:hyperlink r:id="rId527">
        <w:r>
          <w:rPr>
            <w:rStyle w:val="Hyperlink"/>
          </w:rPr>
          <w:t xml:space="preserve">https://www.cabrini.edu/about/departments/academic-affairs/institutional-review-board/submissions-for-research-protocol</w:t>
        </w:r>
      </w:hyperlink>
      <w:r>
        <w:t xml:space="preserve">.</w:t>
      </w:r>
    </w:p>
    <w:bookmarkEnd w:id="528"/>
    <w:bookmarkStart w:id="530" w:name="ref-cakici_folders_2017"/>
    <w:p>
      <w:pPr>
        <w:pStyle w:val="Bibliography"/>
      </w:pPr>
      <w:r>
        <w:t xml:space="preserve">Cakici, Tatiana Baquero. 2017.</w:t>
      </w:r>
      <w:r>
        <w:t xml:space="preserve"> </w:t>
      </w:r>
      <w:r>
        <w:t xml:space="preserve">“Folders v.</w:t>
      </w:r>
      <w:r>
        <w:t xml:space="preserve"> </w:t>
      </w:r>
      <w:r>
        <w:t xml:space="preserve">Metadata</w:t>
      </w:r>
      <w:r>
        <w:t xml:space="preserve"> </w:t>
      </w:r>
      <w:r>
        <w:t xml:space="preserve">in</w:t>
      </w:r>
      <w:r>
        <w:t xml:space="preserve"> </w:t>
      </w:r>
      <w:r>
        <w:t xml:space="preserve">SharePoint</w:t>
      </w:r>
      <w:r>
        <w:t xml:space="preserve"> </w:t>
      </w:r>
      <w:r>
        <w:t xml:space="preserve">Document</w:t>
      </w:r>
      <w:r>
        <w:t xml:space="preserve"> </w:t>
      </w:r>
      <w:r>
        <w:t xml:space="preserve">Libraries</w:t>
      </w:r>
      <w:r>
        <w:t xml:space="preserve">.”</w:t>
      </w:r>
      <w:r>
        <w:t xml:space="preserve"> </w:t>
      </w:r>
      <w:r>
        <w:rPr>
          <w:iCs/>
          <w:i/>
        </w:rPr>
        <w:t xml:space="preserve">Enterprise Knowledge</w:t>
      </w:r>
      <w:r>
        <w:t xml:space="preserve">.</w:t>
      </w:r>
      <w:r>
        <w:t xml:space="preserve"> </w:t>
      </w:r>
      <w:hyperlink r:id="rId529">
        <w:r>
          <w:rPr>
            <w:rStyle w:val="Hyperlink"/>
          </w:rPr>
          <w:t xml:space="preserve">https://enterprise-knowledge.com/folders-v-metadata-sharepoint-document-libraries/</w:t>
        </w:r>
      </w:hyperlink>
      <w:r>
        <w:t xml:space="preserve">.</w:t>
      </w:r>
    </w:p>
    <w:bookmarkEnd w:id="530"/>
    <w:bookmarkStart w:id="532" w:name="ref-campos-varela_misconduct_2019"/>
    <w:p>
      <w:pPr>
        <w:pStyle w:val="Bibliography"/>
      </w:pPr>
      <w:r>
        <w:t xml:space="preserve">Campos-Varela, Isabel, and Alberto Ruano-Raviña. 2019.</w:t>
      </w:r>
      <w:r>
        <w:t xml:space="preserve"> </w:t>
      </w:r>
      <w:r>
        <w:t xml:space="preserve">“Misconduct as the Main Cause for Retraction.</w:t>
      </w:r>
      <w:r>
        <w:t xml:space="preserve"> </w:t>
      </w:r>
      <w:r>
        <w:t xml:space="preserve">A</w:t>
      </w:r>
      <w:r>
        <w:t xml:space="preserve"> </w:t>
      </w:r>
      <w:r>
        <w:t xml:space="preserve">Descriptive Study of Retracted Publications and Their Authors.”</w:t>
      </w:r>
      <w:r>
        <w:t xml:space="preserve"> </w:t>
      </w:r>
      <w:r>
        <w:rPr>
          <w:iCs/>
          <w:i/>
        </w:rPr>
        <w:t xml:space="preserve">Gaceta Sanitaria</w:t>
      </w:r>
      <w:r>
        <w:t xml:space="preserve"> </w:t>
      </w:r>
      <w:r>
        <w:t xml:space="preserve">33 (4): 356–60.</w:t>
      </w:r>
      <w:r>
        <w:t xml:space="preserve"> </w:t>
      </w:r>
      <w:hyperlink r:id="rId531">
        <w:r>
          <w:rPr>
            <w:rStyle w:val="Hyperlink"/>
          </w:rPr>
          <w:t xml:space="preserve">https://doi.org/10.1016/j.gaceta.2018.01.009</w:t>
        </w:r>
      </w:hyperlink>
      <w:r>
        <w:t xml:space="preserve">.</w:t>
      </w:r>
    </w:p>
    <w:bookmarkEnd w:id="532"/>
    <w:bookmarkStart w:id="534" w:name="ref-cdisc_cdisc_nodate"/>
    <w:p>
      <w:pPr>
        <w:pStyle w:val="Bibliography"/>
      </w:pPr>
      <w:r>
        <w:t xml:space="preserve">CDISC. n.d.</w:t>
      </w:r>
      <w:r>
        <w:t xml:space="preserve"> </w:t>
      </w:r>
      <w:r>
        <w:t xml:space="preserve">“</w:t>
      </w:r>
      <w:r>
        <w:t xml:space="preserve">CDISC</w:t>
      </w:r>
      <w:r>
        <w:t xml:space="preserve"> </w:t>
      </w:r>
      <w:r>
        <w:t xml:space="preserve">Standards</w:t>
      </w:r>
      <w:r>
        <w:t xml:space="preserve"> </w:t>
      </w:r>
      <w:r>
        <w:t xml:space="preserve">in the</w:t>
      </w:r>
      <w:r>
        <w:t xml:space="preserve"> </w:t>
      </w:r>
      <w:r>
        <w:t xml:space="preserve">Clinical</w:t>
      </w:r>
      <w:r>
        <w:t xml:space="preserve"> </w:t>
      </w:r>
      <w:r>
        <w:t xml:space="preserve">Research</w:t>
      </w:r>
      <w:r>
        <w:t xml:space="preserve"> </w:t>
      </w:r>
      <w:r>
        <w:t xml:space="preserve">Process</w:t>
      </w:r>
      <w:r>
        <w:t xml:space="preserve">.”</w:t>
      </w:r>
      <w:r>
        <w:t xml:space="preserve"> </w:t>
      </w:r>
      <w:r>
        <w:t xml:space="preserve">Accessed January 12, 2023.</w:t>
      </w:r>
      <w:r>
        <w:t xml:space="preserve"> </w:t>
      </w:r>
      <w:hyperlink r:id="rId533">
        <w:r>
          <w:rPr>
            <w:rStyle w:val="Hyperlink"/>
          </w:rPr>
          <w:t xml:space="preserve">https://www.cdisc.org/standards</w:t>
        </w:r>
      </w:hyperlink>
      <w:r>
        <w:t xml:space="preserve">.</w:t>
      </w:r>
    </w:p>
    <w:bookmarkEnd w:id="534"/>
    <w:bookmarkStart w:id="536" w:name="ref-center_for_open_science_cos_2022"/>
    <w:p>
      <w:pPr>
        <w:pStyle w:val="Bibliography"/>
      </w:pPr>
      <w:r>
        <w:t xml:space="preserve">Center for Open Science. 2022.</w:t>
      </w:r>
      <w:r>
        <w:t xml:space="preserve"> </w:t>
      </w:r>
      <w:r>
        <w:t xml:space="preserve">“</w:t>
      </w:r>
      <w:r>
        <w:t xml:space="preserve">COS</w:t>
      </w:r>
      <w:r>
        <w:t xml:space="preserve"> </w:t>
      </w:r>
      <w:r>
        <w:t xml:space="preserve">Engagement</w:t>
      </w:r>
      <w:r>
        <w:t xml:space="preserve"> </w:t>
      </w:r>
      <w:r>
        <w:t xml:space="preserve">with the</w:t>
      </w:r>
      <w:r>
        <w:t xml:space="preserve"> </w:t>
      </w:r>
      <w:r>
        <w:t xml:space="preserve">Education</w:t>
      </w:r>
      <w:r>
        <w:t xml:space="preserve"> </w:t>
      </w:r>
      <w:r>
        <w:t xml:space="preserve">Community</w:t>
      </w:r>
      <w:r>
        <w:t xml:space="preserve">.”</w:t>
      </w:r>
      <w:r>
        <w:t xml:space="preserve"> </w:t>
      </w:r>
      <w:hyperlink r:id="rId535">
        <w:r>
          <w:rPr>
            <w:rStyle w:val="Hyperlink"/>
          </w:rPr>
          <w:t xml:space="preserve">https://docs.google.com/presentation/d/1LpyVOj8oJPr3SVkRM2GfCFnl2Qeo10YbbqcqwtwrVUM</w:t>
        </w:r>
      </w:hyperlink>
      <w:r>
        <w:t xml:space="preserve">.</w:t>
      </w:r>
    </w:p>
    <w:bookmarkEnd w:id="536"/>
    <w:bookmarkStart w:id="538" w:name="X39d35c31c15422dd23692680ea9abd943cfe581"/>
    <w:p>
      <w:pPr>
        <w:pStyle w:val="Bibliography"/>
      </w:pPr>
      <w:r>
        <w:t xml:space="preserve">———. n.d.</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w:t>
      </w:r>
      <w:r>
        <w:t xml:space="preserve"> </w:t>
      </w:r>
      <w:r>
        <w:t xml:space="preserve">Accessed January 9, 2023.</w:t>
      </w:r>
      <w:r>
        <w:t xml:space="preserve"> </w:t>
      </w:r>
      <w:hyperlink r:id="rId537">
        <w:r>
          <w:rPr>
            <w:rStyle w:val="Hyperlink"/>
          </w:rPr>
          <w:t xml:space="preserve">https://help.osf.io/article/144-creating-a-data-management-plan-dmp-document</w:t>
        </w:r>
      </w:hyperlink>
      <w:r>
        <w:t xml:space="preserve">.</w:t>
      </w:r>
    </w:p>
    <w:bookmarkEnd w:id="538"/>
    <w:bookmarkStart w:id="540" w:name="ref-cessda_data_nodate"/>
    <w:p>
      <w:pPr>
        <w:pStyle w:val="Bibliography"/>
      </w:pPr>
      <w:r>
        <w:t xml:space="preserve">CESSDA. n.d.a.</w:t>
      </w:r>
      <w:r>
        <w:t xml:space="preserve"> </w:t>
      </w:r>
      <w:r>
        <w:t xml:space="preserve">“Data Authenticity -</w:t>
      </w:r>
      <w:r>
        <w:t xml:space="preserve"> </w:t>
      </w:r>
      <w:r>
        <w:t xml:space="preserve">Data</w:t>
      </w:r>
      <w:r>
        <w:t xml:space="preserve"> </w:t>
      </w:r>
      <w:r>
        <w:t xml:space="preserve">Management</w:t>
      </w:r>
      <w:r>
        <w:t xml:space="preserve"> </w:t>
      </w:r>
      <w:r>
        <w:t xml:space="preserve">Expert</w:t>
      </w:r>
      <w:r>
        <w:t xml:space="preserve"> </w:t>
      </w:r>
      <w:r>
        <w:t xml:space="preserve">Guide</w:t>
      </w:r>
      <w:r>
        <w:t xml:space="preserve">.”</w:t>
      </w:r>
      <w:r>
        <w:t xml:space="preserve"> </w:t>
      </w:r>
      <w:r>
        <w:t xml:space="preserve">Accessed January 13, 2023.</w:t>
      </w:r>
      <w:r>
        <w:t xml:space="preserve"> </w:t>
      </w:r>
      <w:hyperlink r:id="rId539">
        <w:r>
          <w:rPr>
            <w:rStyle w:val="Hyperlink"/>
          </w:rPr>
          <w:t xml:space="preserve">https://dmeg.cessda.eu/Data-Management-Expert-Guide/3.-Process/Data-authenticity</w:t>
        </w:r>
      </w:hyperlink>
      <w:r>
        <w:t xml:space="preserve">.</w:t>
      </w:r>
    </w:p>
    <w:bookmarkEnd w:id="540"/>
    <w:bookmarkStart w:id="542" w:name="ref-cessda_documentation_nodate"/>
    <w:p>
      <w:pPr>
        <w:pStyle w:val="Bibliography"/>
      </w:pPr>
      <w:r>
        <w:t xml:space="preserve">———. n.d.b.</w:t>
      </w:r>
      <w:r>
        <w:t xml:space="preserve"> </w:t>
      </w:r>
      <w:r>
        <w:t xml:space="preserve">“Documentation and</w:t>
      </w:r>
      <w:r>
        <w:t xml:space="preserve"> </w:t>
      </w:r>
      <w:r>
        <w:t xml:space="preserve">Metadata</w:t>
      </w:r>
      <w:r>
        <w:t xml:space="preserve">.”</w:t>
      </w:r>
      <w:r>
        <w:t xml:space="preserve"> </w:t>
      </w:r>
      <w:r>
        <w:t xml:space="preserve">Accessed February 9, 2023.</w:t>
      </w:r>
      <w:r>
        <w:t xml:space="preserve"> </w:t>
      </w:r>
      <w:hyperlink r:id="rId541">
        <w:r>
          <w:rPr>
            <w:rStyle w:val="Hyperlink"/>
          </w:rPr>
          <w:t xml:space="preserve">https://dmeg.cessda.eu/Data-Management-Expert-Guide/2.-Organise-Document/Documentation-and-metadata</w:t>
        </w:r>
      </w:hyperlink>
      <w:r>
        <w:t xml:space="preserve">.</w:t>
      </w:r>
    </w:p>
    <w:bookmarkEnd w:id="542"/>
    <w:bookmarkStart w:id="544" w:name="X5bae659f86833a38d74a2eed52821ad689afee8"/>
    <w:p>
      <w:pPr>
        <w:pStyle w:val="Bibliography"/>
      </w:pPr>
      <w:r>
        <w:t xml:space="preserve">Ceviren, A. Busra, and Jessica Logan. 2022.</w:t>
      </w:r>
      <w:r>
        <w:t xml:space="preserve"> </w:t>
      </w:r>
      <w:r>
        <w:t xml:space="preserve">“Ceviren_logan_EHE_forum_2022.pdf.”</w:t>
      </w:r>
      <w:r>
        <w:t xml:space="preserve"> </w:t>
      </w:r>
      <w:r>
        <w:t xml:space="preserve">Presentation.</w:t>
      </w:r>
      <w:r>
        <w:t xml:space="preserve"> </w:t>
      </w:r>
      <w:hyperlink r:id="rId543">
        <w:r>
          <w:rPr>
            <w:rStyle w:val="Hyperlink"/>
          </w:rPr>
          <w:t xml:space="preserve">https://doi.org/10.6084/m9.figshare.19514368.v1</w:t>
        </w:r>
      </w:hyperlink>
      <w:r>
        <w:t xml:space="preserve">.</w:t>
      </w:r>
    </w:p>
    <w:bookmarkEnd w:id="544"/>
    <w:bookmarkStart w:id="546" w:name="ref-chen_database_2022"/>
    <w:p>
      <w:pPr>
        <w:pStyle w:val="Bibliography"/>
      </w:pPr>
      <w:r>
        <w:t xml:space="preserve">Chen, Lu. 2022.</w:t>
      </w:r>
      <w:r>
        <w:t xml:space="preserve"> </w:t>
      </w:r>
      <w:r>
        <w:t xml:space="preserve">“Database Normalization Description -</w:t>
      </w:r>
      <w:r>
        <w:t xml:space="preserve"> </w:t>
      </w:r>
      <w:r>
        <w:t xml:space="preserve">Office</w:t>
      </w:r>
      <w:r>
        <w:t xml:space="preserve">.”</w:t>
      </w:r>
      <w:r>
        <w:t xml:space="preserve"> </w:t>
      </w:r>
      <w:hyperlink r:id="rId545">
        <w:r>
          <w:rPr>
            <w:rStyle w:val="Hyperlink"/>
          </w:rPr>
          <w:t xml:space="preserve">https://learn.microsoft.com/en-us/office/troubleshoot/access/database-normalization-description</w:t>
        </w:r>
      </w:hyperlink>
      <w:r>
        <w:t xml:space="preserve">.</w:t>
      </w:r>
    </w:p>
    <w:bookmarkEnd w:id="546"/>
    <w:bookmarkStart w:id="548" w:name="ref-cofield_libguides_nodate"/>
    <w:p>
      <w:pPr>
        <w:pStyle w:val="Bibliography"/>
      </w:pPr>
      <w:r>
        <w:t xml:space="preserve">Cofield, Melanie. n.d.</w:t>
      </w:r>
      <w:r>
        <w:t xml:space="preserve"> </w:t>
      </w:r>
      <w:r>
        <w:t xml:space="preserve">“</w:t>
      </w:r>
      <w:r>
        <w:t xml:space="preserve">LibGuides</w:t>
      </w:r>
      <w:r>
        <w:t xml:space="preserve">:</w:t>
      </w:r>
      <w:r>
        <w:t xml:space="preserve"> </w:t>
      </w:r>
      <w:r>
        <w:t xml:space="preserve">Metadata</w:t>
      </w:r>
      <w:r>
        <w:t xml:space="preserve"> </w:t>
      </w:r>
      <w:r>
        <w:t xml:space="preserve">Basics</w:t>
      </w:r>
      <w:r>
        <w:t xml:space="preserve">:</w:t>
      </w:r>
      <w:r>
        <w:t xml:space="preserve"> </w:t>
      </w:r>
      <w:r>
        <w:t xml:space="preserve">Key</w:t>
      </w:r>
      <w:r>
        <w:t xml:space="preserve"> </w:t>
      </w:r>
      <w:r>
        <w:t xml:space="preserve">Concepts</w:t>
      </w:r>
      <w:r>
        <w:t xml:space="preserve">.”</w:t>
      </w:r>
      <w:r>
        <w:t xml:space="preserve"> </w:t>
      </w:r>
      <w:r>
        <w:t xml:space="preserve">Accessed February 10, 2023.</w:t>
      </w:r>
      <w:r>
        <w:t xml:space="preserve"> </w:t>
      </w:r>
      <w:hyperlink r:id="rId547">
        <w:r>
          <w:rPr>
            <w:rStyle w:val="Hyperlink"/>
          </w:rPr>
          <w:t xml:space="preserve">https://guides.lib.utexas.edu/metadata-basics/key-concepts</w:t>
        </w:r>
      </w:hyperlink>
      <w:r>
        <w:t xml:space="preserve">.</w:t>
      </w:r>
    </w:p>
    <w:bookmarkEnd w:id="548"/>
    <w:bookmarkStart w:id="550" w:name="Xb5a23216d1ec994a92bc12efe6ebc14cbc71fb6"/>
    <w:p>
      <w:pPr>
        <w:pStyle w:val="Bibliography"/>
      </w:pPr>
      <w:r>
        <w:t xml:space="preserve">Colorado School of Mines. n.d.</w:t>
      </w:r>
      <w:r>
        <w:t xml:space="preserve"> </w:t>
      </w:r>
      <w:r>
        <w:t xml:space="preserve">“Table of</w:t>
      </w:r>
      <w:r>
        <w:t xml:space="preserve"> </w:t>
      </w:r>
      <w:r>
        <w:t xml:space="preserve">Responsibilities</w:t>
      </w:r>
      <w:r>
        <w:t xml:space="preserve"> </w:t>
      </w:r>
      <w:r>
        <w:t xml:space="preserve">Timeline</w:t>
      </w:r>
      <w:r>
        <w:t xml:space="preserve">.”</w:t>
      </w:r>
      <w:r>
        <w:t xml:space="preserve"> </w:t>
      </w:r>
      <w:hyperlink r:id="rId549">
        <w:r>
          <w:rPr>
            <w:rStyle w:val="Hyperlink"/>
          </w:rPr>
          <w:t xml:space="preserve">https://libguides.mines.edu/ld.php?content_id=49061255</w:t>
        </w:r>
      </w:hyperlink>
      <w:r>
        <w:t xml:space="preserve">.</w:t>
      </w:r>
    </w:p>
    <w:bookmarkEnd w:id="550"/>
    <w:bookmarkStart w:id="552" w:name="ref-community_turing_2022"/>
    <w:p>
      <w:pPr>
        <w:pStyle w:val="Bibliography"/>
      </w:pPr>
      <w:r>
        <w:t xml:space="preserve">Community, The Turing Way. 2022.</w:t>
      </w:r>
      <w:r>
        <w:t xml:space="preserve"> </w:t>
      </w:r>
      <w:r>
        <w:t xml:space="preserve">“The</w:t>
      </w:r>
      <w:r>
        <w:t xml:space="preserve"> </w:t>
      </w:r>
      <w:r>
        <w:t xml:space="preserve">Turing</w:t>
      </w:r>
      <w:r>
        <w:t xml:space="preserve"> </w:t>
      </w:r>
      <w:r>
        <w:t xml:space="preserve">Way</w:t>
      </w:r>
      <w:r>
        <w:t xml:space="preserve">:</w:t>
      </w:r>
      <w:r>
        <w:t xml:space="preserve"> </w:t>
      </w:r>
      <w:r>
        <w:t xml:space="preserve">A</w:t>
      </w:r>
      <w:r>
        <w:t xml:space="preserve"> </w:t>
      </w:r>
      <w:r>
        <w:t xml:space="preserve">Handbook for Reproducible, Ethical and Collaborative Research.”</w:t>
      </w:r>
      <w:r>
        <w:t xml:space="preserve"> </w:t>
      </w:r>
      <w:r>
        <w:t xml:space="preserve">Zenodo.</w:t>
      </w:r>
      <w:r>
        <w:t xml:space="preserve"> </w:t>
      </w:r>
      <w:hyperlink r:id="rId551">
        <w:r>
          <w:rPr>
            <w:rStyle w:val="Hyperlink"/>
          </w:rPr>
          <w:t xml:space="preserve">https://doi.org/10.5281/ZENODO.3233853</w:t>
        </w:r>
      </w:hyperlink>
      <w:r>
        <w:t xml:space="preserve">.</w:t>
      </w:r>
    </w:p>
    <w:bookmarkEnd w:id="552"/>
    <w:bookmarkStart w:id="554" w:name="ref-noauthor_consort_nodate"/>
    <w:p>
      <w:pPr>
        <w:pStyle w:val="Bibliography"/>
      </w:pPr>
      <w:r>
        <w:t xml:space="preserve">“</w:t>
      </w:r>
      <w:r>
        <w:t xml:space="preserve">CONSORT</w:t>
      </w:r>
      <w:r>
        <w:t xml:space="preserve"> </w:t>
      </w:r>
      <w:r>
        <w:t xml:space="preserve">2010</w:t>
      </w:r>
      <w:r>
        <w:t xml:space="preserve"> </w:t>
      </w:r>
      <w:r>
        <w:t xml:space="preserve">Flow</w:t>
      </w:r>
      <w:r>
        <w:t xml:space="preserve"> </w:t>
      </w:r>
      <w:r>
        <w:t xml:space="preserve">Diagram</w:t>
      </w:r>
      <w:r>
        <w:t xml:space="preserve">.”</w:t>
      </w:r>
      <w:r>
        <w:t xml:space="preserve"> </w:t>
      </w:r>
      <w:r>
        <w:t xml:space="preserve">n.d. Accessed April 14, 2023.</w:t>
      </w:r>
      <w:r>
        <w:t xml:space="preserve"> </w:t>
      </w:r>
      <w:hyperlink r:id="rId553">
        <w:r>
          <w:rPr>
            <w:rStyle w:val="Hyperlink"/>
          </w:rPr>
          <w:t xml:space="preserve">https://www.google.com/url?sa=t&amp;rct=j&amp;q=&amp;esrc=s&amp;source=web&amp;cd=&amp;ved=2ahUKEwi23o272_r2AhXjpFsKHb26BkAQFnoECDcQAQ&amp;url=https%3A%2F%2Fwww.mdpi.com%2Fdata%2Fconsort-2010-flow-diagram.doc&amp;usg=AOvVaw1vkBi-6QPcbnv9k40nfXfs</w:t>
        </w:r>
      </w:hyperlink>
      <w:r>
        <w:t xml:space="preserve">.</w:t>
      </w:r>
    </w:p>
    <w:bookmarkEnd w:id="554"/>
    <w:bookmarkStart w:id="556" w:name="ref-cowles_research_nodate"/>
    <w:p>
      <w:pPr>
        <w:pStyle w:val="Bibliography"/>
      </w:pPr>
      <w:r>
        <w:t xml:space="preserve">Cowles, Wind. n.d.</w:t>
      </w:r>
      <w:r>
        <w:t xml:space="preserve"> </w:t>
      </w:r>
      <w:r>
        <w:t xml:space="preserve">“Research</w:t>
      </w:r>
      <w:r>
        <w:t xml:space="preserve"> </w:t>
      </w:r>
      <w:r>
        <w:t xml:space="preserve">Guides</w:t>
      </w:r>
      <w:r>
        <w:t xml:space="preserve">:</w:t>
      </w:r>
      <w:r>
        <w:t xml:space="preserve"> </w:t>
      </w:r>
      <w:r>
        <w:t xml:space="preserve">Research</w:t>
      </w:r>
      <w:r>
        <w:t xml:space="preserve"> </w:t>
      </w:r>
      <w:r>
        <w:t xml:space="preserve">Data</w:t>
      </w:r>
      <w:r>
        <w:t xml:space="preserve"> </w:t>
      </w:r>
      <w:r>
        <w:t xml:space="preserve">Management</w:t>
      </w:r>
      <w:r>
        <w:t xml:space="preserve"> </w:t>
      </w:r>
      <w:r>
        <w:t xml:space="preserve">at</w:t>
      </w:r>
      <w:r>
        <w:t xml:space="preserve"> </w:t>
      </w:r>
      <w:r>
        <w:t xml:space="preserve">Princeton</w:t>
      </w:r>
      <w:r>
        <w:t xml:space="preserve">:</w:t>
      </w:r>
      <w:r>
        <w:t xml:space="preserve"> </w:t>
      </w:r>
      <w:r>
        <w:t xml:space="preserve">Home</w:t>
      </w:r>
      <w:r>
        <w:t xml:space="preserve">.”</w:t>
      </w:r>
      <w:r>
        <w:t xml:space="preserve"> </w:t>
      </w:r>
      <w:r>
        <w:t xml:space="preserve">Accessed September 15, 2022.</w:t>
      </w:r>
      <w:r>
        <w:t xml:space="preserve"> </w:t>
      </w:r>
      <w:hyperlink r:id="rId555">
        <w:r>
          <w:rPr>
            <w:rStyle w:val="Hyperlink"/>
          </w:rPr>
          <w:t xml:space="preserve">https://libguides.princeton.edu/c.php?g=102546&amp;p=665862</w:t>
        </w:r>
      </w:hyperlink>
      <w:r>
        <w:t xml:space="preserve">.</w:t>
      </w:r>
    </w:p>
    <w:bookmarkEnd w:id="556"/>
    <w:bookmarkStart w:id="558" w:name="ref-csp_library_research_csp_nodate"/>
    <w:p>
      <w:pPr>
        <w:pStyle w:val="Bibliography"/>
      </w:pPr>
      <w:r>
        <w:t xml:space="preserve">CSP Library Research. n.d.</w:t>
      </w:r>
      <w:r>
        <w:t xml:space="preserve"> </w:t>
      </w:r>
      <w:r>
        <w:t xml:space="preserve">“</w:t>
      </w:r>
      <w:r>
        <w:t xml:space="preserve">CSP</w:t>
      </w:r>
      <w:r>
        <w:t xml:space="preserve"> </w:t>
      </w:r>
      <w:r>
        <w:t xml:space="preserve">Library</w:t>
      </w:r>
      <w:r>
        <w:t xml:space="preserve">:</w:t>
      </w:r>
      <w:r>
        <w:t xml:space="preserve"> </w:t>
      </w:r>
      <w:r>
        <w:t xml:space="preserve">Zotero</w:t>
      </w:r>
      <w:r>
        <w:t xml:space="preserve"> </w:t>
      </w:r>
      <w:r>
        <w:t xml:space="preserve">Guide</w:t>
      </w:r>
      <w:r>
        <w:t xml:space="preserve">:</w:t>
      </w:r>
      <w:r>
        <w:t xml:space="preserve"> </w:t>
      </w:r>
      <w:r>
        <w:t xml:space="preserve">Defining</w:t>
      </w:r>
      <w:r>
        <w:t xml:space="preserve"> </w:t>
      </w:r>
      <w:r>
        <w:t xml:space="preserve">Your</w:t>
      </w:r>
      <w:r>
        <w:t xml:space="preserve"> </w:t>
      </w:r>
      <w:r>
        <w:t xml:space="preserve">Research</w:t>
      </w:r>
      <w:r>
        <w:t xml:space="preserve"> </w:t>
      </w:r>
      <w:r>
        <w:t xml:space="preserve">Workflow</w:t>
      </w:r>
      <w:r>
        <w:t xml:space="preserve">.”</w:t>
      </w:r>
      <w:r>
        <w:t xml:space="preserve"> </w:t>
      </w:r>
      <w:r>
        <w:t xml:space="preserve">Accessed November 1, 2022.</w:t>
      </w:r>
      <w:r>
        <w:t xml:space="preserve"> </w:t>
      </w:r>
      <w:hyperlink r:id="rId557">
        <w:r>
          <w:rPr>
            <w:rStyle w:val="Hyperlink"/>
          </w:rPr>
          <w:t xml:space="preserve">https://library.csp.edu/Zotero/workflow</w:t>
        </w:r>
      </w:hyperlink>
      <w:r>
        <w:t xml:space="preserve">.</w:t>
      </w:r>
    </w:p>
    <w:bookmarkEnd w:id="558"/>
    <w:bookmarkStart w:id="560" w:name="ref-dahdul_research_nodate"/>
    <w:p>
      <w:pPr>
        <w:pStyle w:val="Bibliography"/>
      </w:pPr>
      <w:r>
        <w:t xml:space="preserve">Dahdul, Wasila. n.d.</w:t>
      </w:r>
      <w:r>
        <w:t xml:space="preserve"> </w:t>
      </w:r>
      <w:r>
        <w:t xml:space="preserve">“Research</w:t>
      </w:r>
      <w:r>
        <w:t xml:space="preserve"> </w:t>
      </w:r>
      <w:r>
        <w:t xml:space="preserve">Guides</w:t>
      </w:r>
      <w:r>
        <w:t xml:space="preserve">:</w:t>
      </w:r>
      <w:r>
        <w:t xml:space="preserve"> </w:t>
      </w:r>
      <w:r>
        <w:t xml:space="preserve">Research</w:t>
      </w:r>
      <w:r>
        <w:t xml:space="preserve"> </w:t>
      </w:r>
      <w:r>
        <w:t xml:space="preserve">Data</w:t>
      </w:r>
      <w:r>
        <w:t xml:space="preserve"> </w:t>
      </w:r>
      <w:r>
        <w:t xml:space="preserve">Management</w:t>
      </w:r>
      <w:r>
        <w:t xml:space="preserve">:</w:t>
      </w:r>
      <w:r>
        <w:t xml:space="preserve"> </w:t>
      </w:r>
      <w:r>
        <w:t xml:space="preserve">Describing</w:t>
      </w:r>
      <w:r>
        <w:t xml:space="preserve"> </w:t>
      </w:r>
      <w:r>
        <w:t xml:space="preserve">Data</w:t>
      </w:r>
      <w:r>
        <w:t xml:space="preserve">.”</w:t>
      </w:r>
      <w:r>
        <w:t xml:space="preserve"> </w:t>
      </w:r>
      <w:r>
        <w:t xml:space="preserve">Accessed January 18, 2023.</w:t>
      </w:r>
      <w:r>
        <w:t xml:space="preserve"> </w:t>
      </w:r>
      <w:hyperlink r:id="rId559">
        <w:r>
          <w:rPr>
            <w:rStyle w:val="Hyperlink"/>
          </w:rPr>
          <w:t xml:space="preserve">https://guides.lib.uci.edu/datamanagement/describe</w:t>
        </w:r>
      </w:hyperlink>
      <w:r>
        <w:t xml:space="preserve">.</w:t>
      </w:r>
    </w:p>
    <w:bookmarkEnd w:id="560"/>
    <w:bookmarkStart w:id="562" w:name="Xb6fde4699a3a569528f1ebb5291fe3ae7840150"/>
    <w:p>
      <w:pPr>
        <w:pStyle w:val="Bibliography"/>
      </w:pPr>
      <w:r>
        <w:t xml:space="preserve">Danish National Forum for Research Data Management. n.d.</w:t>
      </w:r>
      <w:r>
        <w:t xml:space="preserve"> </w:t>
      </w:r>
      <w:r>
        <w:t xml:space="preserve">“Metadata -</w:t>
      </w:r>
      <w:r>
        <w:t xml:space="preserve"> </w:t>
      </w:r>
      <w:r>
        <w:t xml:space="preserve">How</w:t>
      </w:r>
      <w:r>
        <w:t xml:space="preserve"> </w:t>
      </w:r>
      <w:r>
        <w:t xml:space="preserve">to</w:t>
      </w:r>
      <w:r>
        <w:t xml:space="preserve"> </w:t>
      </w:r>
      <w:r>
        <w:t xml:space="preserve">FAIR</w:t>
      </w:r>
      <w:r>
        <w:t xml:space="preserve">.”</w:t>
      </w:r>
      <w:r>
        <w:t xml:space="preserve"> </w:t>
      </w:r>
      <w:r>
        <w:t xml:space="preserve">Accessed January 18, 2023.</w:t>
      </w:r>
      <w:r>
        <w:t xml:space="preserve"> </w:t>
      </w:r>
      <w:hyperlink r:id="rId561">
        <w:r>
          <w:rPr>
            <w:rStyle w:val="Hyperlink"/>
          </w:rPr>
          <w:t xml:space="preserve">https://howtofair.dk/how-to-fair/metadata/</w:t>
        </w:r>
      </w:hyperlink>
      <w:r>
        <w:t xml:space="preserve">.</w:t>
      </w:r>
    </w:p>
    <w:bookmarkEnd w:id="562"/>
    <w:bookmarkStart w:id="564" w:name="ref-daskalova_coding_nodate"/>
    <w:p>
      <w:pPr>
        <w:pStyle w:val="Bibliography"/>
      </w:pPr>
      <w:r>
        <w:t xml:space="preserve">Daskalova, Gergana. n.d.</w:t>
      </w:r>
      <w:r>
        <w:t xml:space="preserve"> </w:t>
      </w:r>
      <w:r>
        <w:t xml:space="preserve">“Coding Etiquette.”</w:t>
      </w:r>
      <w:r>
        <w:t xml:space="preserve"> </w:t>
      </w:r>
      <w:r>
        <w:rPr>
          <w:iCs/>
          <w:i/>
        </w:rPr>
        <w:t xml:space="preserve">Coding Club</w:t>
      </w:r>
      <w:r>
        <w:t xml:space="preserve">. Accessed February 17, 2023.</w:t>
      </w:r>
      <w:r>
        <w:t xml:space="preserve"> </w:t>
      </w:r>
      <w:hyperlink r:id="rId563">
        <w:r>
          <w:rPr>
            <w:rStyle w:val="Hyperlink"/>
          </w:rPr>
          <w:t xml:space="preserve">https://ourcodingclub.github.io/tutorials/etiquette/</w:t>
        </w:r>
      </w:hyperlink>
      <w:r>
        <w:t xml:space="preserve">.</w:t>
      </w:r>
    </w:p>
    <w:bookmarkEnd w:id="564"/>
    <w:bookmarkStart w:id="566" w:name="ref-ddi_alliance_controlled_nodate"/>
    <w:p>
      <w:pPr>
        <w:pStyle w:val="Bibliography"/>
      </w:pPr>
      <w:r>
        <w:t xml:space="preserve">DDI Alliance. n.d.a.</w:t>
      </w:r>
      <w:r>
        <w:t xml:space="preserve"> </w:t>
      </w:r>
      <w:r>
        <w:t xml:space="preserve">“Controlled</w:t>
      </w:r>
      <w:r>
        <w:t xml:space="preserve"> </w:t>
      </w:r>
      <w:r>
        <w:t xml:space="preserve">Vocabularies</w:t>
      </w:r>
      <w:r>
        <w:t xml:space="preserve"> </w:t>
      </w:r>
      <w:r>
        <w:t xml:space="preserve">-</w:t>
      </w:r>
      <w:r>
        <w:t xml:space="preserve"> </w:t>
      </w:r>
      <w:r>
        <w:t xml:space="preserve">Overview</w:t>
      </w:r>
      <w:r>
        <w:t xml:space="preserve"> </w:t>
      </w:r>
      <w:r>
        <w:t xml:space="preserve">Table</w:t>
      </w:r>
      <w:r>
        <w:t xml:space="preserve"> </w:t>
      </w:r>
      <w:r>
        <w:t xml:space="preserve">of</w:t>
      </w:r>
      <w:r>
        <w:t xml:space="preserve"> </w:t>
      </w:r>
      <w:r>
        <w:t xml:space="preserve">Latest</w:t>
      </w:r>
      <w:r>
        <w:t xml:space="preserve"> </w:t>
      </w:r>
      <w:r>
        <w:t xml:space="preserve">Versions</w:t>
      </w:r>
      <w:r>
        <w:t xml:space="preserve"> </w:t>
      </w:r>
      <w:r>
        <w:t xml:space="preserve"> </w:t>
      </w:r>
      <w:r>
        <w:t xml:space="preserve">Data</w:t>
      </w:r>
      <w:r>
        <w:t xml:space="preserve"> </w:t>
      </w:r>
      <w:r>
        <w:t xml:space="preserve">Documentation</w:t>
      </w:r>
      <w:r>
        <w:t xml:space="preserve"> </w:t>
      </w:r>
      <w:r>
        <w:t xml:space="preserve">Initiative</w:t>
      </w:r>
      <w:r>
        <w:t xml:space="preserve">.”</w:t>
      </w:r>
      <w:r>
        <w:t xml:space="preserve"> </w:t>
      </w:r>
      <w:r>
        <w:t xml:space="preserve">Accessed January 19, 2023.</w:t>
      </w:r>
      <w:r>
        <w:t xml:space="preserve"> </w:t>
      </w:r>
      <w:hyperlink r:id="rId565">
        <w:r>
          <w:rPr>
            <w:rStyle w:val="Hyperlink"/>
          </w:rPr>
          <w:t xml:space="preserve">https://ddialliance.org/controlled-vocabularies</w:t>
        </w:r>
      </w:hyperlink>
      <w:r>
        <w:t xml:space="preserve">.</w:t>
      </w:r>
    </w:p>
    <w:bookmarkEnd w:id="566"/>
    <w:bookmarkStart w:id="568" w:name="ref-ddi_alliance_mapping_nodate"/>
    <w:p>
      <w:pPr>
        <w:pStyle w:val="Bibliography"/>
      </w:pPr>
      <w:r>
        <w:t xml:space="preserve">———. n.d.b.</w:t>
      </w:r>
      <w:r>
        <w:t xml:space="preserve"> </w:t>
      </w:r>
      <w:r>
        <w:t xml:space="preserve">“Mapping to</w:t>
      </w:r>
      <w:r>
        <w:t xml:space="preserve"> </w:t>
      </w:r>
      <w:r>
        <w:t xml:space="preserve">Dublin</w:t>
      </w:r>
      <w:r>
        <w:t xml:space="preserve"> </w:t>
      </w:r>
      <w:r>
        <w:t xml:space="preserve">Core</w:t>
      </w:r>
      <w:r>
        <w:t xml:space="preserve"> </w:t>
      </w:r>
      <w:r>
        <w:t xml:space="preserve">(</w:t>
      </w:r>
      <w:r>
        <w:t xml:space="preserve">DDI</w:t>
      </w:r>
      <w:r>
        <w:t xml:space="preserve"> </w:t>
      </w:r>
      <w:r>
        <w:t xml:space="preserve">Version</w:t>
      </w:r>
      <w:r>
        <w:t xml:space="preserve"> </w:t>
      </w:r>
      <w:r>
        <w:t xml:space="preserve">2).”</w:t>
      </w:r>
      <w:r>
        <w:t xml:space="preserve"> </w:t>
      </w:r>
      <w:r>
        <w:t xml:space="preserve">Accessed January 19, 2023.</w:t>
      </w:r>
      <w:r>
        <w:t xml:space="preserve"> </w:t>
      </w:r>
      <w:hyperlink r:id="rId567">
        <w:r>
          <w:rPr>
            <w:rStyle w:val="Hyperlink"/>
          </w:rPr>
          <w:t xml:space="preserve">https://ddialliance.org/resources/ddi-profiles/dc</w:t>
        </w:r>
      </w:hyperlink>
      <w:r>
        <w:t xml:space="preserve">.</w:t>
      </w:r>
    </w:p>
    <w:bookmarkEnd w:id="568"/>
    <w:bookmarkStart w:id="570" w:name="ref-van_dijk_open_2021"/>
    <w:p>
      <w:pPr>
        <w:pStyle w:val="Bibliography"/>
      </w:pPr>
      <w:r>
        <w:t xml:space="preserve">Dijk, Wilhelmina van, Christopher Schatschneider, and Sara A. Hart. 2021.</w:t>
      </w:r>
      <w:r>
        <w:t xml:space="preserve"> </w:t>
      </w:r>
      <w:r>
        <w:t xml:space="preserve">“Open</w:t>
      </w:r>
      <w:r>
        <w:t xml:space="preserve"> </w:t>
      </w:r>
      <w:r>
        <w:t xml:space="preserve">Science</w:t>
      </w:r>
      <w:r>
        <w:t xml:space="preserve"> </w:t>
      </w:r>
      <w:r>
        <w:t xml:space="preserve">in</w:t>
      </w:r>
      <w:r>
        <w:t xml:space="preserve"> </w:t>
      </w:r>
      <w:r>
        <w:t xml:space="preserve">Education</w:t>
      </w:r>
      <w:r>
        <w:t xml:space="preserve"> </w:t>
      </w:r>
      <w:r>
        <w:t xml:space="preserve">Sciences</w:t>
      </w:r>
      <w:r>
        <w:t xml:space="preserve">.”</w:t>
      </w:r>
      <w:r>
        <w:t xml:space="preserve"> </w:t>
      </w:r>
      <w:r>
        <w:rPr>
          <w:iCs/>
          <w:i/>
        </w:rPr>
        <w:t xml:space="preserve">Journal of Learning Disabilities</w:t>
      </w:r>
      <w:r>
        <w:t xml:space="preserve"> </w:t>
      </w:r>
      <w:r>
        <w:t xml:space="preserve">54 (2): 139–52.</w:t>
      </w:r>
      <w:r>
        <w:t xml:space="preserve"> </w:t>
      </w:r>
      <w:hyperlink r:id="rId569">
        <w:r>
          <w:rPr>
            <w:rStyle w:val="Hyperlink"/>
          </w:rPr>
          <w:t xml:space="preserve">https://doi.org/10.1177/0022219420945267</w:t>
        </w:r>
      </w:hyperlink>
      <w:r>
        <w:t xml:space="preserve">.</w:t>
      </w:r>
    </w:p>
    <w:bookmarkEnd w:id="570"/>
    <w:bookmarkStart w:id="572" w:name="ref-doucette_drowning_2013"/>
    <w:p>
      <w:pPr>
        <w:pStyle w:val="Bibliography"/>
      </w:pPr>
      <w:r>
        <w:t xml:space="preserve">Doucette, Lise, and Bruce Fyfe. 2013.</w:t>
      </w:r>
      <w:r>
        <w:t xml:space="preserve"> </w:t>
      </w:r>
      <w:r>
        <w:t xml:space="preserve">“Drowning in</w:t>
      </w:r>
      <w:r>
        <w:t xml:space="preserve"> </w:t>
      </w:r>
      <w:r>
        <w:t xml:space="preserve">Research</w:t>
      </w:r>
      <w:r>
        <w:t xml:space="preserve"> </w:t>
      </w:r>
      <w:r>
        <w:t xml:space="preserve">Data</w:t>
      </w:r>
      <w:r>
        <w:t xml:space="preserve">:</w:t>
      </w:r>
      <w:r>
        <w:t xml:space="preserve"> </w:t>
      </w:r>
      <w:r>
        <w:t xml:space="preserve">Addressing</w:t>
      </w:r>
      <w:r>
        <w:t xml:space="preserve"> </w:t>
      </w:r>
      <w:r>
        <w:t xml:space="preserve">Data</w:t>
      </w:r>
      <w:r>
        <w:t xml:space="preserve"> </w:t>
      </w:r>
      <w:r>
        <w:t xml:space="preserve">Management</w:t>
      </w:r>
      <w:r>
        <w:t xml:space="preserve"> </w:t>
      </w:r>
      <w:r>
        <w:t xml:space="preserve">Literacy</w:t>
      </w:r>
      <w:r>
        <w:t xml:space="preserve"> </w:t>
      </w:r>
      <w:r>
        <w:t xml:space="preserve">of</w:t>
      </w:r>
      <w:r>
        <w:t xml:space="preserve"> </w:t>
      </w:r>
      <w:r>
        <w:t xml:space="preserve">Graduate</w:t>
      </w:r>
      <w:r>
        <w:t xml:space="preserve"> </w:t>
      </w:r>
      <w:r>
        <w:t xml:space="preserve">Students</w:t>
      </w:r>
      <w:r>
        <w:t xml:space="preserve"> </w:t>
      </w:r>
      <w:r>
        <w:t xml:space="preserve">-</w:t>
      </w:r>
      <w:r>
        <w:t xml:space="preserve"> </w:t>
      </w:r>
      <w:r>
        <w:t xml:space="preserve">PDF</w:t>
      </w:r>
      <w:r>
        <w:t xml:space="preserve"> </w:t>
      </w:r>
      <w:r>
        <w:t xml:space="preserve">Free</w:t>
      </w:r>
      <w:r>
        <w:t xml:space="preserve"> </w:t>
      </w:r>
      <w:r>
        <w:t xml:space="preserve">Download</w:t>
      </w:r>
      <w:r>
        <w:t xml:space="preserve">.”</w:t>
      </w:r>
      <w:r>
        <w:t xml:space="preserve"> </w:t>
      </w:r>
      <w:hyperlink r:id="rId571">
        <w:r>
          <w:rPr>
            <w:rStyle w:val="Hyperlink"/>
          </w:rPr>
          <w:t xml:space="preserve">https://docplayer.net/8853333-Drowning-in-research-data-addressing-data-management-literacy-of-graduate-students.html</w:t>
        </w:r>
      </w:hyperlink>
      <w:r>
        <w:t xml:space="preserve">.</w:t>
      </w:r>
    </w:p>
    <w:bookmarkEnd w:id="572"/>
    <w:bookmarkStart w:id="574" w:name="ref-duru_gantt_nodate"/>
    <w:p>
      <w:pPr>
        <w:pStyle w:val="Bibliography"/>
      </w:pPr>
      <w:r>
        <w:t xml:space="preserve">Duru, Maya, and Sarah Kopper. n.d.a.</w:t>
      </w:r>
      <w:r>
        <w:t xml:space="preserve"> </w:t>
      </w:r>
      <w:r>
        <w:t xml:space="preserve">“Gantt</w:t>
      </w:r>
      <w:r>
        <w:t xml:space="preserve"> </w:t>
      </w:r>
      <w:r>
        <w:t xml:space="preserve">Chart</w:t>
      </w:r>
      <w:r>
        <w:t xml:space="preserve"> </w:t>
      </w:r>
      <w:r>
        <w:t xml:space="preserve">Template</w:t>
      </w:r>
      <w:r>
        <w:t xml:space="preserve">.”</w:t>
      </w:r>
      <w:r>
        <w:t xml:space="preserve"> </w:t>
      </w:r>
      <w:hyperlink r:id="rId573">
        <w:r>
          <w:rPr>
            <w:rStyle w:val="Hyperlink"/>
          </w:rPr>
          <w:t xml:space="preserve">https://www.povertyactionlab.org/sites/default/files/research-resources/rr_grantprop_Template_Gantt_Chart.pdf</w:t>
        </w:r>
      </w:hyperlink>
      <w:r>
        <w:t xml:space="preserve">.</w:t>
      </w:r>
    </w:p>
    <w:bookmarkEnd w:id="574"/>
    <w:bookmarkStart w:id="575" w:name="ref-duru_grant_nodate"/>
    <w:p>
      <w:pPr>
        <w:pStyle w:val="Bibliography"/>
      </w:pPr>
      <w:r>
        <w:t xml:space="preserve">———. n.d.b.</w:t>
      </w:r>
      <w:r>
        <w:t xml:space="preserve"> </w:t>
      </w:r>
      <w:r>
        <w:t xml:space="preserve">“Grant Proposals.”</w:t>
      </w:r>
      <w:r>
        <w:t xml:space="preserve"> </w:t>
      </w:r>
      <w:r>
        <w:rPr>
          <w:iCs/>
          <w:i/>
        </w:rPr>
        <w:t xml:space="preserve">The Abdul Latif Jameel Poverty Action Lab (J-PAL)</w:t>
      </w:r>
      <w:r>
        <w:t xml:space="preserve">. Accessed May 1, 2023.</w:t>
      </w:r>
      <w:r>
        <w:t xml:space="preserve"> </w:t>
      </w:r>
      <w:hyperlink r:id="rId139">
        <w:r>
          <w:rPr>
            <w:rStyle w:val="Hyperlink"/>
          </w:rPr>
          <w:t xml:space="preserve">https://www.povertyactionlab.org/resource/grant-proposals</w:t>
        </w:r>
      </w:hyperlink>
      <w:r>
        <w:t xml:space="preserve">.</w:t>
      </w:r>
    </w:p>
    <w:bookmarkEnd w:id="575"/>
    <w:bookmarkStart w:id="577" w:name="ref-duru_institutional_nodate"/>
    <w:p>
      <w:pPr>
        <w:pStyle w:val="Bibliography"/>
      </w:pPr>
      <w:r>
        <w:t xml:space="preserve">Duru, Maya, and Anja Sautmann. n.d.</w:t>
      </w:r>
      <w:r>
        <w:t xml:space="preserve"> </w:t>
      </w:r>
      <w:r>
        <w:t xml:space="preserve">“Institutional</w:t>
      </w:r>
      <w:r>
        <w:t xml:space="preserve"> </w:t>
      </w:r>
      <w:r>
        <w:t xml:space="preserve">Review</w:t>
      </w:r>
      <w:r>
        <w:t xml:space="preserve"> </w:t>
      </w:r>
      <w:r>
        <w:t xml:space="preserve">Board</w:t>
      </w:r>
      <w:r>
        <w:t xml:space="preserve"> </w:t>
      </w:r>
      <w:r>
        <w:t xml:space="preserve">(</w:t>
      </w:r>
      <w:r>
        <w:t xml:space="preserve">IRB</w:t>
      </w:r>
      <w:r>
        <w:t xml:space="preserve">) Proposals.”</w:t>
      </w:r>
      <w:r>
        <w:t xml:space="preserve"> </w:t>
      </w:r>
      <w:r>
        <w:rPr>
          <w:iCs/>
          <w:i/>
        </w:rPr>
        <w:t xml:space="preserve">The Abdul Latif Jameel Poverty Action Lab (J-PAL)</w:t>
      </w:r>
      <w:r>
        <w:t xml:space="preserve">. Accessed April 27, 2023.</w:t>
      </w:r>
      <w:r>
        <w:t xml:space="preserve"> </w:t>
      </w:r>
      <w:hyperlink r:id="rId576">
        <w:r>
          <w:rPr>
            <w:rStyle w:val="Hyperlink"/>
          </w:rPr>
          <w:t xml:space="preserve">https://www.povertyactionlab.org/resource/institutional-review-board-irb-proposals</w:t>
        </w:r>
      </w:hyperlink>
      <w:r>
        <w:t xml:space="preserve">.</w:t>
      </w:r>
    </w:p>
    <w:bookmarkEnd w:id="577"/>
    <w:bookmarkStart w:id="579" w:name="ref-eaker_what_2016"/>
    <w:p>
      <w:pPr>
        <w:pStyle w:val="Bibliography"/>
      </w:pPr>
      <w:r>
        <w:t xml:space="preserve">Eaker, C. 2016.</w:t>
      </w:r>
      <w:r>
        <w:t xml:space="preserve"> </w:t>
      </w:r>
      <w:r>
        <w:t xml:space="preserve">“What</w:t>
      </w:r>
      <w:r>
        <w:t xml:space="preserve"> </w:t>
      </w:r>
      <w:r>
        <w:t xml:space="preserve">Could</w:t>
      </w:r>
      <w:r>
        <w:t xml:space="preserve"> </w:t>
      </w:r>
      <w:r>
        <w:t xml:space="preserve">Possibly</w:t>
      </w:r>
      <w:r>
        <w:t xml:space="preserve"> </w:t>
      </w:r>
      <w:r>
        <w:t xml:space="preserve">Go</w:t>
      </w:r>
      <w:r>
        <w:t xml:space="preserve"> </w:t>
      </w:r>
      <w:r>
        <w:t xml:space="preserve">Wrong</w:t>
      </w:r>
      <w:r>
        <w:t xml:space="preserve">?</w:t>
      </w:r>
      <w:r>
        <w:t xml:space="preserve"> </w:t>
      </w:r>
      <w:r>
        <w:t xml:space="preserve">The</w:t>
      </w:r>
      <w:r>
        <w:t xml:space="preserve"> </w:t>
      </w:r>
      <w:r>
        <w:t xml:space="preserve">Impact</w:t>
      </w:r>
      <w:r>
        <w:t xml:space="preserve"> </w:t>
      </w:r>
      <w:r>
        <w:t xml:space="preserve">of</w:t>
      </w:r>
      <w:r>
        <w:t xml:space="preserve"> </w:t>
      </w:r>
      <w:r>
        <w:t xml:space="preserve">Poor</w:t>
      </w:r>
      <w:r>
        <w:t xml:space="preserve"> </w:t>
      </w:r>
      <w:r>
        <w:t xml:space="preserve">Data</w:t>
      </w:r>
      <w:r>
        <w:t xml:space="preserve"> </w:t>
      </w:r>
      <w:r>
        <w:t xml:space="preserve">Management</w:t>
      </w:r>
      <w:r>
        <w:t xml:space="preserve">.”</w:t>
      </w:r>
      <w:r>
        <w:t xml:space="preserve"> </w:t>
      </w:r>
      <w:r>
        <w:rPr>
          <w:iCs/>
          <w:i/>
        </w:rPr>
        <w:t xml:space="preserve">In Federer, L. (Ed.). The Medical Library Association’s Guide to Data Management for Librarians</w:t>
      </w:r>
      <w:r>
        <w:t xml:space="preserve">.</w:t>
      </w:r>
      <w:r>
        <w:t xml:space="preserve"> </w:t>
      </w:r>
      <w:hyperlink r:id="rId578">
        <w:r>
          <w:rPr>
            <w:rStyle w:val="Hyperlink"/>
          </w:rPr>
          <w:t xml:space="preserve">https://trace.tennessee.edu/cgi/viewcontent.cgi?article=1023&amp;context=utk_libpub</w:t>
        </w:r>
      </w:hyperlink>
      <w:r>
        <w:t xml:space="preserve">.</w:t>
      </w:r>
    </w:p>
    <w:bookmarkEnd w:id="579"/>
    <w:bookmarkStart w:id="581" w:name="ref-farewell_my_2018"/>
    <w:p>
      <w:pPr>
        <w:pStyle w:val="Bibliography"/>
      </w:pPr>
      <w:r>
        <w:t xml:space="preserve">Farewell, Timothy S. 2018.</w:t>
      </w:r>
      <w:r>
        <w:t xml:space="preserve"> </w:t>
      </w:r>
      <w:r>
        <w:t xml:space="preserve">“My Easy</w:t>
      </w:r>
      <w:r>
        <w:t xml:space="preserve"> </w:t>
      </w:r>
      <w:r>
        <w:t xml:space="preserve">R</w:t>
      </w:r>
      <w:r>
        <w:t xml:space="preserve"> </w:t>
      </w:r>
      <w:r>
        <w:t xml:space="preserve">Script Header Template –</w:t>
      </w:r>
      <w:r>
        <w:t xml:space="preserve"> </w:t>
      </w:r>
      <w:r>
        <w:t xml:space="preserve">Tim</w:t>
      </w:r>
      <w:r>
        <w:t xml:space="preserve"> </w:t>
      </w:r>
      <w:r>
        <w:t xml:space="preserve">Farewell</w:t>
      </w:r>
      <w:r>
        <w:t xml:space="preserve">.”</w:t>
      </w:r>
      <w:r>
        <w:t xml:space="preserve"> </w:t>
      </w:r>
      <w:hyperlink r:id="rId580">
        <w:r>
          <w:rPr>
            <w:rStyle w:val="Hyperlink"/>
          </w:rPr>
          <w:t xml:space="preserve">https://timfarewell.co.uk/my-r-script-header-template/</w:t>
        </w:r>
      </w:hyperlink>
      <w:r>
        <w:t xml:space="preserve">.</w:t>
      </w:r>
    </w:p>
    <w:bookmarkEnd w:id="581"/>
    <w:bookmarkStart w:id="582" w:name="ref-figshare_figshare_nodate"/>
    <w:p>
      <w:pPr>
        <w:pStyle w:val="Bibliography"/>
      </w:pPr>
      <w:r>
        <w:t xml:space="preserve">Figshare. n.d.</w:t>
      </w:r>
      <w:r>
        <w:t xml:space="preserve"> </w:t>
      </w:r>
      <w:r>
        <w:t xml:space="preserve">“Figshare - Credit for All Your Research.”</w:t>
      </w:r>
      <w:r>
        <w:t xml:space="preserve"> </w:t>
      </w:r>
      <w:r>
        <w:rPr>
          <w:iCs/>
          <w:i/>
        </w:rPr>
        <w:t xml:space="preserve">Figshare</w:t>
      </w:r>
      <w:r>
        <w:t xml:space="preserve">. Accessed January 18, 2023.</w:t>
      </w:r>
      <w:r>
        <w:t xml:space="preserve"> </w:t>
      </w:r>
      <w:hyperlink r:id="rId334">
        <w:r>
          <w:rPr>
            <w:rStyle w:val="Hyperlink"/>
          </w:rPr>
          <w:t xml:space="preserve">https://figshare.com/</w:t>
        </w:r>
      </w:hyperlink>
      <w:r>
        <w:t xml:space="preserve">.</w:t>
      </w:r>
    </w:p>
    <w:bookmarkEnd w:id="582"/>
    <w:bookmarkStart w:id="584" w:name="ref-filip_san_nodate"/>
    <w:p>
      <w:pPr>
        <w:pStyle w:val="Bibliography"/>
      </w:pPr>
      <w:r>
        <w:t xml:space="preserve">Filip, Alena. n.d.</w:t>
      </w:r>
      <w:r>
        <w:t xml:space="preserve"> </w:t>
      </w:r>
      <w:r>
        <w:t xml:space="preserve">“San</w:t>
      </w:r>
      <w:r>
        <w:t xml:space="preserve"> </w:t>
      </w:r>
      <w:r>
        <w:t xml:space="preserve">Jose</w:t>
      </w:r>
      <w:r>
        <w:t xml:space="preserve"> </w:t>
      </w:r>
      <w:r>
        <w:t xml:space="preserve">State</w:t>
      </w:r>
      <w:r>
        <w:t xml:space="preserve"> </w:t>
      </w:r>
      <w:r>
        <w:t xml:space="preserve">University</w:t>
      </w:r>
      <w:r>
        <w:t xml:space="preserve"> </w:t>
      </w:r>
      <w:r>
        <w:t xml:space="preserve">Institutional</w:t>
      </w:r>
      <w:r>
        <w:t xml:space="preserve"> </w:t>
      </w:r>
      <w:r>
        <w:t xml:space="preserve">Review</w:t>
      </w:r>
      <w:r>
        <w:t xml:space="preserve"> </w:t>
      </w:r>
      <w:r>
        <w:t xml:space="preserve">Board</w:t>
      </w:r>
      <w:r>
        <w:t xml:space="preserve">:</w:t>
      </w:r>
      <w:r>
        <w:t xml:space="preserve"> </w:t>
      </w:r>
      <w:r>
        <w:t xml:space="preserve">Data</w:t>
      </w:r>
      <w:r>
        <w:t xml:space="preserve"> </w:t>
      </w:r>
      <w:r>
        <w:t xml:space="preserve">Management</w:t>
      </w:r>
      <w:r>
        <w:t xml:space="preserve"> </w:t>
      </w:r>
      <w:r>
        <w:t xml:space="preserve">Handbook</w:t>
      </w:r>
      <w:r>
        <w:t xml:space="preserve"> </w:t>
      </w:r>
      <w:r>
        <w:t xml:space="preserve">for</w:t>
      </w:r>
      <w:r>
        <w:t xml:space="preserve"> </w:t>
      </w:r>
      <w:r>
        <w:t xml:space="preserve">Human</w:t>
      </w:r>
      <w:r>
        <w:t xml:space="preserve"> </w:t>
      </w:r>
      <w:r>
        <w:t xml:space="preserve">Subjects</w:t>
      </w:r>
      <w:r>
        <w:t xml:space="preserve"> </w:t>
      </w:r>
      <w:r>
        <w:t xml:space="preserve">Research</w:t>
      </w:r>
      <w:r>
        <w:t xml:space="preserve">.”</w:t>
      </w:r>
      <w:r>
        <w:t xml:space="preserve"> </w:t>
      </w:r>
      <w:hyperlink r:id="rId583">
        <w:r>
          <w:rPr>
            <w:rStyle w:val="Hyperlink"/>
          </w:rPr>
          <w:t xml:space="preserve">https://www.sjsu.edu/research/docs/irb-data-management-handbook.pdf</w:t>
        </w:r>
      </w:hyperlink>
      <w:r>
        <w:t xml:space="preserve">.</w:t>
      </w:r>
    </w:p>
    <w:bookmarkEnd w:id="584"/>
    <w:bookmarkStart w:id="586" w:name="ref-fordham_university_revised_nodate"/>
    <w:p>
      <w:pPr>
        <w:pStyle w:val="Bibliography"/>
      </w:pPr>
      <w:r>
        <w:t xml:space="preserve">Fordham University. n.d.</w:t>
      </w:r>
      <w:r>
        <w:t xml:space="preserve"> </w:t>
      </w:r>
      <w:r>
        <w:t xml:space="preserve">“Revised</w:t>
      </w:r>
      <w:r>
        <w:t xml:space="preserve"> </w:t>
      </w:r>
      <w:r>
        <w:t xml:space="preserve">Common</w:t>
      </w:r>
      <w:r>
        <w:t xml:space="preserve"> </w:t>
      </w:r>
      <w:r>
        <w:t xml:space="preserve">Rule</w:t>
      </w:r>
      <w:r>
        <w:t xml:space="preserve"> </w:t>
      </w:r>
      <w:r>
        <w:t xml:space="preserve">for</w:t>
      </w:r>
      <w:r>
        <w:t xml:space="preserve"> </w:t>
      </w:r>
      <w:r>
        <w:t xml:space="preserve">Human</w:t>
      </w:r>
      <w:r>
        <w:t xml:space="preserve"> </w:t>
      </w:r>
      <w:r>
        <w:t xml:space="preserve">Subjects</w:t>
      </w:r>
      <w:r>
        <w:t xml:space="preserve"> </w:t>
      </w:r>
      <w:r>
        <w:t xml:space="preserve">Research</w:t>
      </w:r>
      <w:r>
        <w:t xml:space="preserve">.”</w:t>
      </w:r>
      <w:r>
        <w:t xml:space="preserve"> </w:t>
      </w:r>
      <w:r>
        <w:t xml:space="preserve">Accessed April 27, 2023.</w:t>
      </w:r>
      <w:r>
        <w:t xml:space="preserve"> </w:t>
      </w:r>
      <w:hyperlink r:id="rId585">
        <w:r>
          <w:rPr>
            <w:rStyle w:val="Hyperlink"/>
          </w:rPr>
          <w:t xml:space="preserve">https://www.fordham.edu/academics/research/institutional-review-board/revised-common-rule/</w:t>
        </w:r>
      </w:hyperlink>
      <w:r>
        <w:t xml:space="preserve">.</w:t>
      </w:r>
    </w:p>
    <w:bookmarkEnd w:id="586"/>
    <w:bookmarkStart w:id="588" w:name="ref-foster_open_2017"/>
    <w:p>
      <w:pPr>
        <w:pStyle w:val="Bibliography"/>
      </w:pPr>
      <w:r>
        <w:t xml:space="preserve">Foster, Erin D., and Ariel Deardorff. 2017.</w:t>
      </w:r>
      <w:r>
        <w:t xml:space="preserve"> </w:t>
      </w:r>
      <w:r>
        <w:t xml:space="preserve">“Open</w:t>
      </w:r>
      <w:r>
        <w:t xml:space="preserve"> </w:t>
      </w:r>
      <w:r>
        <w:t xml:space="preserve">Science</w:t>
      </w:r>
      <w:r>
        <w:t xml:space="preserve"> </w:t>
      </w:r>
      <w:r>
        <w:t xml:space="preserve">Framework</w:t>
      </w:r>
      <w:r>
        <w:t xml:space="preserve"> </w:t>
      </w:r>
      <w:r>
        <w:t xml:space="preserve">(</w:t>
      </w:r>
      <w:r>
        <w:t xml:space="preserve">OSF</w:t>
      </w:r>
      <w:r>
        <w:t xml:space="preserve">).”</w:t>
      </w:r>
      <w:r>
        <w:t xml:space="preserve"> </w:t>
      </w:r>
      <w:r>
        <w:rPr>
          <w:iCs/>
          <w:i/>
        </w:rPr>
        <w:t xml:space="preserve">Journal of the Medical Library Association : JMLA</w:t>
      </w:r>
      <w:r>
        <w:t xml:space="preserve"> </w:t>
      </w:r>
      <w:r>
        <w:t xml:space="preserve">105 (2): 203–6.</w:t>
      </w:r>
      <w:r>
        <w:t xml:space="preserve"> </w:t>
      </w:r>
      <w:hyperlink r:id="rId587">
        <w:r>
          <w:rPr>
            <w:rStyle w:val="Hyperlink"/>
          </w:rPr>
          <w:t xml:space="preserve">https://doi.org/10.5195/jmla.2017.88</w:t>
        </w:r>
      </w:hyperlink>
      <w:r>
        <w:t xml:space="preserve">.</w:t>
      </w:r>
    </w:p>
    <w:bookmarkEnd w:id="588"/>
    <w:bookmarkStart w:id="590" w:name="ref-fuchs_making_2018"/>
    <w:p>
      <w:pPr>
        <w:pStyle w:val="Bibliography"/>
      </w:pPr>
      <w:r>
        <w:t xml:space="preserve">Fuchs, Siiri, and Mari Elisa Kuusniemi. 2018.</w:t>
      </w:r>
      <w:r>
        <w:t xml:space="preserve"> </w:t>
      </w:r>
      <w:r>
        <w:t xml:space="preserve">“Making a Research Project Understandable -</w:t>
      </w:r>
      <w:r>
        <w:t xml:space="preserve"> </w:t>
      </w:r>
      <w:r>
        <w:t xml:space="preserve">Guide</w:t>
      </w:r>
      <w:r>
        <w:t xml:space="preserve"> </w:t>
      </w:r>
      <w:r>
        <w:t xml:space="preserve">for Data Documentation,”</w:t>
      </w:r>
      <w:r>
        <w:t xml:space="preserve"> </w:t>
      </w:r>
      <w:r>
        <w:t xml:space="preserve">December.</w:t>
      </w:r>
      <w:r>
        <w:t xml:space="preserve"> </w:t>
      </w:r>
      <w:hyperlink r:id="rId589">
        <w:r>
          <w:rPr>
            <w:rStyle w:val="Hyperlink"/>
          </w:rPr>
          <w:t xml:space="preserve">https://doi.org/10.5281/zenodo.1914401</w:t>
        </w:r>
      </w:hyperlink>
      <w:r>
        <w:t xml:space="preserve">.</w:t>
      </w:r>
    </w:p>
    <w:bookmarkEnd w:id="590"/>
    <w:bookmarkStart w:id="592" w:name="ref-gentzkow_code_2014"/>
    <w:p>
      <w:pPr>
        <w:pStyle w:val="Bibliography"/>
      </w:pPr>
      <w:r>
        <w:t xml:space="preserve">Gentzkow, Matthew, and Jesse Shapiro. 2014.</w:t>
      </w:r>
      <w:r>
        <w:t xml:space="preserve"> </w:t>
      </w:r>
      <w:r>
        <w:t xml:space="preserve">“Code and</w:t>
      </w:r>
      <w:r>
        <w:t xml:space="preserve"> </w:t>
      </w:r>
      <w:r>
        <w:t xml:space="preserve">Data</w:t>
      </w:r>
      <w:r>
        <w:t xml:space="preserve"> </w:t>
      </w:r>
      <w:r>
        <w:t xml:space="preserve">for the</w:t>
      </w:r>
      <w:r>
        <w:t xml:space="preserve"> </w:t>
      </w:r>
      <w:r>
        <w:t xml:space="preserve">Social</w:t>
      </w:r>
      <w:r>
        <w:t xml:space="preserve"> </w:t>
      </w:r>
      <w:r>
        <w:t xml:space="preserve">Sciences</w:t>
      </w:r>
      <w:r>
        <w:t xml:space="preserve">:</w:t>
      </w:r>
      <w:r>
        <w:t xml:space="preserve"> </w:t>
      </w:r>
      <w:r>
        <w:t xml:space="preserve">A</w:t>
      </w:r>
      <w:r>
        <w:t xml:space="preserve"> </w:t>
      </w:r>
      <w:r>
        <w:t xml:space="preserve">Practitioner</w:t>
      </w:r>
      <w:r>
        <w:t xml:space="preserve">’s</w:t>
      </w:r>
      <w:r>
        <w:t xml:space="preserve"> </w:t>
      </w:r>
      <w:r>
        <w:t xml:space="preserve">Guide</w:t>
      </w:r>
      <w:r>
        <w:t xml:space="preserve">.”</w:t>
      </w:r>
      <w:r>
        <w:t xml:space="preserve"> </w:t>
      </w:r>
      <w:hyperlink r:id="rId591">
        <w:r>
          <w:rPr>
            <w:rStyle w:val="Hyperlink"/>
          </w:rPr>
          <w:t xml:space="preserve">https://web.stanford.edu/~gentzkow/research/CodeAndData.pdf</w:t>
        </w:r>
      </w:hyperlink>
      <w:r>
        <w:t xml:space="preserve">.</w:t>
      </w:r>
    </w:p>
    <w:bookmarkEnd w:id="592"/>
    <w:bookmarkStart w:id="594" w:name="ref-geraghty_formalize_nodate"/>
    <w:p>
      <w:pPr>
        <w:pStyle w:val="Bibliography"/>
      </w:pPr>
      <w:r>
        <w:t xml:space="preserve">Geraghty, Louise, and Laura Feeney. n.d.</w:t>
      </w:r>
      <w:r>
        <w:t xml:space="preserve"> </w:t>
      </w:r>
      <w:r>
        <w:t xml:space="preserve">“Formalize Research Partnership and Establish Roles and Expectations.”</w:t>
      </w:r>
      <w:r>
        <w:t xml:space="preserve"> </w:t>
      </w:r>
      <w:r>
        <w:rPr>
          <w:iCs/>
          <w:i/>
        </w:rPr>
        <w:t xml:space="preserve">The Abdul Latif Jameel Poverty Action Lab (J-PAL)</w:t>
      </w:r>
      <w:r>
        <w:t xml:space="preserve">. Accessed January 12, 2023.</w:t>
      </w:r>
      <w:r>
        <w:t xml:space="preserve"> </w:t>
      </w:r>
      <w:hyperlink r:id="rId593">
        <w:r>
          <w:rPr>
            <w:rStyle w:val="Hyperlink"/>
          </w:rPr>
          <w:t xml:space="preserve">https://www.povertyactionlab.org/resource/formalize-research-partnership-and-establish-roles-and-expectations</w:t>
        </w:r>
      </w:hyperlink>
      <w:r>
        <w:t xml:space="preserve">.</w:t>
      </w:r>
    </w:p>
    <w:bookmarkEnd w:id="594"/>
    <w:bookmarkStart w:id="596" w:name="ref-gilmore_practical_2018"/>
    <w:p>
      <w:pPr>
        <w:pStyle w:val="Bibliography"/>
      </w:pPr>
      <w:r>
        <w:t xml:space="preserve">Gilmore, Rick O., Joy Lorenzo Kennedy, and Karen E. Adolph. 2018.</w:t>
      </w:r>
      <w:r>
        <w:t xml:space="preserve"> </w:t>
      </w:r>
      <w:r>
        <w:t xml:space="preserve">“Practical</w:t>
      </w:r>
      <w:r>
        <w:t xml:space="preserve"> </w:t>
      </w:r>
      <w:r>
        <w:t xml:space="preserve">Solutions</w:t>
      </w:r>
      <w:r>
        <w:t xml:space="preserve"> </w:t>
      </w:r>
      <w:r>
        <w:t xml:space="preserve">for</w:t>
      </w:r>
      <w:r>
        <w:t xml:space="preserve"> </w:t>
      </w:r>
      <w:r>
        <w:t xml:space="preserve">Sharing</w:t>
      </w:r>
      <w:r>
        <w:t xml:space="preserve"> </w:t>
      </w:r>
      <w:r>
        <w:t xml:space="preserve">Data</w:t>
      </w:r>
      <w:r>
        <w:t xml:space="preserve"> </w:t>
      </w:r>
      <w:r>
        <w:t xml:space="preserve">and</w:t>
      </w:r>
      <w:r>
        <w:t xml:space="preserve"> </w:t>
      </w:r>
      <w:r>
        <w:t xml:space="preserve">Materials</w:t>
      </w:r>
      <w:r>
        <w:t xml:space="preserve"> </w:t>
      </w:r>
      <w:r>
        <w:t xml:space="preserve">From</w:t>
      </w:r>
      <w:r>
        <w:t xml:space="preserve"> </w:t>
      </w:r>
      <w:r>
        <w:t xml:space="preserve">Psychological</w:t>
      </w:r>
      <w:r>
        <w:t xml:space="preserve"> </w:t>
      </w:r>
      <w:r>
        <w:t xml:space="preserve">Research</w:t>
      </w:r>
      <w:r>
        <w:t xml:space="preserve">.”</w:t>
      </w:r>
      <w:r>
        <w:t xml:space="preserve"> </w:t>
      </w:r>
      <w:r>
        <w:rPr>
          <w:iCs/>
          <w:i/>
        </w:rPr>
        <w:t xml:space="preserve">Advances in Methods and Practices in Psychological Science</w:t>
      </w:r>
      <w:r>
        <w:t xml:space="preserve"> </w:t>
      </w:r>
      <w:r>
        <w:t xml:space="preserve">1 (1): 121–30.</w:t>
      </w:r>
      <w:r>
        <w:t xml:space="preserve"> </w:t>
      </w:r>
      <w:hyperlink r:id="rId595">
        <w:r>
          <w:rPr>
            <w:rStyle w:val="Hyperlink"/>
          </w:rPr>
          <w:t xml:space="preserve">https://doi.org/10.1177/2515245917746500</w:t>
        </w:r>
      </w:hyperlink>
      <w:r>
        <w:t xml:space="preserve">.</w:t>
      </w:r>
    </w:p>
    <w:bookmarkEnd w:id="596"/>
    <w:bookmarkStart w:id="598" w:name="ref-go_fair_fair_nodate"/>
    <w:p>
      <w:pPr>
        <w:pStyle w:val="Bibliography"/>
      </w:pPr>
      <w:r>
        <w:t xml:space="preserve">GO FAIR. n.d.</w:t>
      </w:r>
      <w:r>
        <w:t xml:space="preserve"> </w:t>
      </w:r>
      <w:r>
        <w:t xml:space="preserve">“</w:t>
      </w:r>
      <w:r>
        <w:t xml:space="preserve">FAIR</w:t>
      </w:r>
      <w:r>
        <w:t xml:space="preserve"> </w:t>
      </w:r>
      <w:r>
        <w:t xml:space="preserve">Principles</w:t>
      </w:r>
      <w:r>
        <w:t xml:space="preserve">.”</w:t>
      </w:r>
      <w:r>
        <w:t xml:space="preserve"> </w:t>
      </w:r>
      <w:r>
        <w:t xml:space="preserve">Accessed October 21, 2022.</w:t>
      </w:r>
      <w:r>
        <w:t xml:space="preserve"> </w:t>
      </w:r>
      <w:hyperlink r:id="rId597">
        <w:r>
          <w:rPr>
            <w:rStyle w:val="Hyperlink"/>
          </w:rPr>
          <w:t xml:space="preserve">https://www.go-fair.org/fair-principles/</w:t>
        </w:r>
      </w:hyperlink>
      <w:r>
        <w:t xml:space="preserve">.</w:t>
      </w:r>
    </w:p>
    <w:bookmarkEnd w:id="598"/>
    <w:bookmarkStart w:id="600" w:name="ref-gonzales_ten_2022"/>
    <w:p>
      <w:pPr>
        <w:pStyle w:val="Bibliography"/>
      </w:pPr>
      <w:r>
        <w:t xml:space="preserve">Gonzales, Sara, Matthew B. Carson, and Kristi Holmes. 2022.</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 Computational Biology</w:t>
      </w:r>
      <w:r>
        <w:t xml:space="preserve"> </w:t>
      </w:r>
      <w:r>
        <w:t xml:space="preserve">18 (8): e1010397.</w:t>
      </w:r>
      <w:r>
        <w:t xml:space="preserve"> </w:t>
      </w:r>
      <w:hyperlink r:id="rId599">
        <w:r>
          <w:rPr>
            <w:rStyle w:val="Hyperlink"/>
          </w:rPr>
          <w:t xml:space="preserve">https://doi.org/10.1371/journal.pcbi.1010397</w:t>
        </w:r>
      </w:hyperlink>
      <w:r>
        <w:t xml:space="preserve">.</w:t>
      </w:r>
    </w:p>
    <w:bookmarkEnd w:id="600"/>
    <w:bookmarkStart w:id="602" w:name="ref-grace-martin_wide_2013"/>
    <w:p>
      <w:pPr>
        <w:pStyle w:val="Bibliography"/>
      </w:pPr>
      <w:r>
        <w:t xml:space="preserve">Grace-Martin, Karen. 2013.</w:t>
      </w:r>
      <w:r>
        <w:t xml:space="preserve"> </w:t>
      </w:r>
      <w:r>
        <w:t xml:space="preserve">“The</w:t>
      </w:r>
      <w:r>
        <w:t xml:space="preserve"> </w:t>
      </w:r>
      <w:r>
        <w:t xml:space="preserve">Wide</w:t>
      </w:r>
      <w:r>
        <w:t xml:space="preserve"> </w:t>
      </w:r>
      <w:r>
        <w:t xml:space="preserve">and</w:t>
      </w:r>
      <w:r>
        <w:t xml:space="preserve"> </w:t>
      </w:r>
      <w:r>
        <w:t xml:space="preserve">Long</w:t>
      </w:r>
      <w:r>
        <w:t xml:space="preserve"> </w:t>
      </w:r>
      <w:r>
        <w:t xml:space="preserve">Data</w:t>
      </w:r>
      <w:r>
        <w:t xml:space="preserve"> </w:t>
      </w:r>
      <w:r>
        <w:t xml:space="preserve">Format</w:t>
      </w:r>
      <w:r>
        <w:t xml:space="preserve"> </w:t>
      </w:r>
      <w:r>
        <w:t xml:space="preserve">for</w:t>
      </w:r>
      <w:r>
        <w:t xml:space="preserve"> </w:t>
      </w:r>
      <w:r>
        <w:t xml:space="preserve">Repeated</w:t>
      </w:r>
      <w:r>
        <w:t xml:space="preserve"> </w:t>
      </w:r>
      <w:r>
        <w:t xml:space="preserve">Measures</w:t>
      </w:r>
      <w:r>
        <w:t xml:space="preserve"> </w:t>
      </w:r>
      <w:r>
        <w:t xml:space="preserve">Data</w:t>
      </w:r>
      <w:r>
        <w:t xml:space="preserve">.”</w:t>
      </w:r>
      <w:r>
        <w:t xml:space="preserve"> </w:t>
      </w:r>
      <w:r>
        <w:rPr>
          <w:iCs/>
          <w:i/>
        </w:rPr>
        <w:t xml:space="preserve">The Analysis Factor</w:t>
      </w:r>
      <w:r>
        <w:t xml:space="preserve">.</w:t>
      </w:r>
      <w:r>
        <w:t xml:space="preserve"> </w:t>
      </w:r>
      <w:hyperlink r:id="rId601">
        <w:r>
          <w:rPr>
            <w:rStyle w:val="Hyperlink"/>
          </w:rPr>
          <w:t xml:space="preserve">https://www.theanalysisfactor.com/wide-and-long-data/</w:t>
        </w:r>
      </w:hyperlink>
      <w:r>
        <w:t xml:space="preserve">.</w:t>
      </w:r>
    </w:p>
    <w:bookmarkEnd w:id="602"/>
    <w:bookmarkStart w:id="604" w:name="ref-gueguen_new_nodate"/>
    <w:p>
      <w:pPr>
        <w:pStyle w:val="Bibliography"/>
      </w:pPr>
      <w:r>
        <w:t xml:space="preserve">Gueguen, Gretchen. n.d.</w:t>
      </w:r>
      <w:r>
        <w:t xml:space="preserve"> </w:t>
      </w:r>
      <w:r>
        <w:t xml:space="preserve">“New</w:t>
      </w:r>
      <w:r>
        <w:t xml:space="preserve"> </w:t>
      </w:r>
      <w:r>
        <w:t xml:space="preserve">OSF</w:t>
      </w:r>
      <w:r>
        <w:t xml:space="preserve"> </w:t>
      </w:r>
      <w:r>
        <w:t xml:space="preserve">Metadata</w:t>
      </w:r>
      <w:r>
        <w:t xml:space="preserve"> </w:t>
      </w:r>
      <w:r>
        <w:t xml:space="preserve">to</w:t>
      </w:r>
      <w:r>
        <w:t xml:space="preserve"> </w:t>
      </w:r>
      <w:r>
        <w:t xml:space="preserve">Support</w:t>
      </w:r>
      <w:r>
        <w:t xml:space="preserve"> </w:t>
      </w:r>
      <w:r>
        <w:t xml:space="preserve">Data</w:t>
      </w:r>
      <w:r>
        <w:t xml:space="preserve"> </w:t>
      </w:r>
      <w:r>
        <w:t xml:space="preserve">Sharing</w:t>
      </w:r>
      <w:r>
        <w:t xml:space="preserve"> </w:t>
      </w:r>
      <w:r>
        <w:t xml:space="preserve">Policy</w:t>
      </w:r>
      <w:r>
        <w:t xml:space="preserve"> </w:t>
      </w:r>
      <w:r>
        <w:t xml:space="preserve">Compliance</w:t>
      </w:r>
      <w:r>
        <w:t xml:space="preserve">.”</w:t>
      </w:r>
      <w:r>
        <w:t xml:space="preserve"> </w:t>
      </w:r>
      <w:r>
        <w:t xml:space="preserve">Accessed March 1, 2023.</w:t>
      </w:r>
      <w:r>
        <w:t xml:space="preserve"> </w:t>
      </w:r>
      <w:hyperlink r:id="rId603">
        <w:r>
          <w:rPr>
            <w:rStyle w:val="Hyperlink"/>
          </w:rPr>
          <w:t xml:space="preserve">https://www.cos.io/blog/new-osf-metadata-to-support-data-sharing-policy-compliance</w:t>
        </w:r>
      </w:hyperlink>
      <w:r>
        <w:t xml:space="preserve">.</w:t>
      </w:r>
    </w:p>
    <w:bookmarkEnd w:id="604"/>
    <w:bookmarkStart w:id="606" w:name="ref-hansen_dataflowtoolkitdk_2017"/>
    <w:p>
      <w:pPr>
        <w:pStyle w:val="Bibliography"/>
      </w:pPr>
      <w:r>
        <w:t xml:space="preserve">Hansen, Karsten Kryger. 2017.</w:t>
      </w:r>
      <w:r>
        <w:t xml:space="preserve"> </w:t>
      </w:r>
      <w:r>
        <w:t xml:space="preserve">“</w:t>
      </w:r>
      <w:r>
        <w:t xml:space="preserve">DataFlowToolkit</w:t>
      </w:r>
      <w:r>
        <w:t xml:space="preserve">.dk.”</w:t>
      </w:r>
      <w:r>
        <w:t xml:space="preserve"> </w:t>
      </w:r>
      <w:hyperlink r:id="rId605">
        <w:r>
          <w:rPr>
            <w:rStyle w:val="Hyperlink"/>
          </w:rPr>
          <w:t xml:space="preserve">https://doi.org/10.5278/16k4-4n24</w:t>
        </w:r>
      </w:hyperlink>
      <w:r>
        <w:t xml:space="preserve">.</w:t>
      </w:r>
    </w:p>
    <w:bookmarkEnd w:id="606"/>
    <w:bookmarkStart w:id="608" w:name="ref-hayslett_libguides_nodate"/>
    <w:p>
      <w:pPr>
        <w:pStyle w:val="Bibliography"/>
      </w:pPr>
      <w:r>
        <w:t xml:space="preserve">Hayslett, Michele. n.d.</w:t>
      </w:r>
      <w:r>
        <w:t xml:space="preserve"> </w:t>
      </w:r>
      <w:r>
        <w:t xml:space="preserve">“</w:t>
      </w:r>
      <w:r>
        <w:t xml:space="preserve">LibGuides</w:t>
      </w:r>
      <w:r>
        <w:t xml:space="preserve">:</w:t>
      </w:r>
      <w:r>
        <w:t xml:space="preserve"> </w:t>
      </w:r>
      <w:r>
        <w:t xml:space="preserve">Metadata</w:t>
      </w:r>
      <w:r>
        <w:t xml:space="preserve"> </w:t>
      </w:r>
      <w:r>
        <w:t xml:space="preserve">for</w:t>
      </w:r>
      <w:r>
        <w:t xml:space="preserve"> </w:t>
      </w:r>
      <w:r>
        <w:t xml:space="preserve">Data</w:t>
      </w:r>
      <w:r>
        <w:t xml:space="preserve"> </w:t>
      </w:r>
      <w:r>
        <w:t xml:space="preserve">Management</w:t>
      </w:r>
      <w:r>
        <w:t xml:space="preserve">:</w:t>
      </w:r>
      <w:r>
        <w:t xml:space="preserve"> </w:t>
      </w:r>
      <w:r>
        <w:t xml:space="preserve">A</w:t>
      </w:r>
      <w:r>
        <w:t xml:space="preserve"> </w:t>
      </w:r>
      <w:r>
        <w:t xml:space="preserve">Tutorial</w:t>
      </w:r>
      <w:r>
        <w:t xml:space="preserve">:</w:t>
      </w:r>
      <w:r>
        <w:t xml:space="preserve"> </w:t>
      </w:r>
      <w:r>
        <w:t xml:space="preserve">Basic</w:t>
      </w:r>
      <w:r>
        <w:t xml:space="preserve"> </w:t>
      </w:r>
      <w:r>
        <w:t xml:space="preserve">Elements</w:t>
      </w:r>
      <w:r>
        <w:t xml:space="preserve">.”</w:t>
      </w:r>
      <w:r>
        <w:t xml:space="preserve"> </w:t>
      </w:r>
      <w:r>
        <w:t xml:space="preserve">Accessed March 10, 2023.</w:t>
      </w:r>
      <w:r>
        <w:t xml:space="preserve"> </w:t>
      </w:r>
      <w:hyperlink r:id="rId607">
        <w:r>
          <w:rPr>
            <w:rStyle w:val="Hyperlink"/>
          </w:rPr>
          <w:t xml:space="preserve">https://guides.lib.unc.edu/metadata/basic-elements</w:t>
        </w:r>
      </w:hyperlink>
      <w:r>
        <w:t xml:space="preserve">.</w:t>
      </w:r>
    </w:p>
    <w:bookmarkEnd w:id="608"/>
    <w:bookmarkStart w:id="610" w:name="Xd8cb2039f885a2f0562793cc8233d4c84548b7f"/>
    <w:p>
      <w:pPr>
        <w:pStyle w:val="Bibliography"/>
      </w:pPr>
      <w:r>
        <w:t xml:space="preserve">Health and Human Services, U. S. Department of. n.d.</w:t>
      </w:r>
      <w:r>
        <w:t xml:space="preserve"> </w:t>
      </w:r>
      <w:r>
        <w:t xml:space="preserve">“What’s</w:t>
      </w:r>
      <w:r>
        <w:t xml:space="preserve"> </w:t>
      </w:r>
      <w:r>
        <w:t xml:space="preserve">New</w:t>
      </w:r>
      <w:r>
        <w:t xml:space="preserve"> </w:t>
      </w:r>
      <w:r>
        <w:t xml:space="preserve">in</w:t>
      </w:r>
      <w:r>
        <w:t xml:space="preserve"> </w:t>
      </w:r>
      <w:r>
        <w:t xml:space="preserve">IRB</w:t>
      </w:r>
      <w:r>
        <w:t xml:space="preserve"> </w:t>
      </w:r>
      <w:r>
        <w:t xml:space="preserve">Review</w:t>
      </w:r>
      <w:r>
        <w:t xml:space="preserve"> </w:t>
      </w:r>
      <w:r>
        <w:t xml:space="preserve">Under</w:t>
      </w:r>
      <w:r>
        <w:t xml:space="preserve"> </w:t>
      </w:r>
      <w:r>
        <w:t xml:space="preserve">the</w:t>
      </w:r>
      <w:r>
        <w:t xml:space="preserve"> </w:t>
      </w:r>
      <w:r>
        <w:t xml:space="preserve">Revised</w:t>
      </w:r>
      <w:r>
        <w:t xml:space="preserve"> </w:t>
      </w:r>
      <w:r>
        <w:t xml:space="preserve">Common</w:t>
      </w:r>
      <w:r>
        <w:t xml:space="preserve"> </w:t>
      </w:r>
      <w:r>
        <w:t xml:space="preserve">Rule</w:t>
      </w:r>
      <w:r>
        <w:t xml:space="preserve">.”</w:t>
      </w:r>
      <w:r>
        <w:t xml:space="preserve"> </w:t>
      </w:r>
      <w:r>
        <w:t xml:space="preserve">Accessed April 27, 2023.</w:t>
      </w:r>
      <w:r>
        <w:t xml:space="preserve"> </w:t>
      </w:r>
      <w:hyperlink r:id="rId609">
        <w:r>
          <w:rPr>
            <w:rStyle w:val="Hyperlink"/>
          </w:rPr>
          <w:t xml:space="preserve">https://www.youtube.com/watch?v=zDsUUs9j3sQ</w:t>
        </w:r>
      </w:hyperlink>
      <w:r>
        <w:t xml:space="preserve">.</w:t>
      </w:r>
    </w:p>
    <w:bookmarkEnd w:id="610"/>
    <w:bookmarkStart w:id="612" w:name="ref-holdren_ostp_2013"/>
    <w:p>
      <w:pPr>
        <w:pStyle w:val="Bibliography"/>
      </w:pPr>
      <w:r>
        <w:t xml:space="preserve">Holdren, John. 2013.</w:t>
      </w:r>
      <w:r>
        <w:t xml:space="preserve"> </w:t>
      </w:r>
      <w:r>
        <w:t xml:space="preserve">“</w:t>
      </w:r>
      <w:r>
        <w:t xml:space="preserve">OSTP</w:t>
      </w:r>
      <w:r>
        <w:t xml:space="preserve"> </w:t>
      </w:r>
      <w:r>
        <w:t xml:space="preserve">Memo</w:t>
      </w:r>
      <w:r>
        <w:t xml:space="preserve">: "</w:t>
      </w:r>
      <w:r>
        <w:t xml:space="preserve">Increasing</w:t>
      </w:r>
      <w:r>
        <w:t xml:space="preserve"> </w:t>
      </w:r>
      <w:r>
        <w:t xml:space="preserve">Access</w:t>
      </w:r>
      <w:r>
        <w:t xml:space="preserve"> </w:t>
      </w:r>
      <w:r>
        <w:t xml:space="preserve">to the</w:t>
      </w:r>
      <w:r>
        <w:t xml:space="preserve"> </w:t>
      </w:r>
      <w:r>
        <w:t xml:space="preserve">Results</w:t>
      </w:r>
      <w:r>
        <w:t xml:space="preserve"> </w:t>
      </w:r>
      <w:r>
        <w:t xml:space="preserve">of</w:t>
      </w:r>
      <w:r>
        <w:t xml:space="preserve"> </w:t>
      </w:r>
      <w:r>
        <w:t xml:space="preserve">Federally</w:t>
      </w:r>
      <w:r>
        <w:t xml:space="preserve"> </w:t>
      </w:r>
      <w:r>
        <w:t xml:space="preserve">Funded</w:t>
      </w:r>
      <w:r>
        <w:t xml:space="preserve"> </w:t>
      </w:r>
      <w:r>
        <w:t xml:space="preserve">Scientific</w:t>
      </w:r>
      <w:r>
        <w:t xml:space="preserve"> </w:t>
      </w:r>
      <w:r>
        <w:t xml:space="preserve">Research</w:t>
      </w:r>
      <w:r>
        <w:t xml:space="preserve">".”</w:t>
      </w:r>
      <w:r>
        <w:t xml:space="preserve"> </w:t>
      </w:r>
      <w:hyperlink r:id="rId611">
        <w:r>
          <w:rPr>
            <w:rStyle w:val="Hyperlink"/>
          </w:rPr>
          <w:t xml:space="preserve">https://obamawhitehouse.archives.gov/sites/default/files/microsites/ostp/ostp_public_access_memo_2013.pdf</w:t>
        </w:r>
      </w:hyperlink>
      <w:r>
        <w:t xml:space="preserve">.</w:t>
      </w:r>
    </w:p>
    <w:bookmarkEnd w:id="612"/>
    <w:bookmarkStart w:id="614" w:name="ref-hollmann_ten_2020"/>
    <w:p>
      <w:pPr>
        <w:pStyle w:val="Bibliography"/>
      </w:pPr>
      <w:r>
        <w:t xml:space="preserve">Hollmann, Susanne, Marcus Frohme, Christoph Endrullat, Andreas Kremer, Domenica D’Elia, Babette Regierer, and Alina Nechyporenko. 2020.</w:t>
      </w:r>
      <w:r>
        <w:t xml:space="preserve"> </w:t>
      </w:r>
      <w:r>
        <w:t xml:space="preserve">“Ten Simple Rules on How to Write a Standard Operating Procedure.”</w:t>
      </w:r>
      <w:r>
        <w:t xml:space="preserve"> </w:t>
      </w:r>
      <w:r>
        <w:rPr>
          <w:iCs/>
          <w:i/>
        </w:rPr>
        <w:t xml:space="preserve">PLoS Computational Biology</w:t>
      </w:r>
      <w:r>
        <w:t xml:space="preserve"> </w:t>
      </w:r>
      <w:r>
        <w:t xml:space="preserve">16 (9): e1008095.</w:t>
      </w:r>
      <w:r>
        <w:t xml:space="preserve"> </w:t>
      </w:r>
      <w:hyperlink r:id="rId613">
        <w:r>
          <w:rPr>
            <w:rStyle w:val="Hyperlink"/>
          </w:rPr>
          <w:t xml:space="preserve">https://doi.org/10.1371/journal.pcbi.1008095</w:t>
        </w:r>
      </w:hyperlink>
      <w:r>
        <w:t xml:space="preserve">.</w:t>
      </w:r>
    </w:p>
    <w:bookmarkEnd w:id="614"/>
    <w:bookmarkStart w:id="616" w:name="ref-houtkoop_data_2018"/>
    <w:p>
      <w:pPr>
        <w:pStyle w:val="Bibliography"/>
      </w:pPr>
      <w:r>
        <w:t xml:space="preserve">Houtkoop, Bobby Lee, Chris Chambers, Malcolm Macleod, Dorothy V. M. Bishop, Thomas E. Nichols, and Eric-Jan Wagenmakers. 2018.</w:t>
      </w:r>
      <w:r>
        <w:t xml:space="preserve"> </w:t>
      </w:r>
      <w:r>
        <w:t xml:space="preserve">“Data</w:t>
      </w:r>
      <w:r>
        <w:t xml:space="preserve"> </w:t>
      </w:r>
      <w:r>
        <w:t xml:space="preserve">Sharing</w:t>
      </w:r>
      <w:r>
        <w:t xml:space="preserve"> </w:t>
      </w:r>
      <w:r>
        <w:t xml:space="preserve">in</w:t>
      </w:r>
      <w:r>
        <w:t xml:space="preserve"> </w:t>
      </w:r>
      <w:r>
        <w:t xml:space="preserve">Psychology</w:t>
      </w:r>
      <w:r>
        <w:t xml:space="preserve">:</w:t>
      </w:r>
      <w:r>
        <w:t xml:space="preserve"> </w:t>
      </w:r>
      <w:r>
        <w:t xml:space="preserve">A</w:t>
      </w:r>
      <w:r>
        <w:t xml:space="preserve"> </w:t>
      </w:r>
      <w:r>
        <w:t xml:space="preserve">Survey</w:t>
      </w:r>
      <w:r>
        <w:t xml:space="preserve"> </w:t>
      </w:r>
      <w:r>
        <w:t xml:space="preserve">on</w:t>
      </w:r>
      <w:r>
        <w:t xml:space="preserve"> </w:t>
      </w:r>
      <w:r>
        <w:t xml:space="preserve">Barriers</w:t>
      </w:r>
      <w:r>
        <w:t xml:space="preserve"> </w:t>
      </w:r>
      <w:r>
        <w:t xml:space="preserve">and</w:t>
      </w:r>
      <w:r>
        <w:t xml:space="preserve"> </w:t>
      </w:r>
      <w:r>
        <w:t xml:space="preserve">Preconditions</w:t>
      </w:r>
      <w:r>
        <w:t xml:space="preserve">.”</w:t>
      </w:r>
      <w:r>
        <w:t xml:space="preserve"> </w:t>
      </w:r>
      <w:r>
        <w:rPr>
          <w:iCs/>
          <w:i/>
        </w:rPr>
        <w:t xml:space="preserve">Advances in Methods and Practices in Psychological Science</w:t>
      </w:r>
      <w:r>
        <w:t xml:space="preserve"> </w:t>
      </w:r>
      <w:r>
        <w:t xml:space="preserve">1 (1): 70–85.</w:t>
      </w:r>
      <w:r>
        <w:t xml:space="preserve"> </w:t>
      </w:r>
      <w:hyperlink r:id="rId615">
        <w:r>
          <w:rPr>
            <w:rStyle w:val="Hyperlink"/>
          </w:rPr>
          <w:t xml:space="preserve">https://doi.org/10.1177/2515245917751886</w:t>
        </w:r>
      </w:hyperlink>
      <w:r>
        <w:t xml:space="preserve">.</w:t>
      </w:r>
    </w:p>
    <w:bookmarkEnd w:id="616"/>
    <w:bookmarkStart w:id="618" w:name="ref-hubbard_data_2017"/>
    <w:p>
      <w:pPr>
        <w:pStyle w:val="Bibliography"/>
      </w:pPr>
      <w:r>
        <w:t xml:space="preserve">Hubbard, Aleata. 2017.</w:t>
      </w:r>
      <w:r>
        <w:t xml:space="preserve"> </w:t>
      </w:r>
      <w:r>
        <w:t xml:space="preserve">“Data</w:t>
      </w:r>
      <w:r>
        <w:t xml:space="preserve"> </w:t>
      </w:r>
      <w:r>
        <w:t xml:space="preserve">Cleaning</w:t>
      </w:r>
      <w:r>
        <w:t xml:space="preserve"> </w:t>
      </w:r>
      <w:r>
        <w:t xml:space="preserve">in</w:t>
      </w:r>
      <w:r>
        <w:t xml:space="preserve"> </w:t>
      </w:r>
      <w:r>
        <w:t xml:space="preserve">Mathematics</w:t>
      </w:r>
      <w:r>
        <w:t xml:space="preserve"> </w:t>
      </w:r>
      <w:r>
        <w:t xml:space="preserve">Education</w:t>
      </w:r>
      <w:r>
        <w:t xml:space="preserve"> </w:t>
      </w:r>
      <w:r>
        <w:t xml:space="preserve">Research</w:t>
      </w:r>
      <w:r>
        <w:t xml:space="preserve">:</w:t>
      </w:r>
      <w:r>
        <w:t xml:space="preserve"> </w:t>
      </w:r>
      <w:r>
        <w:t xml:space="preserve">The</w:t>
      </w:r>
      <w:r>
        <w:t xml:space="preserve"> </w:t>
      </w:r>
      <w:r>
        <w:t xml:space="preserve">Overlooked</w:t>
      </w:r>
      <w:r>
        <w:t xml:space="preserve"> </w:t>
      </w:r>
      <w:r>
        <w:t xml:space="preserve">Methodological</w:t>
      </w:r>
      <w:r>
        <w:t xml:space="preserve"> </w:t>
      </w:r>
      <w:r>
        <w:t xml:space="preserve">Step</w:t>
      </w:r>
      <w:r>
        <w:t xml:space="preserve">.”</w:t>
      </w:r>
      <w:r>
        <w:t xml:space="preserve"> </w:t>
      </w:r>
      <w:r>
        <w:t xml:space="preserve">In.</w:t>
      </w:r>
      <w:r>
        <w:t xml:space="preserve"> </w:t>
      </w:r>
      <w:hyperlink r:id="rId617">
        <w:r>
          <w:rPr>
            <w:rStyle w:val="Hyperlink"/>
          </w:rPr>
          <w:t xml:space="preserve">https://eric.ed.gov/?id=ED583982</w:t>
        </w:r>
      </w:hyperlink>
      <w:r>
        <w:t xml:space="preserve">.</w:t>
      </w:r>
    </w:p>
    <w:bookmarkEnd w:id="618"/>
    <w:bookmarkStart w:id="620" w:name="ref-huisman_3_nodate"/>
    <w:p>
      <w:pPr>
        <w:pStyle w:val="Bibliography"/>
      </w:pPr>
      <w:r>
        <w:t xml:space="preserve">Huisman, Dena. n.d.</w:t>
      </w:r>
      <w:r>
        <w:t xml:space="preserve"> </w:t>
      </w:r>
      <w:r>
        <w:t xml:space="preserve">“3</w:t>
      </w:r>
      <w:r>
        <w:t xml:space="preserve"> </w:t>
      </w:r>
      <w:r>
        <w:t xml:space="preserve">Principles</w:t>
      </w:r>
      <w:r>
        <w:t xml:space="preserve"> </w:t>
      </w:r>
      <w:r>
        <w:t xml:space="preserve">of</w:t>
      </w:r>
      <w:r>
        <w:t xml:space="preserve"> </w:t>
      </w:r>
      <w:r>
        <w:t xml:space="preserve">Ethical</w:t>
      </w:r>
      <w:r>
        <w:t xml:space="preserve"> </w:t>
      </w:r>
      <w:r>
        <w:t xml:space="preserve">Research</w:t>
      </w:r>
      <w:r>
        <w:t xml:space="preserve"> </w:t>
      </w:r>
      <w:r>
        <w:t xml:space="preserve">That</w:t>
      </w:r>
      <w:r>
        <w:t xml:space="preserve"> </w:t>
      </w:r>
      <w:r>
        <w:t xml:space="preserve">UX</w:t>
      </w:r>
      <w:r>
        <w:t xml:space="preserve"> </w:t>
      </w:r>
      <w:r>
        <w:t xml:space="preserve">Can</w:t>
      </w:r>
      <w:r>
        <w:t xml:space="preserve"> </w:t>
      </w:r>
      <w:r>
        <w:t xml:space="preserve">Take</w:t>
      </w:r>
      <w:r>
        <w:t xml:space="preserve"> </w:t>
      </w:r>
      <w:r>
        <w:t xml:space="preserve">From</w:t>
      </w:r>
      <w:r>
        <w:t xml:space="preserve"> </w:t>
      </w:r>
      <w:r>
        <w:t xml:space="preserve">Academia</w:t>
      </w:r>
      <w:r>
        <w:t xml:space="preserve">.”</w:t>
      </w:r>
      <w:r>
        <w:t xml:space="preserve"> </w:t>
      </w:r>
      <w:r>
        <w:rPr>
          <w:iCs/>
          <w:i/>
        </w:rPr>
        <w:t xml:space="preserve">Indeed Design</w:t>
      </w:r>
      <w:r>
        <w:t xml:space="preserve">. Accessed April 27, 2023.</w:t>
      </w:r>
      <w:r>
        <w:t xml:space="preserve"> </w:t>
      </w:r>
      <w:hyperlink r:id="rId619">
        <w:r>
          <w:rPr>
            <w:rStyle w:val="Hyperlink"/>
          </w:rPr>
          <w:t xml:space="preserve">https://indeed.design/article/three-basic-principles-of-ethical-research-that-ux-can-take-from-academia</w:t>
        </w:r>
      </w:hyperlink>
      <w:r>
        <w:t xml:space="preserve">.</w:t>
      </w:r>
    </w:p>
    <w:bookmarkEnd w:id="620"/>
    <w:bookmarkStart w:id="621" w:name="ref-icpsr_guide_2011"/>
    <w:p>
      <w:pPr>
        <w:pStyle w:val="Bibliography"/>
      </w:pPr>
      <w:r>
        <w:t xml:space="preserve">ICPSR. 2011.</w:t>
      </w:r>
      <w:r>
        <w:t xml:space="preserve"> </w:t>
      </w:r>
      <w:r>
        <w:t xml:space="preserve">“Guide to</w:t>
      </w:r>
      <w:r>
        <w:t xml:space="preserve"> </w:t>
      </w:r>
      <w:r>
        <w:t xml:space="preserve">Codebooks</w:t>
      </w:r>
      <w:r>
        <w:t xml:space="preserve"> </w:t>
      </w:r>
      <w:r>
        <w:t xml:space="preserve">1st Edition.”</w:t>
      </w:r>
      <w:r>
        <w:t xml:space="preserve"> </w:t>
      </w:r>
      <w:r>
        <w:t xml:space="preserve">Ann Arbor, MI.</w:t>
      </w:r>
      <w:r>
        <w:t xml:space="preserve"> </w:t>
      </w:r>
      <w:hyperlink r:id="rId328">
        <w:r>
          <w:rPr>
            <w:rStyle w:val="Hyperlink"/>
          </w:rPr>
          <w:t xml:space="preserve">https://www.icpsr.umich.edu/files/deposit/Guide-to-Codebooks_v1.pdf</w:t>
        </w:r>
      </w:hyperlink>
      <w:r>
        <w:t xml:space="preserve">.</w:t>
      </w:r>
    </w:p>
    <w:bookmarkEnd w:id="621"/>
    <w:bookmarkStart w:id="623" w:name="ref-icpsr_guide_nodate"/>
    <w:p>
      <w:pPr>
        <w:pStyle w:val="Bibliography"/>
      </w:pPr>
      <w:r>
        <w:t xml:space="preserve">———. n.d.a.</w:t>
      </w:r>
      <w:r>
        <w:t xml:space="preserve"> </w:t>
      </w:r>
      <w:r>
        <w:t xml:space="preserve">“Guide to</w:t>
      </w:r>
      <w:r>
        <w:t xml:space="preserve"> </w:t>
      </w:r>
      <w:r>
        <w:t xml:space="preserve">Social</w:t>
      </w:r>
      <w:r>
        <w:t xml:space="preserve"> </w:t>
      </w:r>
      <w:r>
        <w:t xml:space="preserve">Science</w:t>
      </w:r>
      <w:r>
        <w:t xml:space="preserve"> </w:t>
      </w:r>
      <w:r>
        <w:t xml:space="preserve">Data</w:t>
      </w:r>
      <w:r>
        <w:t xml:space="preserve"> </w:t>
      </w:r>
      <w:r>
        <w:t xml:space="preserve">Preparation</w:t>
      </w:r>
      <w:r>
        <w:t xml:space="preserve"> </w:t>
      </w:r>
      <w:r>
        <w:t xml:space="preserve">and</w:t>
      </w:r>
      <w:r>
        <w:t xml:space="preserve"> </w:t>
      </w:r>
      <w:r>
        <w:t xml:space="preserve">Archiving</w:t>
      </w:r>
      <w:r>
        <w:t xml:space="preserve">: 6th</w:t>
      </w:r>
      <w:r>
        <w:t xml:space="preserve"> </w:t>
      </w:r>
      <w:r>
        <w:t xml:space="preserve">Ed</w:t>
      </w:r>
      <w:r>
        <w:t xml:space="preserve">.”</w:t>
      </w:r>
      <w:r>
        <w:t xml:space="preserve"> Accessed January 9, 2023.</w:t>
      </w:r>
      <w:r>
        <w:t xml:space="preserve"> </w:t>
      </w:r>
      <w:hyperlink r:id="rId622">
        <w:r>
          <w:rPr>
            <w:rStyle w:val="Hyperlink"/>
          </w:rPr>
          <w:t xml:space="preserve">https://www.icpsr.umich.edu/web/pages/deposit/guide/</w:t>
        </w:r>
      </w:hyperlink>
      <w:r>
        <w:t xml:space="preserve">.</w:t>
      </w:r>
    </w:p>
    <w:bookmarkEnd w:id="623"/>
    <w:bookmarkStart w:id="625" w:name="ref-icpsr_icpsr_nodate"/>
    <w:p>
      <w:pPr>
        <w:pStyle w:val="Bibliography"/>
      </w:pPr>
      <w:r>
        <w:t xml:space="preserve">———. n.d.b.</w:t>
      </w:r>
      <w:r>
        <w:t xml:space="preserve"> </w:t>
      </w:r>
      <w:r>
        <w:t xml:space="preserve">“</w:t>
      </w:r>
      <w:r>
        <w:t xml:space="preserve">ICPSR</w:t>
      </w:r>
      <w:r>
        <w:t xml:space="preserve">,</w:t>
      </w:r>
      <w:r>
        <w:t xml:space="preserve"> </w:t>
      </w:r>
      <w:r>
        <w:t xml:space="preserve">Data</w:t>
      </w:r>
      <w:r>
        <w:t xml:space="preserve"> </w:t>
      </w:r>
      <w:r>
        <w:t xml:space="preserve">Management</w:t>
      </w:r>
      <w:r>
        <w:t xml:space="preserve">,</w:t>
      </w:r>
      <w:r>
        <w:t xml:space="preserve"> </w:t>
      </w:r>
      <w:r>
        <w:t xml:space="preserve">Metadata</w:t>
      </w:r>
      <w:r>
        <w:t xml:space="preserve">.”</w:t>
      </w:r>
      <w:r>
        <w:t xml:space="preserve"> </w:t>
      </w:r>
      <w:r>
        <w:t xml:space="preserve">Accessed January 18, 2023.</w:t>
      </w:r>
      <w:r>
        <w:t xml:space="preserve"> </w:t>
      </w:r>
      <w:hyperlink r:id="rId624">
        <w:r>
          <w:rPr>
            <w:rStyle w:val="Hyperlink"/>
          </w:rPr>
          <w:t xml:space="preserve">https://www.icpsr.umich.edu/web/pages/datamanagement/lifecycle/metadata.html</w:t>
        </w:r>
      </w:hyperlink>
      <w:r>
        <w:t xml:space="preserve">.</w:t>
      </w:r>
    </w:p>
    <w:bookmarkEnd w:id="625"/>
    <w:bookmarkStart w:id="627" w:name="X2009c37f8a3691fc61520716d6c51727ddbeca2"/>
    <w:p>
      <w:pPr>
        <w:pStyle w:val="Bibliography"/>
      </w:pPr>
      <w:r>
        <w:t xml:space="preserve">Institute of Education Sciences. n.d.a.</w:t>
      </w:r>
      <w:r>
        <w:t xml:space="preserve"> </w:t>
      </w:r>
      <w:r>
        <w:t xml:space="preserve">“Frequently</w:t>
      </w:r>
      <w:r>
        <w:t xml:space="preserve"> </w:t>
      </w:r>
      <w:r>
        <w:t xml:space="preserve">Asked</w:t>
      </w:r>
      <w:r>
        <w:t xml:space="preserve"> </w:t>
      </w:r>
      <w:r>
        <w:t xml:space="preserve">Questions</w:t>
      </w:r>
      <w:r>
        <w:t xml:space="preserve"> </w:t>
      </w:r>
      <w:r>
        <w:t xml:space="preserve">About</w:t>
      </w:r>
      <w:r>
        <w:t xml:space="preserve"> </w:t>
      </w:r>
      <w:r>
        <w:t xml:space="preserve">Providing</w:t>
      </w:r>
      <w:r>
        <w:t xml:space="preserve"> </w:t>
      </w:r>
      <w:r>
        <w:t xml:space="preserve">Public</w:t>
      </w:r>
      <w:r>
        <w:t xml:space="preserve"> </w:t>
      </w:r>
      <w:r>
        <w:t xml:space="preserve">Access</w:t>
      </w:r>
      <w:r>
        <w:t xml:space="preserve"> </w:t>
      </w:r>
      <w:r>
        <w:t xml:space="preserve">To</w:t>
      </w:r>
      <w:r>
        <w:t xml:space="preserve"> </w:t>
      </w:r>
      <w:r>
        <w:t xml:space="preserve">Data</w:t>
      </w:r>
      <w:r>
        <w:t xml:space="preserve">.”</w:t>
      </w:r>
      <w:r>
        <w:t xml:space="preserve"> </w:t>
      </w:r>
      <w:r>
        <w:t xml:space="preserve">Accessed October 21, 2022.</w:t>
      </w:r>
      <w:r>
        <w:t xml:space="preserve"> </w:t>
      </w:r>
      <w:hyperlink r:id="rId626">
        <w:r>
          <w:rPr>
            <w:rStyle w:val="Hyperlink"/>
          </w:rPr>
          <w:t xml:space="preserve">https://ies.ed.gov/funding/datasharing_faq.asp</w:t>
        </w:r>
      </w:hyperlink>
      <w:r>
        <w:t xml:space="preserve">.</w:t>
      </w:r>
    </w:p>
    <w:bookmarkEnd w:id="627"/>
    <w:bookmarkStart w:id="629" w:name="X3f7ae7e9e6ef410c34e10cd81d53580f02818f2"/>
    <w:p>
      <w:pPr>
        <w:pStyle w:val="Bibliography"/>
      </w:pPr>
      <w:r>
        <w:t xml:space="preserve">———. n.d.b.</w:t>
      </w:r>
      <w:r>
        <w:t xml:space="preserve"> </w:t>
      </w:r>
      <w:r>
        <w:t xml:space="preserve">“</w:t>
      </w:r>
      <w:r>
        <w:t xml:space="preserve">IES</w:t>
      </w:r>
      <w:r>
        <w:t xml:space="preserve"> </w:t>
      </w:r>
      <w:r>
        <w:t xml:space="preserve">Funding</w:t>
      </w:r>
      <w:r>
        <w:t xml:space="preserve"> </w:t>
      </w:r>
      <w:r>
        <w:t xml:space="preserve">Opportunities</w:t>
      </w:r>
      <w:r>
        <w:t xml:space="preserve">.”</w:t>
      </w:r>
      <w:r>
        <w:t xml:space="preserve"> </w:t>
      </w:r>
      <w:r>
        <w:t xml:space="preserve">Accessed January 9, 2023.</w:t>
      </w:r>
      <w:r>
        <w:t xml:space="preserve"> </w:t>
      </w:r>
      <w:hyperlink r:id="rId628">
        <w:r>
          <w:rPr>
            <w:rStyle w:val="Hyperlink"/>
          </w:rPr>
          <w:t xml:space="preserve">https://ies.ed.gov/funding/23rfas.asp</w:t>
        </w:r>
      </w:hyperlink>
      <w:r>
        <w:t xml:space="preserve">.</w:t>
      </w:r>
    </w:p>
    <w:bookmarkEnd w:id="629"/>
    <w:bookmarkStart w:id="631" w:name="Xd7e4c32bc9f81dd6b4cc9c6405e1332232d4ef5"/>
    <w:p>
      <w:pPr>
        <w:pStyle w:val="Bibliography"/>
      </w:pPr>
      <w:r>
        <w:t xml:space="preserve">———. n.d.c.</w:t>
      </w:r>
      <w:r>
        <w:t xml:space="preserve"> </w:t>
      </w:r>
      <w:r>
        <w:t xml:space="preserve">“Standards for</w:t>
      </w:r>
      <w:r>
        <w:t xml:space="preserve"> </w:t>
      </w:r>
      <w:r>
        <w:t xml:space="preserve">Excellence</w:t>
      </w:r>
      <w:r>
        <w:t xml:space="preserve"> </w:t>
      </w:r>
      <w:r>
        <w:t xml:space="preserve">in</w:t>
      </w:r>
      <w:r>
        <w:t xml:space="preserve"> </w:t>
      </w:r>
      <w:r>
        <w:t xml:space="preserve">Education</w:t>
      </w:r>
      <w:r>
        <w:t xml:space="preserve"> </w:t>
      </w:r>
      <w:r>
        <w:t xml:space="preserve">Research</w:t>
      </w:r>
      <w:r>
        <w:t xml:space="preserve">.”</w:t>
      </w:r>
      <w:r>
        <w:t xml:space="preserve"> </w:t>
      </w:r>
      <w:r>
        <w:t xml:space="preserve">Accessed October 21, 2022.</w:t>
      </w:r>
      <w:r>
        <w:t xml:space="preserve"> </w:t>
      </w:r>
      <w:hyperlink r:id="rId630">
        <w:r>
          <w:rPr>
            <w:rStyle w:val="Hyperlink"/>
          </w:rPr>
          <w:t xml:space="preserve">https://ies.ed.gov/seer/index.asp</w:t>
        </w:r>
      </w:hyperlink>
      <w:r>
        <w:t xml:space="preserve">.</w:t>
      </w:r>
    </w:p>
    <w:bookmarkEnd w:id="631"/>
    <w:bookmarkStart w:id="633" w:name="Xd1423447ed18ab30821e77f49f5ecffc46872cc"/>
    <w:p>
      <w:pPr>
        <w:pStyle w:val="Bibliography"/>
      </w:pPr>
      <w:r>
        <w:t xml:space="preserve">Johns Hopkins Institute for Clinical and Translational Research. n.d.</w:t>
      </w:r>
      <w:r>
        <w:t xml:space="preserve"> </w:t>
      </w:r>
      <w:r>
        <w:t xml:space="preserve">“Data</w:t>
      </w:r>
      <w:r>
        <w:t xml:space="preserve"> </w:t>
      </w:r>
      <w:r>
        <w:t xml:space="preserve">Dictionary</w:t>
      </w:r>
      <w:r>
        <w:t xml:space="preserve">/</w:t>
      </w:r>
      <w:r>
        <w:t xml:space="preserve">Codebook</w:t>
      </w:r>
      <w:r>
        <w:t xml:space="preserve">.”</w:t>
      </w:r>
      <w:r>
        <w:t xml:space="preserve"> </w:t>
      </w:r>
      <w:r>
        <w:t xml:space="preserve">Accessed February 10, 2023.</w:t>
      </w:r>
      <w:r>
        <w:t xml:space="preserve"> </w:t>
      </w:r>
      <w:hyperlink r:id="rId632">
        <w:r>
          <w:rPr>
            <w:rStyle w:val="Hyperlink"/>
          </w:rPr>
          <w:t xml:space="preserve">https://ictrweb.johnshopkins.edu/ictr/dmig/Best_Practice/a8376318-ebd6-421f-be63-acf8c88376a1_6342a1c3-1a5d-4287-a46e-374824e3780e.html?v=65849&amp;ip=hpdkvlttuiyioooqhw</w:t>
        </w:r>
      </w:hyperlink>
      <w:r>
        <w:t xml:space="preserve">.</w:t>
      </w:r>
    </w:p>
    <w:bookmarkEnd w:id="633"/>
    <w:bookmarkStart w:id="635" w:name="ref-kline_technical_2018"/>
    <w:p>
      <w:pPr>
        <w:pStyle w:val="Bibliography"/>
      </w:pPr>
      <w:r>
        <w:t xml:space="preserve">Kline, Melissa. 2018.</w:t>
      </w:r>
      <w:r>
        <w:t xml:space="preserve"> </w:t>
      </w:r>
      <w:r>
        <w:t xml:space="preserve">“A Technical Specification for Psychological Datasets.”</w:t>
      </w:r>
      <w:r>
        <w:t xml:space="preserve"> </w:t>
      </w:r>
      <w:r>
        <w:rPr>
          <w:iCs/>
          <w:i/>
        </w:rPr>
        <w:t xml:space="preserve">Google Docs</w:t>
      </w:r>
      <w:r>
        <w:t xml:space="preserve">.</w:t>
      </w:r>
      <w:r>
        <w:t xml:space="preserve"> </w:t>
      </w:r>
      <w:hyperlink r:id="rId634">
        <w:r>
          <w:rPr>
            <w:rStyle w:val="Hyperlink"/>
          </w:rPr>
          <w:t xml:space="preserve">https://docs.google.com/document/d/1u8o5jnWk0Iqp_J06PTu5NjBfVsdoPbBhstht6W0fFp0/edit?usp=embed_facebook</w:t>
        </w:r>
      </w:hyperlink>
      <w:r>
        <w:t xml:space="preserve">.</w:t>
      </w:r>
    </w:p>
    <w:bookmarkEnd w:id="635"/>
    <w:bookmarkStart w:id="637" w:name="ref-koos_research_nodate"/>
    <w:p>
      <w:pPr>
        <w:pStyle w:val="Bibliography"/>
      </w:pPr>
      <w:r>
        <w:t xml:space="preserve">Koos, Jessica. n.d.</w:t>
      </w:r>
      <w:r>
        <w:t xml:space="preserve"> </w:t>
      </w:r>
      <w:r>
        <w:t xml:space="preserve">“Research &amp;</w:t>
      </w:r>
      <w:r>
        <w:t xml:space="preserve"> </w:t>
      </w:r>
      <w:r>
        <w:t xml:space="preserve">Subject</w:t>
      </w:r>
      <w:r>
        <w:t xml:space="preserve"> </w:t>
      </w:r>
      <w:r>
        <w:t xml:space="preserve">Guides</w:t>
      </w:r>
      <w:r>
        <w:t xml:space="preserve">:</w:t>
      </w:r>
      <w:r>
        <w:t xml:space="preserve"> </w:t>
      </w:r>
      <w:r>
        <w:t xml:space="preserve">Research</w:t>
      </w:r>
      <w:r>
        <w:t xml:space="preserve"> </w:t>
      </w:r>
      <w:r>
        <w:t xml:space="preserve">Data</w:t>
      </w:r>
      <w:r>
        <w:t xml:space="preserve"> </w:t>
      </w:r>
      <w:r>
        <w:t xml:space="preserve">Guide</w:t>
      </w:r>
      <w:r>
        <w:t xml:space="preserve">:</w:t>
      </w:r>
      <w:r>
        <w:t xml:space="preserve"> </w:t>
      </w:r>
      <w:r>
        <w:t xml:space="preserve">Data</w:t>
      </w:r>
      <w:r>
        <w:t xml:space="preserve"> </w:t>
      </w:r>
      <w:r>
        <w:t xml:space="preserve">Collection</w:t>
      </w:r>
      <w:r>
        <w:t xml:space="preserve"> </w:t>
      </w:r>
      <w:r>
        <w:t xml:space="preserve">and</w:t>
      </w:r>
      <w:r>
        <w:t xml:space="preserve"> </w:t>
      </w:r>
      <w:r>
        <w:t xml:space="preserve">Creation</w:t>
      </w:r>
      <w:r>
        <w:t xml:space="preserve">.”</w:t>
      </w:r>
      <w:r>
        <w:t xml:space="preserve"> </w:t>
      </w:r>
      <w:r>
        <w:t xml:space="preserve">Accessed April 14, 2023.</w:t>
      </w:r>
      <w:r>
        <w:t xml:space="preserve"> </w:t>
      </w:r>
      <w:hyperlink r:id="rId636">
        <w:r>
          <w:rPr>
            <w:rStyle w:val="Hyperlink"/>
          </w:rPr>
          <w:t xml:space="preserve">https://guides.library.stonybrook.edu/research-data/collection</w:t>
        </w:r>
      </w:hyperlink>
      <w:r>
        <w:t xml:space="preserve">.</w:t>
      </w:r>
    </w:p>
    <w:bookmarkEnd w:id="637"/>
    <w:bookmarkStart w:id="639" w:name="ref-kovacs_role_2021"/>
    <w:p>
      <w:pPr>
        <w:pStyle w:val="Bibliography"/>
      </w:pPr>
      <w:r>
        <w:t xml:space="preserve">Kovacs, Marton, Rink Hoekstra, and Balazs Aczel. 2021.</w:t>
      </w:r>
      <w:r>
        <w:t xml:space="preserve"> </w:t>
      </w:r>
      <w:r>
        <w:t xml:space="preserve">“The</w:t>
      </w:r>
      <w:r>
        <w:t xml:space="preserve"> </w:t>
      </w:r>
      <w:r>
        <w:t xml:space="preserve">Role</w:t>
      </w:r>
      <w:r>
        <w:t xml:space="preserve"> </w:t>
      </w:r>
      <w:r>
        <w:t xml:space="preserve">of</w:t>
      </w:r>
      <w:r>
        <w:t xml:space="preserve"> </w:t>
      </w:r>
      <w:r>
        <w:t xml:space="preserve">Human</w:t>
      </w:r>
      <w:r>
        <w:t xml:space="preserve"> </w:t>
      </w:r>
      <w:r>
        <w:t xml:space="preserve">Fallibility</w:t>
      </w:r>
      <w:r>
        <w:t xml:space="preserve"> </w:t>
      </w:r>
      <w:r>
        <w:t xml:space="preserve">in</w:t>
      </w:r>
      <w:r>
        <w:t xml:space="preserve"> </w:t>
      </w:r>
      <w:r>
        <w:t xml:space="preserve">Psychological</w:t>
      </w:r>
      <w:r>
        <w:t xml:space="preserve"> </w:t>
      </w:r>
      <w:r>
        <w:t xml:space="preserve">Research</w:t>
      </w:r>
      <w:r>
        <w:t xml:space="preserve">:</w:t>
      </w:r>
      <w:r>
        <w:t xml:space="preserve"> </w:t>
      </w:r>
      <w:r>
        <w:t xml:space="preserve">A</w:t>
      </w:r>
      <w:r>
        <w:t xml:space="preserve"> </w:t>
      </w:r>
      <w:r>
        <w:t xml:space="preserve">Survey</w:t>
      </w:r>
      <w:r>
        <w:t xml:space="preserve"> </w:t>
      </w:r>
      <w:r>
        <w:t xml:space="preserve">of</w:t>
      </w:r>
      <w:r>
        <w:t xml:space="preserve"> </w:t>
      </w:r>
      <w:r>
        <w:t xml:space="preserve">Mistakes</w:t>
      </w:r>
      <w:r>
        <w:t xml:space="preserve"> </w:t>
      </w:r>
      <w:r>
        <w:t xml:space="preserve">in</w:t>
      </w:r>
      <w:r>
        <w:t xml:space="preserve"> </w:t>
      </w:r>
      <w:r>
        <w:t xml:space="preserve">Data</w:t>
      </w:r>
      <w:r>
        <w:t xml:space="preserve"> </w:t>
      </w:r>
      <w:r>
        <w:t xml:space="preserve">Management</w:t>
      </w:r>
      <w:r>
        <w:t xml:space="preserve">.”</w:t>
      </w:r>
      <w:r>
        <w:t xml:space="preserve"> </w:t>
      </w:r>
      <w:r>
        <w:rPr>
          <w:iCs/>
          <w:i/>
        </w:rPr>
        <w:t xml:space="preserve">Advances in Methods and Practices in Psychological Science</w:t>
      </w:r>
      <w:r>
        <w:t xml:space="preserve"> </w:t>
      </w:r>
      <w:r>
        <w:t xml:space="preserve">4 (4): 251524592110459.</w:t>
      </w:r>
      <w:r>
        <w:t xml:space="preserve"> </w:t>
      </w:r>
      <w:hyperlink r:id="rId638">
        <w:r>
          <w:rPr>
            <w:rStyle w:val="Hyperlink"/>
          </w:rPr>
          <w:t xml:space="preserve">https://doi.org/10.1177/25152459211045930</w:t>
        </w:r>
      </w:hyperlink>
      <w:r>
        <w:t xml:space="preserve">.</w:t>
      </w:r>
    </w:p>
    <w:bookmarkEnd w:id="639"/>
    <w:bookmarkStart w:id="641" w:name="ref-krishna_how_2018"/>
    <w:p>
      <w:pPr>
        <w:pStyle w:val="Bibliography"/>
      </w:pPr>
      <w:r>
        <w:t xml:space="preserve">Krishna, Vamsi. 2018.</w:t>
      </w:r>
      <w:r>
        <w:t xml:space="preserve"> </w:t>
      </w:r>
      <w:r>
        <w:t xml:space="preserve">“How to</w:t>
      </w:r>
      <w:r>
        <w:t xml:space="preserve"> </w:t>
      </w:r>
      <w:r>
        <w:t xml:space="preserve">Tag</w:t>
      </w:r>
      <w:r>
        <w:t xml:space="preserve"> </w:t>
      </w:r>
      <w:r>
        <w:t xml:space="preserve">Files</w:t>
      </w:r>
      <w:r>
        <w:t xml:space="preserve"> </w:t>
      </w:r>
      <w:r>
        <w:t xml:space="preserve">in</w:t>
      </w:r>
      <w:r>
        <w:t xml:space="preserve"> </w:t>
      </w:r>
      <w:r>
        <w:t xml:space="preserve">Windows</w:t>
      </w:r>
      <w:r>
        <w:t xml:space="preserve"> </w:t>
      </w:r>
      <w:r>
        <w:t xml:space="preserve">for</w:t>
      </w:r>
      <w:r>
        <w:t xml:space="preserve"> </w:t>
      </w:r>
      <w:r>
        <w:t xml:space="preserve">Easy</w:t>
      </w:r>
      <w:r>
        <w:t xml:space="preserve"> </w:t>
      </w:r>
      <w:r>
        <w:t xml:space="preserve">Retrieval</w:t>
      </w:r>
      <w:r>
        <w:t xml:space="preserve">.”</w:t>
      </w:r>
      <w:r>
        <w:t xml:space="preserve"> </w:t>
      </w:r>
      <w:r>
        <w:rPr>
          <w:iCs/>
          <w:i/>
        </w:rPr>
        <w:t xml:space="preserve">Make Tech Easier</w:t>
      </w:r>
      <w:r>
        <w:t xml:space="preserve">.</w:t>
      </w:r>
      <w:r>
        <w:t xml:space="preserve"> </w:t>
      </w:r>
      <w:hyperlink r:id="rId640">
        <w:r>
          <w:rPr>
            <w:rStyle w:val="Hyperlink"/>
          </w:rPr>
          <w:t xml:space="preserve">https://www.maketecheasier.com/tag-files-in-windows/</w:t>
        </w:r>
      </w:hyperlink>
      <w:r>
        <w:t xml:space="preserve">.</w:t>
      </w:r>
    </w:p>
    <w:bookmarkEnd w:id="641"/>
    <w:bookmarkStart w:id="643" w:name="ref-lafayette_college_three_nodate"/>
    <w:p>
      <w:pPr>
        <w:pStyle w:val="Bibliography"/>
      </w:pPr>
      <w:r>
        <w:t xml:space="preserve">Lafayette College. n.d.</w:t>
      </w:r>
      <w:r>
        <w:t xml:space="preserve"> </w:t>
      </w:r>
      <w:r>
        <w:t xml:space="preserve">“The</w:t>
      </w:r>
      <w:r>
        <w:t xml:space="preserve"> </w:t>
      </w:r>
      <w:r>
        <w:t xml:space="preserve">Three</w:t>
      </w:r>
      <w:r>
        <w:t xml:space="preserve"> </w:t>
      </w:r>
      <w:r>
        <w:t xml:space="preserve">Types</w:t>
      </w:r>
      <w:r>
        <w:t xml:space="preserve"> </w:t>
      </w:r>
      <w:r>
        <w:t xml:space="preserve">of</w:t>
      </w:r>
      <w:r>
        <w:t xml:space="preserve"> </w:t>
      </w:r>
      <w:r>
        <w:t xml:space="preserve">IRB</w:t>
      </w:r>
      <w:r>
        <w:t xml:space="preserve"> </w:t>
      </w:r>
      <w:r>
        <w:t xml:space="preserve">Review</w:t>
      </w:r>
      <w:r>
        <w:t xml:space="preserve"> </w:t>
      </w:r>
      <w:r>
        <w:t xml:space="preserve">·.”</w:t>
      </w:r>
      <w:r>
        <w:t xml:space="preserve"> </w:t>
      </w:r>
      <w:r>
        <w:t xml:space="preserve">Accessed April 27, 2023.</w:t>
      </w:r>
      <w:r>
        <w:t xml:space="preserve"> </w:t>
      </w:r>
      <w:hyperlink r:id="rId642">
        <w:r>
          <w:rPr>
            <w:rStyle w:val="Hyperlink"/>
          </w:rPr>
          <w:t xml:space="preserve">https://irb.lafayette.edu/the-three-types-of-irb-review/</w:t>
        </w:r>
      </w:hyperlink>
      <w:r>
        <w:t xml:space="preserve">.</w:t>
      </w:r>
    </w:p>
    <w:bookmarkEnd w:id="643"/>
    <w:bookmarkStart w:id="645" w:name="ref-ldbase_data_nodate"/>
    <w:p>
      <w:pPr>
        <w:pStyle w:val="Bibliography"/>
      </w:pPr>
      <w:r>
        <w:t xml:space="preserve">LDbase. n.d.a.</w:t>
      </w:r>
      <w:r>
        <w:t xml:space="preserve"> </w:t>
      </w:r>
      <w:r>
        <w:t xml:space="preserve">“Data</w:t>
      </w:r>
      <w:r>
        <w:t xml:space="preserve"> </w:t>
      </w:r>
      <w:r>
        <w:t xml:space="preserve">Use</w:t>
      </w:r>
      <w:r>
        <w:t xml:space="preserve"> </w:t>
      </w:r>
      <w:r>
        <w:t xml:space="preserve">Vs</w:t>
      </w:r>
      <w:r>
        <w:t xml:space="preserve"> </w:t>
      </w:r>
      <w:r>
        <w:t xml:space="preserve">Data</w:t>
      </w:r>
      <w:r>
        <w:t xml:space="preserve"> </w:t>
      </w:r>
      <w:r>
        <w:t xml:space="preserve">Sharing</w:t>
      </w:r>
      <w:r>
        <w:t xml:space="preserve"> </w:t>
      </w:r>
      <w:r>
        <w:t xml:space="preserve"> </w:t>
      </w:r>
      <w:r>
        <w:t xml:space="preserve">LDbase</w:t>
      </w:r>
      <w:r>
        <w:t xml:space="preserve">.”</w:t>
      </w:r>
      <w:r>
        <w:t xml:space="preserve"> </w:t>
      </w:r>
      <w:r>
        <w:t xml:space="preserve">Accessed May 1, 2023.</w:t>
      </w:r>
      <w:r>
        <w:t xml:space="preserve"> </w:t>
      </w:r>
      <w:hyperlink r:id="rId644">
        <w:r>
          <w:rPr>
            <w:rStyle w:val="Hyperlink"/>
          </w:rPr>
          <w:t xml:space="preserve">https://ldbase.org/resources/best-practices/data-use-vs-data-sharing</w:t>
        </w:r>
      </w:hyperlink>
      <w:r>
        <w:t xml:space="preserve">.</w:t>
      </w:r>
    </w:p>
    <w:bookmarkEnd w:id="645"/>
    <w:bookmarkStart w:id="647" w:name="ref-ldbase_information_nodate"/>
    <w:p>
      <w:pPr>
        <w:pStyle w:val="Bibliography"/>
      </w:pPr>
      <w:r>
        <w:t xml:space="preserve">LDbase. n.d.b.</w:t>
      </w:r>
      <w:r>
        <w:t xml:space="preserve"> </w:t>
      </w:r>
      <w:r>
        <w:t xml:space="preserve">“Information to</w:t>
      </w:r>
      <w:r>
        <w:t xml:space="preserve"> </w:t>
      </w:r>
      <w:r>
        <w:t xml:space="preserve">Gather</w:t>
      </w:r>
      <w:r>
        <w:t xml:space="preserve"> </w:t>
      </w:r>
      <w:r>
        <w:t xml:space="preserve">Before</w:t>
      </w:r>
      <w:r>
        <w:t xml:space="preserve"> </w:t>
      </w:r>
      <w:r>
        <w:t xml:space="preserve">Uploading</w:t>
      </w:r>
      <w:r>
        <w:t xml:space="preserve"> </w:t>
      </w:r>
      <w:r>
        <w:t xml:space="preserve">Your</w:t>
      </w:r>
      <w:r>
        <w:t xml:space="preserve"> </w:t>
      </w:r>
      <w:r>
        <w:t xml:space="preserve">Data</w:t>
      </w:r>
      <w:r>
        <w:t xml:space="preserve"> </w:t>
      </w:r>
      <w:r>
        <w:t xml:space="preserve"> </w:t>
      </w:r>
      <w:r>
        <w:t xml:space="preserve">LDbase</w:t>
      </w:r>
      <w:r>
        <w:t xml:space="preserve">.”</w:t>
      </w:r>
      <w:r>
        <w:t xml:space="preserve"> </w:t>
      </w:r>
      <w:r>
        <w:t xml:space="preserve">Accessed January 18, 2023.</w:t>
      </w:r>
      <w:r>
        <w:t xml:space="preserve"> </w:t>
      </w:r>
      <w:hyperlink r:id="rId646">
        <w:r>
          <w:rPr>
            <w:rStyle w:val="Hyperlink"/>
          </w:rPr>
          <w:t xml:space="preserve">https://www.ldbase.org/resources/user-guide/information-to-gather</w:t>
        </w:r>
      </w:hyperlink>
      <w:r>
        <w:t xml:space="preserve">.</w:t>
      </w:r>
    </w:p>
    <w:bookmarkEnd w:id="647"/>
    <w:bookmarkStart w:id="649" w:name="ref-lee_considerations_2020"/>
    <w:p>
      <w:pPr>
        <w:pStyle w:val="Bibliography"/>
      </w:pPr>
      <w:r>
        <w:t xml:space="preserve">Lee, Amanda, Sarah Hughes, and Shawn Marsh. 2020.</w:t>
      </w:r>
      <w:r>
        <w:t xml:space="preserve"> </w:t>
      </w:r>
      <w:r>
        <w:t xml:space="preserve">“Considerations for Collecting Electronic Signatures.”</w:t>
      </w:r>
      <w:r>
        <w:t xml:space="preserve"> </w:t>
      </w:r>
      <w:r>
        <w:rPr>
          <w:iCs/>
          <w:i/>
        </w:rPr>
        <w:t xml:space="preserve">The Abdul Latif Jameel Poverty Action Lab (J-PAL)</w:t>
      </w:r>
      <w:r>
        <w:t xml:space="preserve">.</w:t>
      </w:r>
      <w:r>
        <w:t xml:space="preserve"> </w:t>
      </w:r>
      <w:hyperlink r:id="rId648">
        <w:r>
          <w:rPr>
            <w:rStyle w:val="Hyperlink"/>
          </w:rPr>
          <w:t xml:space="preserve">https://www.povertyactionlab.org/blog/6-30-20/considerations-collecting-electronic-signatures</w:t>
        </w:r>
      </w:hyperlink>
      <w:r>
        <w:t xml:space="preserve">.</w:t>
      </w:r>
    </w:p>
    <w:bookmarkEnd w:id="649"/>
    <w:bookmarkStart w:id="651" w:name="ref-lewis_using_2022"/>
    <w:p>
      <w:pPr>
        <w:pStyle w:val="Bibliography"/>
      </w:pPr>
      <w:r>
        <w:t xml:space="preserve">Lewis, Crystal. 2022.</w:t>
      </w:r>
      <w:r>
        <w:t xml:space="preserve"> </w:t>
      </w:r>
      <w:r>
        <w:t xml:space="preserve">“Using a Data Dictionary as Your Roadmap to Quality Data.”</w:t>
      </w:r>
      <w:r>
        <w:t xml:space="preserve"> </w:t>
      </w:r>
      <w:r>
        <w:rPr>
          <w:iCs/>
          <w:i/>
        </w:rPr>
        <w:t xml:space="preserve">Crystal Lewis</w:t>
      </w:r>
      <w:r>
        <w:t xml:space="preserve">.</w:t>
      </w:r>
      <w:r>
        <w:t xml:space="preserve"> </w:t>
      </w:r>
      <w:hyperlink r:id="rId650">
        <w:r>
          <w:rPr>
            <w:rStyle w:val="Hyperlink"/>
          </w:rPr>
          <w:t xml:space="preserve">https://cghlewis.com/blog/data_dictionary/</w:t>
        </w:r>
      </w:hyperlink>
      <w:r>
        <w:t xml:space="preserve">.</w:t>
      </w:r>
    </w:p>
    <w:bookmarkEnd w:id="651"/>
    <w:bookmarkStart w:id="653" w:name="ref-lewis_codebook_2023"/>
    <w:p>
      <w:pPr>
        <w:pStyle w:val="Bibliography"/>
      </w:pPr>
      <w:r>
        <w:t xml:space="preserve">———. 2023.</w:t>
      </w:r>
      <w:r>
        <w:t xml:space="preserve"> </w:t>
      </w:r>
      <w:r>
        <w:t xml:space="preserve">“Codebook</w:t>
      </w:r>
      <w:r>
        <w:t xml:space="preserve"> </w:t>
      </w:r>
      <w:r>
        <w:t xml:space="preserve">Package</w:t>
      </w:r>
      <w:r>
        <w:t xml:space="preserve"> </w:t>
      </w:r>
      <w:r>
        <w:t xml:space="preserve">Comparison</w:t>
      </w:r>
      <w:r>
        <w:t xml:space="preserve">.”</w:t>
      </w:r>
      <w:r>
        <w:t xml:space="preserve"> </w:t>
      </w:r>
      <w:hyperlink r:id="rId652">
        <w:r>
          <w:rPr>
            <w:rStyle w:val="Hyperlink"/>
          </w:rPr>
          <w:t xml:space="preserve">https://github.com/Cghlewis/codebook-pkg-comparison</w:t>
        </w:r>
      </w:hyperlink>
      <w:r>
        <w:t xml:space="preserve">.</w:t>
      </w:r>
    </w:p>
    <w:bookmarkEnd w:id="653"/>
    <w:bookmarkStart w:id="655" w:name="ref-logan_within_2023"/>
    <w:p>
      <w:pPr>
        <w:pStyle w:val="Bibliography"/>
      </w:pPr>
      <w:r>
        <w:t xml:space="preserve">Logan, Jessica, and Sara Hart. 2023.</w:t>
      </w:r>
      <w:r>
        <w:t xml:space="preserve"> </w:t>
      </w:r>
      <w:r>
        <w:t xml:space="preserve">“Within &amp;</w:t>
      </w:r>
      <w:r>
        <w:t xml:space="preserve"> </w:t>
      </w:r>
      <w:r>
        <w:t xml:space="preserve">Between</w:t>
      </w:r>
      <w:r>
        <w:t xml:space="preserve"> </w:t>
      </w:r>
      <w:r>
        <w:t xml:space="preserve">S4e2</w:t>
      </w:r>
      <w:r>
        <w:t xml:space="preserve">.”</w:t>
      </w:r>
      <w:r>
        <w:t xml:space="preserve"> </w:t>
      </w:r>
      <w:r>
        <w:rPr>
          <w:iCs/>
          <w:i/>
        </w:rPr>
        <w:t xml:space="preserve">Within &amp; Between</w:t>
      </w:r>
      <w:r>
        <w:t xml:space="preserve">.</w:t>
      </w:r>
      <w:r>
        <w:t xml:space="preserve"> </w:t>
      </w:r>
      <w:hyperlink r:id="rId654">
        <w:r>
          <w:rPr>
            <w:rStyle w:val="Hyperlink"/>
          </w:rPr>
          <w:t xml:space="preserve">http://www.withinandbetweenpod.com/</w:t>
        </w:r>
      </w:hyperlink>
      <w:r>
        <w:t xml:space="preserve">.</w:t>
      </w:r>
    </w:p>
    <w:bookmarkEnd w:id="655"/>
    <w:bookmarkStart w:id="657" w:name="ref-logan_data_2021"/>
    <w:p>
      <w:pPr>
        <w:pStyle w:val="Bibliography"/>
      </w:pPr>
      <w:r>
        <w:t xml:space="preserve">Logan, Jessica, Sara Hart, and Christopher Schatschneider. 2021.</w:t>
      </w:r>
      <w:r>
        <w:t xml:space="preserve"> </w:t>
      </w:r>
      <w:r>
        <w:t xml:space="preserve">“Data</w:t>
      </w:r>
      <w:r>
        <w:t xml:space="preserve"> </w:t>
      </w:r>
      <w:r>
        <w:t xml:space="preserve">Sharing</w:t>
      </w:r>
      <w:r>
        <w:t xml:space="preserve"> </w:t>
      </w:r>
      <w:r>
        <w:t xml:space="preserve">in</w:t>
      </w:r>
      <w:r>
        <w:t xml:space="preserve"> </w:t>
      </w:r>
      <w:r>
        <w:t xml:space="preserve">Education</w:t>
      </w:r>
      <w:r>
        <w:t xml:space="preserve"> </w:t>
      </w:r>
      <w:r>
        <w:t xml:space="preserve">Science</w:t>
      </w:r>
      <w:r>
        <w:t xml:space="preserve">.”</w:t>
      </w:r>
      <w:r>
        <w:t xml:space="preserve"> </w:t>
      </w:r>
      <w:r>
        <w:rPr>
          <w:iCs/>
          <w:i/>
        </w:rPr>
        <w:t xml:space="preserve">AERA Open</w:t>
      </w:r>
      <w:r>
        <w:t xml:space="preserve"> </w:t>
      </w:r>
      <w:r>
        <w:t xml:space="preserve">7 (January): 233285842110064.</w:t>
      </w:r>
      <w:r>
        <w:t xml:space="preserve"> </w:t>
      </w:r>
      <w:hyperlink r:id="rId656">
        <w:r>
          <w:rPr>
            <w:rStyle w:val="Hyperlink"/>
          </w:rPr>
          <w:t xml:space="preserve">https://doi.org/10.1177/23328584211006475</w:t>
        </w:r>
      </w:hyperlink>
      <w:r>
        <w:t xml:space="preserve">.</w:t>
      </w:r>
    </w:p>
    <w:bookmarkEnd w:id="657"/>
    <w:bookmarkStart w:id="659" w:name="ref-markowetz_five_2015"/>
    <w:p>
      <w:pPr>
        <w:pStyle w:val="Bibliography"/>
      </w:pPr>
      <w:r>
        <w:t xml:space="preserve">Markowetz, Florian. 2015.</w:t>
      </w:r>
      <w:r>
        <w:t xml:space="preserve"> </w:t>
      </w:r>
      <w:r>
        <w:t xml:space="preserve">“Five Selfish Reasons to Work Reproducibly.”</w:t>
      </w:r>
      <w:r>
        <w:t xml:space="preserve"> </w:t>
      </w:r>
      <w:r>
        <w:rPr>
          <w:iCs/>
          <w:i/>
        </w:rPr>
        <w:t xml:space="preserve">Genome Biology</w:t>
      </w:r>
      <w:r>
        <w:t xml:space="preserve"> </w:t>
      </w:r>
      <w:r>
        <w:t xml:space="preserve">16 (1): 274.</w:t>
      </w:r>
      <w:r>
        <w:t xml:space="preserve"> </w:t>
      </w:r>
      <w:hyperlink r:id="rId658">
        <w:r>
          <w:rPr>
            <w:rStyle w:val="Hyperlink"/>
          </w:rPr>
          <w:t xml:space="preserve">https://doi.org/10.1186/s13059-015-0850-7</w:t>
        </w:r>
      </w:hyperlink>
      <w:r>
        <w:t xml:space="preserve">.</w:t>
      </w:r>
    </w:p>
    <w:bookmarkEnd w:id="659"/>
    <w:bookmarkStart w:id="660" w:name="ref-mckay_bowen_no_2023"/>
    <w:p>
      <w:pPr>
        <w:pStyle w:val="Bibliography"/>
      </w:pPr>
      <w:r>
        <w:t xml:space="preserve">McKay Bowen, Claire, and Joshua Snoke. 2023.</w:t>
      </w:r>
      <w:r>
        <w:t xml:space="preserve"> </w:t>
      </w:r>
      <w:r>
        <w:t xml:space="preserve">“Do</w:t>
      </w:r>
      <w:r>
        <w:t xml:space="preserve"> </w:t>
      </w:r>
      <w:r>
        <w:t xml:space="preserve">No</w:t>
      </w:r>
      <w:r>
        <w:t xml:space="preserve"> </w:t>
      </w:r>
      <w:r>
        <w:t xml:space="preserve">Harm</w:t>
      </w:r>
      <w:r>
        <w:t xml:space="preserve"> </w:t>
      </w:r>
      <w:r>
        <w:t xml:space="preserve">Guide</w:t>
      </w:r>
      <w:r>
        <w:t xml:space="preserve">:</w:t>
      </w:r>
      <w:r>
        <w:t xml:space="preserve"> </w:t>
      </w:r>
      <w:r>
        <w:t xml:space="preserve">Applying</w:t>
      </w:r>
      <w:r>
        <w:t xml:space="preserve"> </w:t>
      </w:r>
      <w:r>
        <w:t xml:space="preserve">Equity</w:t>
      </w:r>
      <w:r>
        <w:t xml:space="preserve"> </w:t>
      </w:r>
      <w:r>
        <w:t xml:space="preserve">Awareness</w:t>
      </w:r>
      <w:r>
        <w:t xml:space="preserve"> </w:t>
      </w:r>
      <w:r>
        <w:t xml:space="preserve">in</w:t>
      </w:r>
      <w:r>
        <w:t xml:space="preserve"> </w:t>
      </w:r>
      <w:r>
        <w:t xml:space="preserve">Data</w:t>
      </w:r>
      <w:r>
        <w:t xml:space="preserve"> </w:t>
      </w:r>
      <w:r>
        <w:t xml:space="preserve">Privacy</w:t>
      </w:r>
      <w:r>
        <w:t xml:space="preserve"> </w:t>
      </w:r>
      <w:r>
        <w:t xml:space="preserve">Methods</w:t>
      </w:r>
      <w:r>
        <w:t xml:space="preserve">.”</w:t>
      </w:r>
    </w:p>
    <w:bookmarkEnd w:id="660"/>
    <w:bookmarkStart w:id="662" w:name="ref-mehr_how_nodate"/>
    <w:p>
      <w:pPr>
        <w:pStyle w:val="Bibliography"/>
      </w:pPr>
      <w:r>
        <w:t xml:space="preserve">Mehr, Samuel. n.d.</w:t>
      </w:r>
      <w:r>
        <w:t xml:space="preserve"> </w:t>
      </w:r>
      <w:r>
        <w:t xml:space="preserve">“How to… Write a Lab Handbook.”</w:t>
      </w:r>
      <w:r>
        <w:t xml:space="preserve"> </w:t>
      </w:r>
      <w:r>
        <w:rPr>
          <w:iCs/>
          <w:i/>
        </w:rPr>
        <w:t xml:space="preserve">RSB</w:t>
      </w:r>
      <w:r>
        <w:t xml:space="preserve">. Accessed January 12, 2023.</w:t>
      </w:r>
      <w:r>
        <w:t xml:space="preserve"> </w:t>
      </w:r>
      <w:hyperlink r:id="rId661">
        <w:r>
          <w:rPr>
            <w:rStyle w:val="Hyperlink"/>
          </w:rPr>
          <w:t xml:space="preserve">https://www.rsb.org.uk//biologist-features/how-to-write-a-lab-handbook</w:t>
        </w:r>
      </w:hyperlink>
      <w:r>
        <w:t xml:space="preserve">.</w:t>
      </w:r>
    </w:p>
    <w:bookmarkEnd w:id="662"/>
    <w:bookmarkStart w:id="664" w:name="ref-meyer_practical_2018"/>
    <w:p>
      <w:pPr>
        <w:pStyle w:val="Bibliography"/>
      </w:pPr>
      <w:r>
        <w:t xml:space="preserve">Meyer, Michelle N. 2018.</w:t>
      </w:r>
      <w:r>
        <w:t xml:space="preserve"> </w:t>
      </w:r>
      <w:r>
        <w:t xml:space="preserve">“Practical</w:t>
      </w:r>
      <w:r>
        <w:t xml:space="preserve"> </w:t>
      </w:r>
      <w:r>
        <w:t xml:space="preserve">Tips</w:t>
      </w:r>
      <w:r>
        <w:t xml:space="preserve"> </w:t>
      </w:r>
      <w:r>
        <w:t xml:space="preserve">for</w:t>
      </w:r>
      <w:r>
        <w:t xml:space="preserve"> </w:t>
      </w:r>
      <w:r>
        <w:t xml:space="preserve">Ethical</w:t>
      </w:r>
      <w:r>
        <w:t xml:space="preserve"> </w:t>
      </w:r>
      <w:r>
        <w:t xml:space="preserve">Data</w:t>
      </w:r>
      <w:r>
        <w:t xml:space="preserve"> </w:t>
      </w:r>
      <w:r>
        <w:t xml:space="preserve">Sharing</w:t>
      </w:r>
      <w:r>
        <w:t xml:space="preserve">.”</w:t>
      </w:r>
      <w:r>
        <w:t xml:space="preserve"> </w:t>
      </w:r>
      <w:r>
        <w:rPr>
          <w:iCs/>
          <w:i/>
        </w:rPr>
        <w:t xml:space="preserve">Advances in Methods and Practices in Psychological Science</w:t>
      </w:r>
      <w:r>
        <w:t xml:space="preserve"> </w:t>
      </w:r>
      <w:r>
        <w:t xml:space="preserve">1 (1): 131–44.</w:t>
      </w:r>
      <w:r>
        <w:t xml:space="preserve"> </w:t>
      </w:r>
      <w:hyperlink r:id="rId663">
        <w:r>
          <w:rPr>
            <w:rStyle w:val="Hyperlink"/>
          </w:rPr>
          <w:t xml:space="preserve">https://doi.org/10.1177/2515245917747656</w:t>
        </w:r>
      </w:hyperlink>
      <w:r>
        <w:t xml:space="preserve">.</w:t>
      </w:r>
    </w:p>
    <w:bookmarkEnd w:id="664"/>
    <w:bookmarkStart w:id="666" w:name="ref-michener_ten_2015"/>
    <w:p>
      <w:pPr>
        <w:pStyle w:val="Bibliography"/>
      </w:pPr>
      <w:r>
        <w:t xml:space="preserve">Michener, William K. 2015.</w:t>
      </w:r>
      <w:r>
        <w:t xml:space="preserve"> </w:t>
      </w:r>
      <w:r>
        <w:t xml:space="preserve">“Ten</w:t>
      </w:r>
      <w:r>
        <w:t xml:space="preserve"> </w:t>
      </w:r>
      <w:r>
        <w:t xml:space="preserve">Simple</w:t>
      </w:r>
      <w:r>
        <w:t xml:space="preserve"> </w:t>
      </w:r>
      <w:r>
        <w:t xml:space="preserve">Rules</w:t>
      </w:r>
      <w:r>
        <w:t xml:space="preserve"> </w:t>
      </w:r>
      <w:r>
        <w:t xml:space="preserve">for</w:t>
      </w:r>
      <w:r>
        <w:t xml:space="preserve"> </w:t>
      </w:r>
      <w:r>
        <w:t xml:space="preserve">Creating</w:t>
      </w:r>
      <w:r>
        <w:t xml:space="preserve"> </w:t>
      </w:r>
      <w:r>
        <w:t xml:space="preserve">a</w:t>
      </w:r>
      <w:r>
        <w:t xml:space="preserve"> </w:t>
      </w:r>
      <w:r>
        <w:t xml:space="preserve">Good</w:t>
      </w:r>
      <w:r>
        <w:t xml:space="preserve"> </w:t>
      </w:r>
      <w:r>
        <w:t xml:space="preserve">Data</w:t>
      </w:r>
      <w:r>
        <w:t xml:space="preserve"> </w:t>
      </w:r>
      <w:r>
        <w:t xml:space="preserve">Management</w:t>
      </w:r>
      <w:r>
        <w:t xml:space="preserve"> </w:t>
      </w:r>
      <w:r>
        <w:t xml:space="preserve">Plan</w:t>
      </w:r>
      <w:r>
        <w:t xml:space="preserve">.”</w:t>
      </w:r>
      <w:r>
        <w:t xml:space="preserve"> </w:t>
      </w:r>
      <w:r>
        <w:rPr>
          <w:iCs/>
          <w:i/>
        </w:rPr>
        <w:t xml:space="preserve">PLOS Computational Biology</w:t>
      </w:r>
      <w:r>
        <w:t xml:space="preserve"> </w:t>
      </w:r>
      <w:r>
        <w:t xml:space="preserve">11 (10): e1004525.</w:t>
      </w:r>
      <w:r>
        <w:t xml:space="preserve"> </w:t>
      </w:r>
      <w:hyperlink r:id="rId665">
        <w:r>
          <w:rPr>
            <w:rStyle w:val="Hyperlink"/>
          </w:rPr>
          <w:t xml:space="preserve">https://doi.org/10.1371/journal.pcbi.1004525</w:t>
        </w:r>
      </w:hyperlink>
      <w:r>
        <w:t xml:space="preserve">.</w:t>
      </w:r>
    </w:p>
    <w:bookmarkEnd w:id="666"/>
    <w:bookmarkStart w:id="668" w:name="ref-microsoft_restrictions_nodate"/>
    <w:p>
      <w:pPr>
        <w:pStyle w:val="Bibliography"/>
      </w:pPr>
      <w:r>
        <w:t xml:space="preserve">Microsoft. n.d.</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w:t>
      </w:r>
      <w:r>
        <w:t xml:space="preserve"> </w:t>
      </w:r>
      <w:r>
        <w:t xml:space="preserve">Microsoft</w:t>
      </w:r>
      <w:r>
        <w:t xml:space="preserve"> </w:t>
      </w:r>
      <w:r>
        <w:t xml:space="preserve">Support</w:t>
      </w:r>
      <w:r>
        <w:t xml:space="preserve">.”</w:t>
      </w:r>
      <w:r>
        <w:t xml:space="preserve"> </w:t>
      </w:r>
      <w:r>
        <w:t xml:space="preserve">Accessed February 17, 2023.</w:t>
      </w:r>
      <w:r>
        <w:t xml:space="preserve"> </w:t>
      </w:r>
      <w:hyperlink r:id="rId667">
        <w:r>
          <w:rPr>
            <w:rStyle w:val="Hyperlink"/>
          </w:rPr>
          <w:t xml:space="preserve">https://support.microsoft.com/en-us/office/restrictions-and-limitations-in-onedrive-and-sharepoint-64883a5d-228e-48f5-b3d2-eb39e07630fa</w:t>
        </w:r>
      </w:hyperlink>
      <w:r>
        <w:t xml:space="preserve">.</w:t>
      </w:r>
    </w:p>
    <w:bookmarkEnd w:id="668"/>
    <w:bookmarkStart w:id="670" w:name="ref-midgley_manual_2000"/>
    <w:p>
      <w:pPr>
        <w:pStyle w:val="Bibliography"/>
      </w:pPr>
      <w:r>
        <w:t xml:space="preserve">Midgley, Carol. 2000.</w:t>
      </w:r>
      <w:r>
        <w:t xml:space="preserve"> </w:t>
      </w:r>
      <w:r>
        <w:t xml:space="preserve">“Manual for the</w:t>
      </w:r>
      <w:r>
        <w:t xml:space="preserve"> </w:t>
      </w:r>
      <w:r>
        <w:t xml:space="preserve">Patterns</w:t>
      </w:r>
      <w:r>
        <w:t xml:space="preserve"> </w:t>
      </w:r>
      <w:r>
        <w:t xml:space="preserve">of</w:t>
      </w:r>
      <w:r>
        <w:t xml:space="preserve"> </w:t>
      </w:r>
      <w:r>
        <w:t xml:space="preserve">Adaptive</w:t>
      </w:r>
      <w:r>
        <w:t xml:space="preserve"> </w:t>
      </w:r>
      <w:r>
        <w:t xml:space="preserve">Learning</w:t>
      </w:r>
      <w:r>
        <w:t xml:space="preserve"> </w:t>
      </w:r>
      <w:r>
        <w:t xml:space="preserve">Scales</w:t>
      </w:r>
      <w:r>
        <w:t xml:space="preserve">.”</w:t>
      </w:r>
      <w:r>
        <w:t xml:space="preserve"> </w:t>
      </w:r>
      <w:hyperlink r:id="rId669">
        <w:r>
          <w:rPr>
            <w:rStyle w:val="Hyperlink"/>
          </w:rPr>
          <w:t xml:space="preserve">http://websites.umich.edu/~pals/PALS%202000_V13Word97.pdf</w:t>
        </w:r>
      </w:hyperlink>
      <w:r>
        <w:t xml:space="preserve">.</w:t>
      </w:r>
    </w:p>
    <w:bookmarkEnd w:id="670"/>
    <w:bookmarkStart w:id="672" w:name="ref-nahmias_effects_2022"/>
    <w:p>
      <w:pPr>
        <w:pStyle w:val="Bibliography"/>
      </w:pPr>
      <w:r>
        <w:t xml:space="preserve">Nahmias, Allison S., Samantha Crabbe, Steven C. Marcus, and David S. Mandell. 2022.</w:t>
      </w:r>
      <w:r>
        <w:t xml:space="preserve"> </w:t>
      </w:r>
      <w:r>
        <w:t xml:space="preserve">“The</w:t>
      </w:r>
      <w:r>
        <w:t xml:space="preserve"> </w:t>
      </w:r>
      <w:r>
        <w:t xml:space="preserve">Effects</w:t>
      </w:r>
      <w:r>
        <w:t xml:space="preserve"> </w:t>
      </w:r>
      <w:r>
        <w:t xml:space="preserve">of</w:t>
      </w:r>
      <w:r>
        <w:t xml:space="preserve"> </w:t>
      </w:r>
      <w:r>
        <w:t xml:space="preserve">Community</w:t>
      </w:r>
      <w:r>
        <w:t xml:space="preserve"> </w:t>
      </w:r>
      <w:r>
        <w:t xml:space="preserve">Preschool</w:t>
      </w:r>
      <w:r>
        <w:t xml:space="preserve"> </w:t>
      </w:r>
      <w:r>
        <w:t xml:space="preserve">Characteristics</w:t>
      </w:r>
      <w:r>
        <w:t xml:space="preserve"> </w:t>
      </w:r>
      <w:r>
        <w:t xml:space="preserve">on</w:t>
      </w:r>
      <w:r>
        <w:t xml:space="preserve"> </w:t>
      </w:r>
      <w:r>
        <w:t xml:space="preserve">Developmental</w:t>
      </w:r>
      <w:r>
        <w:t xml:space="preserve"> </w:t>
      </w:r>
      <w:r>
        <w:t xml:space="preserve">Outcomes</w:t>
      </w:r>
      <w:r>
        <w:t xml:space="preserve"> </w:t>
      </w:r>
      <w:r>
        <w:t xml:space="preserve">for</w:t>
      </w:r>
      <w:r>
        <w:t xml:space="preserve"> </w:t>
      </w:r>
      <w:r>
        <w:t xml:space="preserve">Students</w:t>
      </w:r>
      <w:r>
        <w:t xml:space="preserve"> </w:t>
      </w:r>
      <w:r>
        <w:t xml:space="preserve">With</w:t>
      </w:r>
      <w:r>
        <w:t xml:space="preserve"> </w:t>
      </w:r>
      <w:r>
        <w:t xml:space="preserve">Autism</w:t>
      </w:r>
      <w:r>
        <w:t xml:space="preserve"> </w:t>
      </w:r>
      <w:r>
        <w:t xml:space="preserve">Spectrum</w:t>
      </w:r>
      <w:r>
        <w:t xml:space="preserve"> </w:t>
      </w:r>
      <w:r>
        <w:t xml:space="preserve">Disorder</w:t>
      </w:r>
      <w:r>
        <w:t xml:space="preserve">.”</w:t>
      </w:r>
      <w:r>
        <w:t xml:space="preserve"> </w:t>
      </w:r>
      <w:r>
        <w:rPr>
          <w:iCs/>
          <w:i/>
        </w:rPr>
        <w:t xml:space="preserve">Focus on Autism and Other Developmental Disabilities</w:t>
      </w:r>
      <w:r>
        <w:t xml:space="preserve">, November, 108835762211334.</w:t>
      </w:r>
      <w:r>
        <w:t xml:space="preserve"> </w:t>
      </w:r>
      <w:hyperlink r:id="rId671">
        <w:r>
          <w:rPr>
            <w:rStyle w:val="Hyperlink"/>
          </w:rPr>
          <w:t xml:space="preserve">https://doi.org/10.1177/10883576221133495</w:t>
        </w:r>
      </w:hyperlink>
      <w:r>
        <w:t xml:space="preserve">.</w:t>
      </w:r>
    </w:p>
    <w:bookmarkEnd w:id="672"/>
    <w:bookmarkStart w:id="674" w:name="Xe2eee4d1f7bd27c87dd0af04aef59311d284e11"/>
    <w:p>
      <w:pPr>
        <w:pStyle w:val="Bibliography"/>
      </w:pPr>
      <w:r>
        <w:t xml:space="preserve">National Center for Education Statistics. n.d.</w:t>
      </w:r>
      <w:r>
        <w:t xml:space="preserve"> </w:t>
      </w:r>
      <w:r>
        <w:t xml:space="preserve">“Memoranda of</w:t>
      </w:r>
      <w:r>
        <w:t xml:space="preserve"> </w:t>
      </w:r>
      <w:r>
        <w:t xml:space="preserve">Understand</w:t>
      </w:r>
      <w:r>
        <w:t xml:space="preserve"> </w:t>
      </w:r>
      <w:r>
        <w:t xml:space="preserve">and</w:t>
      </w:r>
      <w:r>
        <w:t xml:space="preserve"> </w:t>
      </w:r>
      <w:r>
        <w:t xml:space="preserve">Other</w:t>
      </w:r>
      <w:r>
        <w:t xml:space="preserve"> </w:t>
      </w:r>
      <w:r>
        <w:t xml:space="preserve">Data</w:t>
      </w:r>
      <w:r>
        <w:t xml:space="preserve"> </w:t>
      </w:r>
      <w:r>
        <w:t xml:space="preserve">Use</w:t>
      </w:r>
      <w:r>
        <w:t xml:space="preserve"> </w:t>
      </w:r>
      <w:r>
        <w:t xml:space="preserve">Agreements</w:t>
      </w:r>
      <w:r>
        <w:t xml:space="preserve">.”</w:t>
      </w:r>
      <w:r>
        <w:t xml:space="preserve"> </w:t>
      </w:r>
      <w:r>
        <w:t xml:space="preserve">Accessed April 25, 2023.</w:t>
      </w:r>
      <w:r>
        <w:t xml:space="preserve"> </w:t>
      </w:r>
      <w:hyperlink r:id="rId673">
        <w:r>
          <w:rPr>
            <w:rStyle w:val="Hyperlink"/>
          </w:rPr>
          <w:t xml:space="preserve">https://nces.ed.gov/forum/dataethicscourse/additional-materials/memoranda-of-understanding.pdf</w:t>
        </w:r>
      </w:hyperlink>
      <w:r>
        <w:t xml:space="preserve">.</w:t>
      </w:r>
    </w:p>
    <w:bookmarkEnd w:id="674"/>
    <w:bookmarkStart w:id="676" w:name="X1cb4205e5746fef71f91a14f0ad11dbdf9b12b7"/>
    <w:p>
      <w:pPr>
        <w:pStyle w:val="Bibliography"/>
      </w:pPr>
      <w:r>
        <w:t xml:space="preserve">National Endowment for the Humanities. 2018.</w:t>
      </w:r>
      <w:r>
        <w:t xml:space="preserve"> </w:t>
      </w:r>
      <w:r>
        <w:t xml:space="preserve">“Data</w:t>
      </w:r>
      <w:r>
        <w:t xml:space="preserve"> </w:t>
      </w:r>
      <w:r>
        <w:t xml:space="preserve">Managment</w:t>
      </w:r>
      <w:r>
        <w:t xml:space="preserve"> </w:t>
      </w:r>
      <w:r>
        <w:t xml:space="preserve">Plans</w:t>
      </w:r>
      <w:r>
        <w:t xml:space="preserve"> </w:t>
      </w:r>
      <w:r>
        <w:t xml:space="preserve">for</w:t>
      </w:r>
      <w:r>
        <w:t xml:space="preserve"> </w:t>
      </w:r>
      <w:r>
        <w:t xml:space="preserve">NEH</w:t>
      </w:r>
      <w:r>
        <w:t xml:space="preserve"> </w:t>
      </w:r>
      <w:r>
        <w:t xml:space="preserve">Office</w:t>
      </w:r>
      <w:r>
        <w:t xml:space="preserve"> </w:t>
      </w:r>
      <w:r>
        <w:t xml:space="preserve">of</w:t>
      </w:r>
      <w:r>
        <w:t xml:space="preserve"> </w:t>
      </w:r>
      <w:r>
        <w:t xml:space="preserve">Digital</w:t>
      </w:r>
      <w:r>
        <w:t xml:space="preserve"> </w:t>
      </w:r>
      <w:r>
        <w:t xml:space="preserve">Humanities</w:t>
      </w:r>
      <w:r>
        <w:t xml:space="preserve"> </w:t>
      </w:r>
      <w:r>
        <w:t xml:space="preserve">Proposals</w:t>
      </w:r>
      <w:r>
        <w:t xml:space="preserve"> </w:t>
      </w:r>
      <w:r>
        <w:t xml:space="preserve">and</w:t>
      </w:r>
      <w:r>
        <w:t xml:space="preserve"> </w:t>
      </w:r>
      <w:r>
        <w:t xml:space="preserve">Awards</w:t>
      </w:r>
      <w:r>
        <w:t xml:space="preserve">.”</w:t>
      </w:r>
      <w:r>
        <w:t xml:space="preserve"> </w:t>
      </w:r>
      <w:hyperlink r:id="rId675">
        <w:r>
          <w:rPr>
            <w:rStyle w:val="Hyperlink"/>
          </w:rPr>
          <w:t xml:space="preserve">https://www.neh.gov/sites/default/files/2018-06/data_management_plans_2018.pdf</w:t>
        </w:r>
      </w:hyperlink>
      <w:r>
        <w:t xml:space="preserve">.</w:t>
      </w:r>
    </w:p>
    <w:bookmarkEnd w:id="676"/>
    <w:bookmarkStart w:id="678" w:name="Xe01abb322d5a2a574620ca90cee12a2386fae73"/>
    <w:p>
      <w:pPr>
        <w:pStyle w:val="Bibliography"/>
      </w:pPr>
      <w:r>
        <w:t xml:space="preserve">National Institute of Justice. 2007.</w:t>
      </w:r>
      <w:r>
        <w:t xml:space="preserve"> </w:t>
      </w:r>
      <w:r>
        <w:t xml:space="preserve">“The "</w:t>
      </w:r>
      <w:r>
        <w:t xml:space="preserve">Common</w:t>
      </w:r>
      <w:r>
        <w:t xml:space="preserve"> </w:t>
      </w:r>
      <w:r>
        <w:t xml:space="preserve">Rule</w:t>
      </w:r>
      <w:r>
        <w:t xml:space="preserve">".”</w:t>
      </w:r>
      <w:r>
        <w:t xml:space="preserve"> </w:t>
      </w:r>
      <w:hyperlink r:id="rId677">
        <w:r>
          <w:rPr>
            <w:rStyle w:val="Hyperlink"/>
          </w:rPr>
          <w:t xml:space="preserve">https://nij.ojp.gov/funding/common-rule</w:t>
        </w:r>
      </w:hyperlink>
      <w:r>
        <w:t xml:space="preserve">.</w:t>
      </w:r>
    </w:p>
    <w:bookmarkEnd w:id="678"/>
    <w:bookmarkStart w:id="680" w:name="Xab5cc513ee7ce8da7e60613dbaa07a423b0f5dd"/>
    <w:p>
      <w:pPr>
        <w:pStyle w:val="Bibliography"/>
      </w:pPr>
      <w:r>
        <w:t xml:space="preserve">National Institutes of Health. n.d.a.</w:t>
      </w:r>
      <w:r>
        <w:t xml:space="preserve"> </w:t>
      </w:r>
      <w:r>
        <w:t xml:space="preserve">“Budgeting for</w:t>
      </w:r>
      <w:r>
        <w:t xml:space="preserve"> </w:t>
      </w:r>
      <w:r>
        <w:t xml:space="preserve">Data</w:t>
      </w:r>
      <w:r>
        <w:t xml:space="preserve"> </w:t>
      </w:r>
      <w:r>
        <w:t xml:space="preserve">Management</w:t>
      </w:r>
      <w:r>
        <w:t xml:space="preserve"> </w:t>
      </w:r>
      <w:r>
        <w:t xml:space="preserve">&amp;</w:t>
      </w:r>
      <w:r>
        <w:t xml:space="preserve"> </w:t>
      </w:r>
      <w:r>
        <w:t xml:space="preserve">Sharing</w:t>
      </w:r>
      <w:r>
        <w:t xml:space="preserve"> </w:t>
      </w:r>
      <w:r>
        <w:t xml:space="preserve"> </w:t>
      </w:r>
      <w:r>
        <w:t xml:space="preserve">Data</w:t>
      </w:r>
      <w:r>
        <w:t xml:space="preserve"> </w:t>
      </w:r>
      <w:r>
        <w:t xml:space="preserve">Sharing</w:t>
      </w:r>
      <w:r>
        <w:t xml:space="preserve">.”</w:t>
      </w:r>
      <w:r>
        <w:t xml:space="preserve"> </w:t>
      </w:r>
      <w:r>
        <w:t xml:space="preserve">Accessed January 11, 2023.</w:t>
      </w:r>
      <w:r>
        <w:t xml:space="preserve"> </w:t>
      </w:r>
      <w:hyperlink r:id="rId679">
        <w:r>
          <w:rPr>
            <w:rStyle w:val="Hyperlink"/>
          </w:rPr>
          <w:t xml:space="preserve">https://sharing.nih.gov/data-management-and-sharing-policy/planning-and-budgeting-for-data-management-and-sharing/budgeting-for-data-management-sharing#after</w:t>
        </w:r>
      </w:hyperlink>
      <w:r>
        <w:t xml:space="preserve">.</w:t>
      </w:r>
    </w:p>
    <w:bookmarkEnd w:id="680"/>
    <w:bookmarkStart w:id="682" w:name="Xbb5690b3da223e7a09e9f9ea20d8095d382702f"/>
    <w:p>
      <w:pPr>
        <w:pStyle w:val="Bibliography"/>
      </w:pPr>
      <w:r>
        <w:t xml:space="preserve">———. n.d.b.</w:t>
      </w:r>
      <w:r>
        <w:t xml:space="preserve"> </w:t>
      </w:r>
      <w:r>
        <w:t xml:space="preserve">“Data</w:t>
      </w:r>
      <w:r>
        <w:t xml:space="preserve"> </w:t>
      </w:r>
      <w:r>
        <w:t xml:space="preserve">Management</w:t>
      </w:r>
      <w:r>
        <w:t xml:space="preserve"> </w:t>
      </w:r>
      <w:r>
        <w:t xml:space="preserve">&amp;</w:t>
      </w:r>
      <w:r>
        <w:t xml:space="preserve"> </w:t>
      </w:r>
      <w:r>
        <w:t xml:space="preserve">Sharing</w:t>
      </w:r>
      <w:r>
        <w:t xml:space="preserve"> </w:t>
      </w:r>
      <w:r>
        <w:t xml:space="preserve">Policy</w:t>
      </w:r>
      <w:r>
        <w:t xml:space="preserve"> </w:t>
      </w:r>
      <w:r>
        <w:t xml:space="preserve">Overview</w:t>
      </w:r>
      <w:r>
        <w:t xml:space="preserve"> </w:t>
      </w:r>
      <w:r>
        <w:t xml:space="preserve"> </w:t>
      </w:r>
      <w:r>
        <w:t xml:space="preserve">Data</w:t>
      </w:r>
      <w:r>
        <w:t xml:space="preserve"> </w:t>
      </w:r>
      <w:r>
        <w:t xml:space="preserve">Sharing</w:t>
      </w:r>
      <w:r>
        <w:t xml:space="preserve">.”</w:t>
      </w:r>
      <w:r>
        <w:t xml:space="preserve"> </w:t>
      </w:r>
      <w:r>
        <w:t xml:space="preserve">Accessed March 13, 2023.</w:t>
      </w:r>
      <w:r>
        <w:t xml:space="preserve"> </w:t>
      </w:r>
      <w:hyperlink r:id="rId681">
        <w:r>
          <w:rPr>
            <w:rStyle w:val="Hyperlink"/>
          </w:rPr>
          <w:t xml:space="preserve">https://sharing.nih.gov/data-management-and-sharing-policy/about-data-management-and-sharing-policies/data-management-and-sharing-policy-overview</w:t>
        </w:r>
      </w:hyperlink>
      <w:r>
        <w:t xml:space="preserve">.</w:t>
      </w:r>
    </w:p>
    <w:bookmarkEnd w:id="682"/>
    <w:bookmarkStart w:id="684" w:name="ref-neild_sharing_2022"/>
    <w:p>
      <w:pPr>
        <w:pStyle w:val="Bibliography"/>
      </w:pPr>
      <w:r>
        <w:t xml:space="preserve">Neild, R. C., D. Robinson, and J. Agufa. 2022.</w:t>
      </w:r>
      <w:r>
        <w:t xml:space="preserve"> </w:t>
      </w:r>
      <w:r>
        <w:t xml:space="preserve">“Sharing</w:t>
      </w:r>
      <w:r>
        <w:t xml:space="preserve"> </w:t>
      </w:r>
      <w:r>
        <w:t xml:space="preserve">Study</w:t>
      </w:r>
      <w:r>
        <w:t xml:space="preserve"> </w:t>
      </w:r>
      <w:r>
        <w:t xml:space="preserve">Data</w:t>
      </w:r>
      <w:r>
        <w:t xml:space="preserve">:</w:t>
      </w:r>
      <w:r>
        <w:t xml:space="preserve"> </w:t>
      </w:r>
      <w:r>
        <w:t xml:space="preserve">A</w:t>
      </w:r>
      <w:r>
        <w:t xml:space="preserve"> </w:t>
      </w:r>
      <w:r>
        <w:t xml:space="preserve">Guide</w:t>
      </w:r>
      <w:r>
        <w:t xml:space="preserve"> </w:t>
      </w:r>
      <w:r>
        <w:t xml:space="preserve">for</w:t>
      </w:r>
      <w:r>
        <w:t xml:space="preserve"> </w:t>
      </w:r>
      <w:r>
        <w:t xml:space="preserve">Education</w:t>
      </w:r>
      <w:r>
        <w:t xml:space="preserve"> </w:t>
      </w:r>
      <w:r>
        <w:t xml:space="preserve">Researchers</w:t>
      </w:r>
      <w:r>
        <w:t xml:space="preserve">.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w:t>
      </w:r>
      <w:hyperlink r:id="rId683">
        <w:r>
          <w:rPr>
            <w:rStyle w:val="Hyperlink"/>
          </w:rPr>
          <w:t xml:space="preserve">https://ies.ed.gov/ncee/pubs/2022004/pdf/2022004.pdf</w:t>
        </w:r>
      </w:hyperlink>
      <w:r>
        <w:t xml:space="preserve">.</w:t>
      </w:r>
    </w:p>
    <w:bookmarkEnd w:id="684"/>
    <w:bookmarkStart w:id="686" w:name="ref-nelson_ostp_2022"/>
    <w:p>
      <w:pPr>
        <w:pStyle w:val="Bibliography"/>
      </w:pPr>
      <w:r>
        <w:t xml:space="preserve">Nelson, Alondra. 2022.</w:t>
      </w:r>
      <w:r>
        <w:t xml:space="preserve"> </w:t>
      </w:r>
      <w:r>
        <w:t xml:space="preserve">“</w:t>
      </w:r>
      <w:r>
        <w:t xml:space="preserve">OSTP</w:t>
      </w:r>
      <w:r>
        <w:t xml:space="preserve"> </w:t>
      </w:r>
      <w:r>
        <w:t xml:space="preserve">Memo</w:t>
      </w:r>
      <w:r>
        <w:t xml:space="preserve">: "</w:t>
      </w:r>
      <w:r>
        <w:t xml:space="preserve">Ensuring</w:t>
      </w:r>
      <w:r>
        <w:t xml:space="preserve"> </w:t>
      </w:r>
      <w:r>
        <w:t xml:space="preserve">Free</w:t>
      </w:r>
      <w:r>
        <w:t xml:space="preserve">,</w:t>
      </w:r>
      <w:r>
        <w:t xml:space="preserve"> </w:t>
      </w:r>
      <w:r>
        <w:t xml:space="preserve">Immediate</w:t>
      </w:r>
      <w:r>
        <w:t xml:space="preserve">, and</w:t>
      </w:r>
      <w:r>
        <w:t xml:space="preserve"> </w:t>
      </w:r>
      <w:r>
        <w:t xml:space="preserve">Equitable</w:t>
      </w:r>
      <w:r>
        <w:t xml:space="preserve"> </w:t>
      </w:r>
      <w:r>
        <w:t xml:space="preserve">Access</w:t>
      </w:r>
      <w:r>
        <w:t xml:space="preserve"> </w:t>
      </w:r>
      <w:r>
        <w:t xml:space="preserve">to</w:t>
      </w:r>
      <w:r>
        <w:t xml:space="preserve"> </w:t>
      </w:r>
      <w:r>
        <w:t xml:space="preserve">Federally</w:t>
      </w:r>
      <w:r>
        <w:t xml:space="preserve"> </w:t>
      </w:r>
      <w:r>
        <w:t xml:space="preserve">Funded</w:t>
      </w:r>
      <w:r>
        <w:t xml:space="preserve"> </w:t>
      </w:r>
      <w:r>
        <w:t xml:space="preserve">Research</w:t>
      </w:r>
      <w:r>
        <w:t xml:space="preserve">.”</w:t>
      </w:r>
      <w:r>
        <w:t xml:space="preserve"> </w:t>
      </w:r>
      <w:hyperlink r:id="rId685">
        <w:r>
          <w:rPr>
            <w:rStyle w:val="Hyperlink"/>
          </w:rPr>
          <w:t xml:space="preserve">https://www.whitehouse.gov/wp-content/uploads/2022/08/08-2022-OSTP-Public-Access-Memo.pdf</w:t>
        </w:r>
      </w:hyperlink>
      <w:r>
        <w:t xml:space="preserve">.</w:t>
      </w:r>
    </w:p>
    <w:bookmarkEnd w:id="686"/>
    <w:bookmarkStart w:id="688" w:name="ref-nguyen_relational_2017"/>
    <w:p>
      <w:pPr>
        <w:pStyle w:val="Bibliography"/>
      </w:pPr>
      <w:r>
        <w:t xml:space="preserve">Nguyen, Kim. 2017.</w:t>
      </w:r>
      <w:r>
        <w:t xml:space="preserve"> </w:t>
      </w:r>
      <w:r>
        <w:t xml:space="preserve">“Relational</w:t>
      </w:r>
      <w:r>
        <w:t xml:space="preserve"> </w:t>
      </w:r>
      <w:r>
        <w:t xml:space="preserve">Database</w:t>
      </w:r>
      <w:r>
        <w:t xml:space="preserve"> </w:t>
      </w:r>
      <w:r>
        <w:t xml:space="preserve">Schema</w:t>
      </w:r>
      <w:r>
        <w:t xml:space="preserve"> </w:t>
      </w:r>
      <w:r>
        <w:t xml:space="preserve">Design</w:t>
      </w:r>
      <w:r>
        <w:t xml:space="preserve"> </w:t>
      </w:r>
      <w:r>
        <w:t xml:space="preserve">Overview</w:t>
      </w:r>
      <w:r>
        <w:t xml:space="preserve">.”</w:t>
      </w:r>
      <w:r>
        <w:t xml:space="preserve"> </w:t>
      </w:r>
      <w:r>
        <w:rPr>
          <w:iCs/>
          <w:i/>
        </w:rPr>
        <w:t xml:space="preserve">Medium</w:t>
      </w:r>
      <w:r>
        <w:t xml:space="preserve">.</w:t>
      </w:r>
      <w:r>
        <w:t xml:space="preserve"> </w:t>
      </w:r>
      <w:hyperlink r:id="rId687">
        <w:r>
          <w:rPr>
            <w:rStyle w:val="Hyperlink"/>
          </w:rPr>
          <w:t xml:space="preserve">https://medium.com/@kimtnguyen/relational-database-schema-design-overview-70e447ff66f9</w:t>
        </w:r>
      </w:hyperlink>
      <w:r>
        <w:t xml:space="preserve">.</w:t>
      </w:r>
    </w:p>
    <w:bookmarkEnd w:id="688"/>
    <w:bookmarkStart w:id="690" w:name="ref-nichols_hess_advancing_2017"/>
    <w:p>
      <w:pPr>
        <w:pStyle w:val="Bibliography"/>
      </w:pPr>
      <w:r>
        <w:t xml:space="preserve">Nichols Hess, Amanda, and Joanna Thielen. 2017.</w:t>
      </w:r>
      <w:r>
        <w:t xml:space="preserve"> </w:t>
      </w:r>
      <w:r>
        <w:t xml:space="preserve">“Advancing Research Data Management in the Social Sciences:</w:t>
      </w:r>
      <w:r>
        <w:t xml:space="preserve"> </w:t>
      </w:r>
      <w:r>
        <w:t xml:space="preserve">Implementing</w:t>
      </w:r>
      <w:r>
        <w:t xml:space="preserve"> </w:t>
      </w:r>
      <w:r>
        <w:t xml:space="preserve">Instruction for Education Graduate Students into a Doctoral Curriculum.”</w:t>
      </w:r>
      <w:r>
        <w:t xml:space="preserve"> </w:t>
      </w:r>
      <w:hyperlink r:id="rId689">
        <w:r>
          <w:rPr>
            <w:rStyle w:val="Hyperlink"/>
          </w:rPr>
          <w:t xml:space="preserve">https://our.oakland.edu/handle/10323/6893</w:t>
        </w:r>
      </w:hyperlink>
      <w:r>
        <w:t xml:space="preserve">.</w:t>
      </w:r>
    </w:p>
    <w:bookmarkEnd w:id="690"/>
    <w:bookmarkStart w:id="692" w:name="X91a7968a5e890750589105e8c763fa217748bc4"/>
    <w:p>
      <w:pPr>
        <w:pStyle w:val="Bibliography"/>
      </w:pPr>
      <w:r>
        <w:t xml:space="preserve">Northern Illinois University. n.d.</w:t>
      </w:r>
      <w:r>
        <w:t xml:space="preserve"> </w:t>
      </w:r>
      <w:r>
        <w:t xml:space="preserve">“Data</w:t>
      </w:r>
      <w:r>
        <w:t xml:space="preserve"> </w:t>
      </w:r>
      <w:r>
        <w:t xml:space="preserve">Collection</w:t>
      </w:r>
      <w:r>
        <w:t xml:space="preserve">.”</w:t>
      </w:r>
      <w:r>
        <w:t xml:space="preserve"> </w:t>
      </w:r>
      <w:r>
        <w:t xml:space="preserve">Accessed April 27, 2023.</w:t>
      </w:r>
      <w:r>
        <w:t xml:space="preserve"> </w:t>
      </w:r>
      <w:hyperlink r:id="rId691">
        <w:r>
          <w:rPr>
            <w:rStyle w:val="Hyperlink"/>
          </w:rPr>
          <w:t xml:space="preserve">https://ori.hhs.gov/education/products/n_illinois_u/datamanagement/dctopic.html</w:t>
        </w:r>
      </w:hyperlink>
      <w:r>
        <w:t xml:space="preserve">.</w:t>
      </w:r>
    </w:p>
    <w:bookmarkEnd w:id="692"/>
    <w:bookmarkStart w:id="694" w:name="Xcf7d2b239fec6ccc39c5020aff75f7e6e3d2c18"/>
    <w:p>
      <w:pPr>
        <w:pStyle w:val="Bibliography"/>
      </w:pPr>
      <w:r>
        <w:t xml:space="preserve">Northwestern University. n.d.</w:t>
      </w:r>
      <w:r>
        <w:t xml:space="preserve"> </w:t>
      </w:r>
      <w:r>
        <w:t xml:space="preserve">“Exempt</w:t>
      </w:r>
      <w:r>
        <w:t xml:space="preserve"> </w:t>
      </w:r>
      <w:r>
        <w:t xml:space="preserve">Review</w:t>
      </w:r>
      <w:r>
        <w:t xml:space="preserve">.”</w:t>
      </w:r>
      <w:r>
        <w:t xml:space="preserve"> </w:t>
      </w:r>
      <w:r>
        <w:t xml:space="preserve">Accessed April 27, 2023.</w:t>
      </w:r>
      <w:r>
        <w:t xml:space="preserve"> </w:t>
      </w:r>
      <w:hyperlink r:id="rId693">
        <w:r>
          <w:rPr>
            <w:rStyle w:val="Hyperlink"/>
          </w:rPr>
          <w:t xml:space="preserve">https://irb.northwestern.edu/submitting-to-the-irb/types-of-reviews/exempt-review.html</w:t>
        </w:r>
      </w:hyperlink>
      <w:r>
        <w:t xml:space="preserve">.</w:t>
      </w:r>
    </w:p>
    <w:bookmarkEnd w:id="694"/>
    <w:bookmarkStart w:id="696" w:name="ref-nucats_standard_nodate"/>
    <w:p>
      <w:pPr>
        <w:pStyle w:val="Bibliography"/>
      </w:pPr>
      <w:r>
        <w:t xml:space="preserve">NUCATS. n.d.</w:t>
      </w:r>
      <w:r>
        <w:t xml:space="preserve"> </w:t>
      </w:r>
      <w:r>
        <w:t xml:space="preserve">“Standard</w:t>
      </w:r>
      <w:r>
        <w:t xml:space="preserve"> </w:t>
      </w:r>
      <w:r>
        <w:t xml:space="preserve">Operating</w:t>
      </w:r>
      <w:r>
        <w:t xml:space="preserve"> </w:t>
      </w:r>
      <w:r>
        <w:t xml:space="preserve">Procedures</w:t>
      </w:r>
      <w:r>
        <w:t xml:space="preserve"> </w:t>
      </w:r>
      <w:r>
        <w:t xml:space="preserve">(</w:t>
      </w:r>
      <w:r>
        <w:t xml:space="preserve">SOPs</w:t>
      </w:r>
      <w:r>
        <w:t xml:space="preserve">).”</w:t>
      </w:r>
      <w:r>
        <w:t xml:space="preserve"> </w:t>
      </w:r>
      <w:r>
        <w:t xml:space="preserve">Accessed January 13, 2023.</w:t>
      </w:r>
      <w:r>
        <w:t xml:space="preserve"> </w:t>
      </w:r>
      <w:hyperlink r:id="rId695">
        <w:r>
          <w:rPr>
            <w:rStyle w:val="Hyperlink"/>
          </w:rPr>
          <w:t xml:space="preserve">https://www.nucats.northwestern.edu/docs/cecd/overview-of-sops.pdf</w:t>
        </w:r>
      </w:hyperlink>
      <w:r>
        <w:t xml:space="preserve">.</w:t>
      </w:r>
    </w:p>
    <w:bookmarkEnd w:id="696"/>
    <w:bookmarkStart w:id="698" w:name="X8d536304c081b49faff10847448613960f4de37"/>
    <w:p>
      <w:pPr>
        <w:pStyle w:val="Bibliography"/>
      </w:pPr>
      <w:r>
        <w:t xml:space="preserve">Office for Human Research. 2009.</w:t>
      </w:r>
      <w:r>
        <w:t xml:space="preserve"> </w:t>
      </w:r>
      <w:r>
        <w:t xml:space="preserve">“Federal</w:t>
      </w:r>
      <w:r>
        <w:t xml:space="preserve"> </w:t>
      </w:r>
      <w:r>
        <w:t xml:space="preserve">Policy</w:t>
      </w:r>
      <w:r>
        <w:t xml:space="preserve"> </w:t>
      </w:r>
      <w:r>
        <w:t xml:space="preserve">for the</w:t>
      </w:r>
      <w:r>
        <w:t xml:space="preserve"> </w:t>
      </w:r>
      <w:r>
        <w:t xml:space="preserve">Protection</w:t>
      </w:r>
      <w:r>
        <w:t xml:space="preserve"> </w:t>
      </w:r>
      <w:r>
        <w:t xml:space="preserve">of</w:t>
      </w:r>
      <w:r>
        <w:t xml:space="preserve"> </w:t>
      </w:r>
      <w:r>
        <w:t xml:space="preserve">Human</w:t>
      </w:r>
      <w:r>
        <w:t xml:space="preserve"> </w:t>
      </w:r>
      <w:r>
        <w:t xml:space="preserve">Subjects</w:t>
      </w:r>
      <w:r>
        <w:t xml:space="preserve"> </w:t>
      </w:r>
      <w:r>
        <w:t xml:space="preserve">(’</w:t>
      </w:r>
      <w:r>
        <w:t xml:space="preserve">Common</w:t>
      </w:r>
      <w:r>
        <w:t xml:space="preserve"> </w:t>
      </w:r>
      <w:r>
        <w:t xml:space="preserve">Rule</w:t>
      </w:r>
      <w:r>
        <w:t xml:space="preserve">’).”</w:t>
      </w:r>
      <w:r>
        <w:t xml:space="preserve"> </w:t>
      </w:r>
      <w:r>
        <w:t xml:space="preserve">Text.</w:t>
      </w:r>
      <w:r>
        <w:t xml:space="preserve"> </w:t>
      </w:r>
      <w:r>
        <w:rPr>
          <w:iCs/>
          <w:i/>
        </w:rPr>
        <w:t xml:space="preserve">HHS.gov</w:t>
      </w:r>
      <w:r>
        <w:t xml:space="preserve">.</w:t>
      </w:r>
      <w:r>
        <w:t xml:space="preserve"> </w:t>
      </w:r>
      <w:hyperlink r:id="rId697">
        <w:r>
          <w:rPr>
            <w:rStyle w:val="Hyperlink"/>
          </w:rPr>
          <w:t xml:space="preserve">https://www.hhs.gov/ohrp/regulations-and-policy/regulations/common-rule/index.html</w:t>
        </w:r>
      </w:hyperlink>
      <w:r>
        <w:t xml:space="preserve">.</w:t>
      </w:r>
    </w:p>
    <w:bookmarkEnd w:id="698"/>
    <w:bookmarkStart w:id="700" w:name="Xa3023eb90d3fb752caa2d085e739baeeef35364"/>
    <w:p>
      <w:pPr>
        <w:pStyle w:val="Bibliography"/>
      </w:pPr>
      <w:r>
        <w:t xml:space="preserve">Office for Human Research Office for Human Research. 2018.</w:t>
      </w:r>
      <w:r>
        <w:t xml:space="preserve"> </w:t>
      </w:r>
      <w:r>
        <w:t xml:space="preserve">“Revised</w:t>
      </w:r>
      <w:r>
        <w:t xml:space="preserve"> </w:t>
      </w:r>
      <w:r>
        <w:t xml:space="preserve">Common</w:t>
      </w:r>
      <w:r>
        <w:t xml:space="preserve"> </w:t>
      </w:r>
      <w:r>
        <w:t xml:space="preserve">Rule</w:t>
      </w:r>
      <w:r>
        <w:t xml:space="preserve"> </w:t>
      </w:r>
      <w:r>
        <w:t xml:space="preserve">Q</w:t>
      </w:r>
      <w:r>
        <w:t xml:space="preserve">&amp;</w:t>
      </w:r>
      <w:r>
        <w:t xml:space="preserve">As</w:t>
      </w:r>
      <w:r>
        <w:t xml:space="preserve">.”</w:t>
      </w:r>
      <w:r>
        <w:t xml:space="preserve"> </w:t>
      </w:r>
      <w:r>
        <w:t xml:space="preserve">Text.</w:t>
      </w:r>
      <w:r>
        <w:t xml:space="preserve"> </w:t>
      </w:r>
      <w:r>
        <w:rPr>
          <w:iCs/>
          <w:i/>
        </w:rPr>
        <w:t xml:space="preserve">HHS.gov</w:t>
      </w:r>
      <w:r>
        <w:t xml:space="preserve">.</w:t>
      </w:r>
      <w:r>
        <w:t xml:space="preserve"> </w:t>
      </w:r>
      <w:hyperlink r:id="rId699">
        <w:r>
          <w:rPr>
            <w:rStyle w:val="Hyperlink"/>
          </w:rPr>
          <w:t xml:space="preserve">https://www.hhs.gov/ohrp/education-and-outreach/revised-common-rule/revised-common-rule-q-and-a/index.html</w:t>
        </w:r>
      </w:hyperlink>
      <w:r>
        <w:t xml:space="preserve">.</w:t>
      </w:r>
    </w:p>
    <w:bookmarkEnd w:id="700"/>
    <w:bookmarkStart w:id="702" w:name="X746f052673391e3efcffee8cf6eb7552e89fc1b"/>
    <w:p>
      <w:pPr>
        <w:pStyle w:val="Bibliography"/>
      </w:pPr>
      <w:r>
        <w:t xml:space="preserve">Office for Human Research Office for Human Research Protections. 2018.</w:t>
      </w:r>
      <w:r>
        <w:t xml:space="preserve"> </w:t>
      </w:r>
      <w:r>
        <w:t xml:space="preserve">“Read the</w:t>
      </w:r>
      <w:r>
        <w:t xml:space="preserve"> </w:t>
      </w:r>
      <w:r>
        <w:t xml:space="preserve">Belmont</w:t>
      </w:r>
      <w:r>
        <w:t xml:space="preserve"> </w:t>
      </w:r>
      <w:r>
        <w:t xml:space="preserve">Report</w:t>
      </w:r>
      <w:r>
        <w:t xml:space="preserve">.”</w:t>
      </w:r>
      <w:r>
        <w:t xml:space="preserve"> </w:t>
      </w:r>
      <w:r>
        <w:t xml:space="preserve">Text.</w:t>
      </w:r>
      <w:r>
        <w:t xml:space="preserve"> </w:t>
      </w:r>
      <w:r>
        <w:rPr>
          <w:iCs/>
          <w:i/>
        </w:rPr>
        <w:t xml:space="preserve">HHS.gov</w:t>
      </w:r>
      <w:r>
        <w:t xml:space="preserve">.</w:t>
      </w:r>
      <w:r>
        <w:t xml:space="preserve"> </w:t>
      </w:r>
      <w:hyperlink r:id="rId701">
        <w:r>
          <w:rPr>
            <w:rStyle w:val="Hyperlink"/>
          </w:rPr>
          <w:t xml:space="preserve">https://www.hhs.gov/ohrp/regulations-and-policy/belmont-report/read-the-belmont-report/index.html</w:t>
        </w:r>
      </w:hyperlink>
      <w:r>
        <w:t xml:space="preserve">.</w:t>
      </w:r>
    </w:p>
    <w:bookmarkEnd w:id="702"/>
    <w:bookmarkStart w:id="704" w:name="Xfa8e61c17ce77df1f0ca99f64b5270ba73f0ec5"/>
    <w:p>
      <w:pPr>
        <w:pStyle w:val="Bibliography"/>
      </w:pPr>
      <w:r>
        <w:t xml:space="preserve">Office for Human Research Protections. 2016.</w:t>
      </w:r>
      <w:r>
        <w:t xml:space="preserve"> </w:t>
      </w:r>
      <w:r>
        <w:t xml:space="preserve">“45</w:t>
      </w:r>
      <w:r>
        <w:t xml:space="preserve"> </w:t>
      </w:r>
      <w:r>
        <w:t xml:space="preserve">CFR</w:t>
      </w:r>
      <w:r>
        <w:t xml:space="preserve"> </w:t>
      </w:r>
      <w:r>
        <w:t xml:space="preserve">46.”</w:t>
      </w:r>
      <w:r>
        <w:t xml:space="preserve"> </w:t>
      </w:r>
      <w:r>
        <w:t xml:space="preserve">Text.</w:t>
      </w:r>
      <w:r>
        <w:t xml:space="preserve"> </w:t>
      </w:r>
      <w:r>
        <w:rPr>
          <w:iCs/>
          <w:i/>
        </w:rPr>
        <w:t xml:space="preserve">HHS.gov</w:t>
      </w:r>
      <w:r>
        <w:t xml:space="preserve">.</w:t>
      </w:r>
      <w:r>
        <w:t xml:space="preserve"> </w:t>
      </w:r>
      <w:hyperlink r:id="rId703">
        <w:r>
          <w:rPr>
            <w:rStyle w:val="Hyperlink"/>
          </w:rPr>
          <w:t xml:space="preserve">https://www.hhs.gov/ohrp/regulations-and-policy/regulations/45-cfr-46/index.html</w:t>
        </w:r>
      </w:hyperlink>
      <w:r>
        <w:t xml:space="preserve">.</w:t>
      </w:r>
    </w:p>
    <w:bookmarkEnd w:id="704"/>
    <w:bookmarkStart w:id="706" w:name="ref-pacific_university_oregon_data_2014"/>
    <w:p>
      <w:pPr>
        <w:pStyle w:val="Bibliography"/>
      </w:pPr>
      <w:r>
        <w:t xml:space="preserve">Pacific University Oregon. 2014.</w:t>
      </w:r>
      <w:r>
        <w:t xml:space="preserve"> </w:t>
      </w:r>
      <w:r>
        <w:t xml:space="preserve">“Data</w:t>
      </w:r>
      <w:r>
        <w:t xml:space="preserve"> </w:t>
      </w:r>
      <w:r>
        <w:t xml:space="preserve">Security</w:t>
      </w:r>
      <w:r>
        <w:t xml:space="preserve"> </w:t>
      </w:r>
      <w:r>
        <w:t xml:space="preserve">and</w:t>
      </w:r>
      <w:r>
        <w:t xml:space="preserve"> </w:t>
      </w:r>
      <w:r>
        <w:t xml:space="preserve">Storage</w:t>
      </w:r>
      <w:r>
        <w:t xml:space="preserve">.”</w:t>
      </w:r>
      <w:r>
        <w:t xml:space="preserve"> </w:t>
      </w:r>
      <w:r>
        <w:rPr>
          <w:iCs/>
          <w:i/>
        </w:rPr>
        <w:t xml:space="preserve">Pacific University</w:t>
      </w:r>
      <w:r>
        <w:t xml:space="preserve">.</w:t>
      </w:r>
      <w:r>
        <w:t xml:space="preserve"> </w:t>
      </w:r>
      <w:hyperlink r:id="rId705">
        <w:r>
          <w:rPr>
            <w:rStyle w:val="Hyperlink"/>
          </w:rPr>
          <w:t xml:space="preserve">https://www.pacificu.edu/academics/research/scholarship-and-sponsored-projects/research-compliance-integrity/institutional-review-board/irb-policies-recommended-practices/data-security-storage</w:t>
        </w:r>
      </w:hyperlink>
      <w:r>
        <w:t xml:space="preserve">.</w:t>
      </w:r>
    </w:p>
    <w:bookmarkEnd w:id="706"/>
    <w:bookmarkStart w:id="708" w:name="ref-page_design_2020"/>
    <w:p>
      <w:pPr>
        <w:pStyle w:val="Bibliography"/>
      </w:pPr>
      <w:r>
        <w:t xml:space="preserve">Page, Lindsay, Matthew Lenard, and Luke Keele. 2020.</w:t>
      </w:r>
      <w:r>
        <w:t xml:space="preserve"> </w:t>
      </w:r>
      <w:r>
        <w:t xml:space="preserve">“The</w:t>
      </w:r>
      <w:r>
        <w:t xml:space="preserve"> </w:t>
      </w:r>
      <w:r>
        <w:t xml:space="preserve">Design</w:t>
      </w:r>
      <w:r>
        <w:t xml:space="preserve"> </w:t>
      </w:r>
      <w:r>
        <w:t xml:space="preserve">of</w:t>
      </w:r>
      <w:r>
        <w:t xml:space="preserve"> </w:t>
      </w:r>
      <w:r>
        <w:t xml:space="preserve">Clustered</w:t>
      </w:r>
      <w:r>
        <w:t xml:space="preserve"> </w:t>
      </w:r>
      <w:r>
        <w:t xml:space="preserve">Observational</w:t>
      </w:r>
      <w:r>
        <w:t xml:space="preserve"> </w:t>
      </w:r>
      <w:r>
        <w:t xml:space="preserve">Studies</w:t>
      </w:r>
      <w:r>
        <w:t xml:space="preserve"> </w:t>
      </w:r>
      <w:r>
        <w:t xml:space="preserve">in</w:t>
      </w:r>
      <w:r>
        <w:t xml:space="preserve"> </w:t>
      </w:r>
      <w:r>
        <w:t xml:space="preserve">Education</w:t>
      </w:r>
      <w:r>
        <w:t xml:space="preserve">.”</w:t>
      </w:r>
      <w:r>
        <w:t xml:space="preserve"> </w:t>
      </w:r>
      <w:hyperlink r:id="rId707">
        <w:r>
          <w:rPr>
            <w:rStyle w:val="Hyperlink"/>
          </w:rPr>
          <w:t xml:space="preserve">https://doi.org/10.3886/E121381V1</w:t>
        </w:r>
      </w:hyperlink>
      <w:r>
        <w:t xml:space="preserve">.</w:t>
      </w:r>
    </w:p>
    <w:bookmarkEnd w:id="708"/>
    <w:bookmarkStart w:id="710" w:name="ref-qiao_brief_2018"/>
    <w:p>
      <w:pPr>
        <w:pStyle w:val="Bibliography"/>
      </w:pPr>
      <w:r>
        <w:t xml:space="preserve">Qiao, Haiping. 2018.</w:t>
      </w:r>
      <w:r>
        <w:t xml:space="preserve"> </w:t>
      </w:r>
      <w:r>
        <w:t xml:space="preserve">“A Brief Introduction to Institutional Review Boards in the</w:t>
      </w:r>
      <w:r>
        <w:t xml:space="preserve"> </w:t>
      </w:r>
      <w:r>
        <w:t xml:space="preserve">United</w:t>
      </w:r>
      <w:r>
        <w:t xml:space="preserve"> </w:t>
      </w:r>
      <w:r>
        <w:t xml:space="preserve">States</w:t>
      </w:r>
      <w:r>
        <w:t xml:space="preserve">.”</w:t>
      </w:r>
      <w:r>
        <w:t xml:space="preserve"> </w:t>
      </w:r>
      <w:r>
        <w:rPr>
          <w:iCs/>
          <w:i/>
        </w:rPr>
        <w:t xml:space="preserve">Pediatric Investigation</w:t>
      </w:r>
      <w:r>
        <w:t xml:space="preserve"> </w:t>
      </w:r>
      <w:r>
        <w:t xml:space="preserve">2 (1): 46–51.</w:t>
      </w:r>
      <w:r>
        <w:t xml:space="preserve"> </w:t>
      </w:r>
      <w:hyperlink r:id="rId709">
        <w:r>
          <w:rPr>
            <w:rStyle w:val="Hyperlink"/>
          </w:rPr>
          <w:t xml:space="preserve">https://doi.org/10.1002/ped4.12023</w:t>
        </w:r>
      </w:hyperlink>
      <w:r>
        <w:t xml:space="preserve">.</w:t>
      </w:r>
    </w:p>
    <w:bookmarkEnd w:id="710"/>
    <w:bookmarkStart w:id="712" w:name="ref-r_core_team_r_2023"/>
    <w:p>
      <w:pPr>
        <w:pStyle w:val="Bibliography"/>
      </w:pPr>
      <w:r>
        <w:t xml:space="preserve">R Core Team. 2023.</w:t>
      </w:r>
      <w:r>
        <w:t xml:space="preserve"> </w:t>
      </w:r>
      <w:r>
        <w:t xml:space="preserve">“R:</w:t>
      </w:r>
      <w:r>
        <w:t xml:space="preserve"> </w:t>
      </w:r>
      <w:r>
        <w:t xml:space="preserve">The</w:t>
      </w:r>
      <w:r>
        <w:t xml:space="preserve"> </w:t>
      </w:r>
      <w:r>
        <w:t xml:space="preserve">R</w:t>
      </w:r>
      <w:r>
        <w:t xml:space="preserve"> </w:t>
      </w:r>
      <w:r>
        <w:t xml:space="preserve">Base</w:t>
      </w:r>
      <w:r>
        <w:t xml:space="preserve"> </w:t>
      </w:r>
      <w:r>
        <w:t xml:space="preserve">Package</w:t>
      </w:r>
      <w:r>
        <w:t xml:space="preserve">.”</w:t>
      </w:r>
      <w:r>
        <w:t xml:space="preserve"> </w:t>
      </w:r>
      <w:r>
        <w:rPr>
          <w:iCs/>
          <w:i/>
        </w:rPr>
        <w:t xml:space="preserve">R Foundation for Statistical Computing</w:t>
      </w:r>
      <w:r>
        <w:t xml:space="preserve">.</w:t>
      </w:r>
      <w:r>
        <w:t xml:space="preserve"> </w:t>
      </w:r>
      <w:hyperlink r:id="rId711">
        <w:r>
          <w:rPr>
            <w:rStyle w:val="Hyperlink"/>
          </w:rPr>
          <w:t xml:space="preserve">https://stat.ethz.ch/R-manual/R-devel/library/base/html/00Index.html</w:t>
        </w:r>
      </w:hyperlink>
      <w:r>
        <w:t xml:space="preserve">.</w:t>
      </w:r>
    </w:p>
    <w:bookmarkEnd w:id="712"/>
    <w:bookmarkStart w:id="714" w:name="ref-renbarger_champions_2022"/>
    <w:p>
      <w:pPr>
        <w:pStyle w:val="Bibliography"/>
      </w:pPr>
      <w:r>
        <w:t xml:space="preserve">Renbarger, Rachel, Jill L. Adelson, Joshua Rosenberg, Sondra M Stegenga, Olivia Lowrey, Pamela Rose Buckley, and Qiyang Zhang. 2022.</w:t>
      </w:r>
      <w:r>
        <w:t xml:space="preserve"> </w:t>
      </w:r>
      <w:r>
        <w:t xml:space="preserve">“Champions of</w:t>
      </w:r>
      <w:r>
        <w:t xml:space="preserve"> </w:t>
      </w:r>
      <w:r>
        <w:t xml:space="preserve">Transparency</w:t>
      </w:r>
      <w:r>
        <w:t xml:space="preserve"> </w:t>
      </w:r>
      <w:r>
        <w:t xml:space="preserve">in</w:t>
      </w:r>
      <w:r>
        <w:t xml:space="preserve"> </w:t>
      </w:r>
      <w:r>
        <w:t xml:space="preserve">Education</w:t>
      </w:r>
      <w:r>
        <w:t xml:space="preserve">:</w:t>
      </w:r>
      <w:r>
        <w:t xml:space="preserve"> </w:t>
      </w:r>
      <w:r>
        <w:t xml:space="preserve">What</w:t>
      </w:r>
      <w:r>
        <w:t xml:space="preserve"> </w:t>
      </w:r>
      <w:r>
        <w:t xml:space="preserve">Journal</w:t>
      </w:r>
      <w:r>
        <w:t xml:space="preserve"> </w:t>
      </w:r>
      <w:r>
        <w:t xml:space="preserve">Reviewers</w:t>
      </w:r>
      <w:r>
        <w:t xml:space="preserve"> </w:t>
      </w:r>
      <w:r>
        <w:t xml:space="preserve">Can</w:t>
      </w:r>
      <w:r>
        <w:t xml:space="preserve"> </w:t>
      </w:r>
      <w:r>
        <w:t xml:space="preserve">Do</w:t>
      </w:r>
      <w:r>
        <w:t xml:space="preserve"> </w:t>
      </w:r>
      <w:r>
        <w:t xml:space="preserve">to</w:t>
      </w:r>
      <w:r>
        <w:t xml:space="preserve"> </w:t>
      </w:r>
      <w:r>
        <w:t xml:space="preserve">Encourage</w:t>
      </w:r>
      <w:r>
        <w:t xml:space="preserve"> </w:t>
      </w:r>
      <w:r>
        <w:t xml:space="preserve">Open</w:t>
      </w:r>
      <w:r>
        <w:t xml:space="preserve"> </w:t>
      </w:r>
      <w:r>
        <w:t xml:space="preserve">Science</w:t>
      </w:r>
      <w:r>
        <w:t xml:space="preserve"> </w:t>
      </w:r>
      <w:r>
        <w:t xml:space="preserve">Practices</w:t>
      </w:r>
      <w:r>
        <w:t xml:space="preserve">.”</w:t>
      </w:r>
      <w:r>
        <w:t xml:space="preserve"> </w:t>
      </w:r>
      <w:r>
        <w:t xml:space="preserve">Preprint. EdArXiv.</w:t>
      </w:r>
      <w:r>
        <w:t xml:space="preserve"> </w:t>
      </w:r>
      <w:hyperlink r:id="rId713">
        <w:r>
          <w:rPr>
            <w:rStyle w:val="Hyperlink"/>
          </w:rPr>
          <w:t xml:space="preserve">https://doi.org/10.35542/osf.io/xqfwb</w:t>
        </w:r>
      </w:hyperlink>
      <w:r>
        <w:t xml:space="preserve">.</w:t>
      </w:r>
    </w:p>
    <w:bookmarkEnd w:id="714"/>
    <w:bookmarkStart w:id="716" w:name="ref-reynolds_basics_2022"/>
    <w:p>
      <w:pPr>
        <w:pStyle w:val="Bibliography"/>
      </w:pPr>
      <w:r>
        <w:t xml:space="preserve">Reynolds, Tara, Christopher Schatschneider, and Jessica Logan. 2022.</w:t>
      </w:r>
      <w:r>
        <w:t xml:space="preserve"> </w:t>
      </w:r>
      <w:r>
        <w:t xml:space="preserve">“The</w:t>
      </w:r>
      <w:r>
        <w:t xml:space="preserve"> </w:t>
      </w:r>
      <w:r>
        <w:t xml:space="preserve">Basics</w:t>
      </w:r>
      <w:r>
        <w:t xml:space="preserve"> </w:t>
      </w:r>
      <w:r>
        <w:t xml:space="preserve">of</w:t>
      </w:r>
      <w:r>
        <w:t xml:space="preserve"> </w:t>
      </w:r>
      <w:r>
        <w:t xml:space="preserve">Data</w:t>
      </w:r>
      <w:r>
        <w:t xml:space="preserve"> </w:t>
      </w:r>
      <w:r>
        <w:t xml:space="preserve">Management</w:t>
      </w:r>
      <w:r>
        <w:t xml:space="preserve">.”</w:t>
      </w:r>
      <w:r>
        <w:t xml:space="preserve"> </w:t>
      </w:r>
      <w:r>
        <w:t xml:space="preserve">figshare.</w:t>
      </w:r>
      <w:r>
        <w:t xml:space="preserve"> </w:t>
      </w:r>
      <w:hyperlink r:id="rId715">
        <w:r>
          <w:rPr>
            <w:rStyle w:val="Hyperlink"/>
          </w:rPr>
          <w:t xml:space="preserve">https://doi.org/10.6084/m9.figshare.13215350.v2</w:t>
        </w:r>
      </w:hyperlink>
      <w:r>
        <w:t xml:space="preserve">.</w:t>
      </w:r>
    </w:p>
    <w:bookmarkEnd w:id="716"/>
    <w:bookmarkStart w:id="718" w:name="ref-riederer_column_2020"/>
    <w:p>
      <w:pPr>
        <w:pStyle w:val="Bibliography"/>
      </w:pPr>
      <w:r>
        <w:t xml:space="preserve">Riederer, Emily. 2020.</w:t>
      </w:r>
      <w:r>
        <w:t xml:space="preserve"> </w:t>
      </w:r>
      <w:r>
        <w:t xml:space="preserve">“Column</w:t>
      </w:r>
      <w:r>
        <w:t xml:space="preserve"> </w:t>
      </w:r>
      <w:r>
        <w:t xml:space="preserve">Names</w:t>
      </w:r>
      <w:r>
        <w:t xml:space="preserve"> </w:t>
      </w:r>
      <w:r>
        <w:t xml:space="preserve">as</w:t>
      </w:r>
      <w:r>
        <w:t xml:space="preserve"> </w:t>
      </w:r>
      <w:r>
        <w:t xml:space="preserve">Contracts</w:t>
      </w:r>
      <w:r>
        <w:t xml:space="preserve">.”</w:t>
      </w:r>
      <w:r>
        <w:t xml:space="preserve"> </w:t>
      </w:r>
      <w:r>
        <w:rPr>
          <w:iCs/>
          <w:i/>
        </w:rPr>
        <w:t xml:space="preserve">Emily Riederer</w:t>
      </w:r>
      <w:r>
        <w:t xml:space="preserve">.</w:t>
      </w:r>
      <w:r>
        <w:t xml:space="preserve"> </w:t>
      </w:r>
      <w:hyperlink r:id="rId717">
        <w:r>
          <w:rPr>
            <w:rStyle w:val="Hyperlink"/>
          </w:rPr>
          <w:t xml:space="preserve">https://emilyriederer.netlify.app/post/column-name-contracts/</w:t>
        </w:r>
      </w:hyperlink>
      <w:r>
        <w:t xml:space="preserve">.</w:t>
      </w:r>
    </w:p>
    <w:bookmarkEnd w:id="718"/>
    <w:bookmarkStart w:id="720" w:name="X1918d6fbae917b9bdd0828dba36f9fd52573ee1"/>
    <w:p>
      <w:pPr>
        <w:pStyle w:val="Bibliography"/>
      </w:pPr>
      <w:r>
        <w:t xml:space="preserve">Samuel J. Wood Library. n.d.</w:t>
      </w:r>
      <w:r>
        <w:t xml:space="preserve"> </w:t>
      </w:r>
      <w:r>
        <w:t xml:space="preserve">“Research</w:t>
      </w:r>
      <w:r>
        <w:t xml:space="preserve"> </w:t>
      </w:r>
      <w:r>
        <w:t xml:space="preserve">Data</w:t>
      </w:r>
      <w:r>
        <w:t xml:space="preserve"> </w:t>
      </w:r>
      <w:r>
        <w:t xml:space="preserve">Management</w:t>
      </w:r>
      <w:r>
        <w:t xml:space="preserve">,</w:t>
      </w:r>
      <w:r>
        <w:t xml:space="preserve"> </w:t>
      </w:r>
      <w:r>
        <w:t xml:space="preserve">Retention</w:t>
      </w:r>
      <w:r>
        <w:t xml:space="preserve">, and</w:t>
      </w:r>
      <w:r>
        <w:t xml:space="preserve"> </w:t>
      </w:r>
      <w:r>
        <w:t xml:space="preserve">Sharing</w:t>
      </w:r>
      <w:r>
        <w:t xml:space="preserve"> </w:t>
      </w:r>
      <w:r>
        <w:t xml:space="preserve"> </w:t>
      </w:r>
      <w:r>
        <w:t xml:space="preserve">Weill</w:t>
      </w:r>
      <w:r>
        <w:t xml:space="preserve"> </w:t>
      </w:r>
      <w:r>
        <w:t xml:space="preserve">Cornell</w:t>
      </w:r>
      <w:r>
        <w:t xml:space="preserve"> </w:t>
      </w:r>
      <w:r>
        <w:t xml:space="preserve">Medicine</w:t>
      </w:r>
      <w:r>
        <w:t xml:space="preserve"> </w:t>
      </w:r>
      <w:r>
        <w:t xml:space="preserve">Samuel</w:t>
      </w:r>
      <w:r>
        <w:t xml:space="preserve"> </w:t>
      </w:r>
      <w:r>
        <w:t xml:space="preserve">J</w:t>
      </w:r>
      <w:r>
        <w:t xml:space="preserve">.</w:t>
      </w:r>
      <w:r>
        <w:t xml:space="preserve"> </w:t>
      </w:r>
      <w:r>
        <w:t xml:space="preserve">Wood</w:t>
      </w:r>
      <w:r>
        <w:t xml:space="preserve"> </w:t>
      </w:r>
      <w:r>
        <w:t xml:space="preserve">Library</w:t>
      </w:r>
      <w:r>
        <w:t xml:space="preserve">.”</w:t>
      </w:r>
      <w:r>
        <w:t xml:space="preserve"> </w:t>
      </w:r>
      <w:r>
        <w:t xml:space="preserve">Accessed January 18, 2023.</w:t>
      </w:r>
      <w:r>
        <w:t xml:space="preserve"> </w:t>
      </w:r>
      <w:hyperlink r:id="rId719">
        <w:r>
          <w:rPr>
            <w:rStyle w:val="Hyperlink"/>
          </w:rPr>
          <w:t xml:space="preserve">https://library.weill.cornell.edu/research-support/research-data-management-retention-and-sharing</w:t>
        </w:r>
      </w:hyperlink>
      <w:r>
        <w:t xml:space="preserve">.</w:t>
      </w:r>
    </w:p>
    <w:bookmarkEnd w:id="720"/>
    <w:bookmarkStart w:id="722" w:name="ref-san_martin_stata_2023"/>
    <w:p>
      <w:pPr>
        <w:pStyle w:val="Bibliography"/>
      </w:pPr>
      <w:r>
        <w:t xml:space="preserve">San Martin, Luis Eduardo, Rony Rodriguez-Ramirez, and Mizuhiro Suzuki. 2023.</w:t>
      </w:r>
      <w:r>
        <w:t xml:space="preserve"> </w:t>
      </w:r>
      <w:r>
        <w:t xml:space="preserve">“Stata Linter Produces</w:t>
      </w:r>
      <w:r>
        <w:t xml:space="preserve"> </w:t>
      </w:r>
      <w:r>
        <w:t xml:space="preserve">Stata</w:t>
      </w:r>
      <w:r>
        <w:t xml:space="preserve"> </w:t>
      </w:r>
      <w:r>
        <w:t xml:space="preserve">Code That Sparks Joy.”</w:t>
      </w:r>
      <w:r>
        <w:t xml:space="preserve"> </w:t>
      </w:r>
      <w:hyperlink r:id="rId721">
        <w:r>
          <w:rPr>
            <w:rStyle w:val="Hyperlink"/>
          </w:rPr>
          <w:t xml:space="preserve">https://blogs.worldbank.org/impactevaluations/stata-linter-produces-stata-code-sparks-joy</w:t>
        </w:r>
      </w:hyperlink>
      <w:r>
        <w:t xml:space="preserve">.</w:t>
      </w:r>
    </w:p>
    <w:bookmarkEnd w:id="722"/>
    <w:bookmarkStart w:id="724" w:name="ref-schemaorg_schemaorg_nodate"/>
    <w:p>
      <w:pPr>
        <w:pStyle w:val="Bibliography"/>
      </w:pPr>
      <w:r>
        <w:t xml:space="preserve">Schema.org. n.d.</w:t>
      </w:r>
      <w:r>
        <w:t xml:space="preserve"> </w:t>
      </w:r>
      <w:r>
        <w:t xml:space="preserve">“Schema.org.”</w:t>
      </w:r>
      <w:r>
        <w:t xml:space="preserve"> </w:t>
      </w:r>
      <w:r>
        <w:t xml:space="preserve">Accessed January 19, 2023.</w:t>
      </w:r>
      <w:r>
        <w:t xml:space="preserve"> </w:t>
      </w:r>
      <w:hyperlink r:id="rId723">
        <w:r>
          <w:rPr>
            <w:rStyle w:val="Hyperlink"/>
          </w:rPr>
          <w:t xml:space="preserve">https://www.schema.org/</w:t>
        </w:r>
      </w:hyperlink>
      <w:r>
        <w:t xml:space="preserve">.</w:t>
      </w:r>
    </w:p>
    <w:bookmarkEnd w:id="724"/>
    <w:bookmarkStart w:id="726" w:name="ref-schulz_consort_2010"/>
    <w:p>
      <w:pPr>
        <w:pStyle w:val="Bibliography"/>
      </w:pPr>
      <w:r>
        <w:t xml:space="preserve">Schulz, Kenneth F., Douglas G. Altman, David Moher, and CONSORT Group. 2010.</w:t>
      </w:r>
      <w:r>
        <w:t xml:space="preserve"> </w:t>
      </w:r>
      <w:r>
        <w:t xml:space="preserve">“</w:t>
      </w:r>
      <w:r>
        <w:t xml:space="preserve">CONSORT</w:t>
      </w:r>
      <w:r>
        <w:t xml:space="preserve"> </w:t>
      </w:r>
      <w:r>
        <w:t xml:space="preserve">2010 Statement: Updated Guidelines for Reporting Parallel Group Randomised Trials.”</w:t>
      </w:r>
      <w:r>
        <w:t xml:space="preserve"> </w:t>
      </w:r>
      <w:r>
        <w:rPr>
          <w:iCs/>
          <w:i/>
        </w:rPr>
        <w:t xml:space="preserve">BMJ (Clinical Research Ed.)</w:t>
      </w:r>
      <w:r>
        <w:t xml:space="preserve"> </w:t>
      </w:r>
      <w:r>
        <w:t xml:space="preserve">340 (March): c332.</w:t>
      </w:r>
      <w:r>
        <w:t xml:space="preserve"> </w:t>
      </w:r>
      <w:hyperlink r:id="rId725">
        <w:r>
          <w:rPr>
            <w:rStyle w:val="Hyperlink"/>
          </w:rPr>
          <w:t xml:space="preserve">https://doi.org/10.1136/bmj.c332</w:t>
        </w:r>
      </w:hyperlink>
      <w:r>
        <w:t xml:space="preserve">.</w:t>
      </w:r>
    </w:p>
    <w:bookmarkEnd w:id="726"/>
    <w:bookmarkStart w:id="728" w:name="ref-stangroom_rules_2019"/>
    <w:p>
      <w:pPr>
        <w:pStyle w:val="Bibliography"/>
      </w:pPr>
      <w:r>
        <w:t xml:space="preserve">Stangroom, Jeremy. 2019.</w:t>
      </w:r>
      <w:r>
        <w:t xml:space="preserve"> </w:t>
      </w:r>
      <w:r>
        <w:t xml:space="preserve">“Rules for</w:t>
      </w:r>
      <w:r>
        <w:t xml:space="preserve"> </w:t>
      </w:r>
      <w:r>
        <w:t xml:space="preserve">Naming</w:t>
      </w:r>
      <w:r>
        <w:t xml:space="preserve"> </w:t>
      </w:r>
      <w:r>
        <w:t xml:space="preserve">Variables</w:t>
      </w:r>
      <w:r>
        <w:t xml:space="preserve"> </w:t>
      </w:r>
      <w:r>
        <w:t xml:space="preserve">in</w:t>
      </w:r>
      <w:r>
        <w:t xml:space="preserve"> </w:t>
      </w:r>
      <w:r>
        <w:t xml:space="preserve">SPSS</w:t>
      </w:r>
      <w:r>
        <w:t xml:space="preserve"> </w:t>
      </w:r>
      <w:r>
        <w:t xml:space="preserve">-</w:t>
      </w:r>
      <w:r>
        <w:t xml:space="preserve"> </w:t>
      </w:r>
      <w:r>
        <w:t xml:space="preserve">Quick</w:t>
      </w:r>
      <w:r>
        <w:t xml:space="preserve"> </w:t>
      </w:r>
      <w:r>
        <w:t xml:space="preserve">SPSS</w:t>
      </w:r>
      <w:r>
        <w:t xml:space="preserve"> </w:t>
      </w:r>
      <w:r>
        <w:t xml:space="preserve">Tutorial</w:t>
      </w:r>
      <w:r>
        <w:t xml:space="preserve">.”</w:t>
      </w:r>
      <w:r>
        <w:t xml:space="preserve"> </w:t>
      </w:r>
      <w:r>
        <w:rPr>
          <w:iCs/>
          <w:i/>
        </w:rPr>
        <w:t xml:space="preserve">EZ SPSS Tutorials</w:t>
      </w:r>
      <w:r>
        <w:t xml:space="preserve">.</w:t>
      </w:r>
      <w:r>
        <w:t xml:space="preserve"> </w:t>
      </w:r>
      <w:hyperlink r:id="rId727">
        <w:r>
          <w:rPr>
            <w:rStyle w:val="Hyperlink"/>
          </w:rPr>
          <w:t xml:space="preserve">https://ezspss.com/rules-for-naming-variables-in-spss/</w:t>
        </w:r>
      </w:hyperlink>
      <w:r>
        <w:t xml:space="preserve">.</w:t>
      </w:r>
    </w:p>
    <w:bookmarkEnd w:id="728"/>
    <w:bookmarkStart w:id="730" w:name="ref-strand_error_nodate"/>
    <w:p>
      <w:pPr>
        <w:pStyle w:val="Bibliography"/>
      </w:pPr>
      <w:r>
        <w:t xml:space="preserve">Strand, Julia. n.d.</w:t>
      </w:r>
      <w:r>
        <w:t xml:space="preserve"> </w:t>
      </w:r>
      <w:r>
        <w:t xml:space="preserve">“Error</w:t>
      </w:r>
      <w:r>
        <w:t xml:space="preserve"> </w:t>
      </w:r>
      <w:r>
        <w:t xml:space="preserve">Tight</w:t>
      </w:r>
      <w:r>
        <w:t xml:space="preserve">:</w:t>
      </w:r>
      <w:r>
        <w:t xml:space="preserve"> </w:t>
      </w:r>
      <w:r>
        <w:t xml:space="preserve">Exercises</w:t>
      </w:r>
      <w:r>
        <w:t xml:space="preserve"> </w:t>
      </w:r>
      <w:r>
        <w:t xml:space="preserve">for</w:t>
      </w:r>
      <w:r>
        <w:t xml:space="preserve"> </w:t>
      </w:r>
      <w:r>
        <w:t xml:space="preserve">Lab</w:t>
      </w:r>
      <w:r>
        <w:t xml:space="preserve"> </w:t>
      </w:r>
      <w:r>
        <w:t xml:space="preserve">Groups</w:t>
      </w:r>
      <w:r>
        <w:t xml:space="preserve"> </w:t>
      </w:r>
      <w:r>
        <w:t xml:space="preserve">to</w:t>
      </w:r>
      <w:r>
        <w:t xml:space="preserve"> </w:t>
      </w:r>
      <w:r>
        <w:t xml:space="preserve">Prevent</w:t>
      </w:r>
      <w:r>
        <w:t xml:space="preserve"> </w:t>
      </w:r>
      <w:r>
        <w:t xml:space="preserve">Research</w:t>
      </w:r>
      <w:r>
        <w:t xml:space="preserve"> </w:t>
      </w:r>
      <w:r>
        <w:t xml:space="preserve">Mistakes</w:t>
      </w:r>
      <w:r>
        <w:t xml:space="preserve">.”</w:t>
      </w:r>
      <w:r>
        <w:t xml:space="preserve"> </w:t>
      </w:r>
      <w:r>
        <w:t xml:space="preserve">Accessed October 31, 2022.</w:t>
      </w:r>
      <w:r>
        <w:t xml:space="preserve"> </w:t>
      </w:r>
      <w:hyperlink r:id="rId729">
        <w:r>
          <w:rPr>
            <w:rStyle w:val="Hyperlink"/>
          </w:rPr>
          <w:t xml:space="preserve">https://psyarxiv.com/rsn5y/</w:t>
        </w:r>
      </w:hyperlink>
      <w:r>
        <w:t xml:space="preserve">.</w:t>
      </w:r>
    </w:p>
    <w:bookmarkEnd w:id="730"/>
    <w:bookmarkStart w:id="732" w:name="ref-noauthor_style_2023"/>
    <w:p>
      <w:pPr>
        <w:pStyle w:val="Bibliography"/>
      </w:pPr>
      <w:r>
        <w:t xml:space="preserve">“Style Guide.”</w:t>
      </w:r>
      <w:r>
        <w:t xml:space="preserve"> </w:t>
      </w:r>
      <w:r>
        <w:t xml:space="preserve">2023.</w:t>
      </w:r>
      <w:r>
        <w:t xml:space="preserve"> </w:t>
      </w:r>
      <w:r>
        <w:rPr>
          <w:iCs/>
          <w:i/>
        </w:rPr>
        <w:t xml:space="preserve">Wikipedia</w:t>
      </w:r>
      <w:r>
        <w:t xml:space="preserve">.</w:t>
      </w:r>
      <w:r>
        <w:t xml:space="preserve"> </w:t>
      </w:r>
      <w:hyperlink r:id="rId731">
        <w:r>
          <w:rPr>
            <w:rStyle w:val="Hyperlink"/>
          </w:rPr>
          <w:t xml:space="preserve">https://en.wikipedia.org/w/index.php?title=Style_guide&amp;oldid=1131556370</w:t>
        </w:r>
      </w:hyperlink>
      <w:r>
        <w:t xml:space="preserve">.</w:t>
      </w:r>
    </w:p>
    <w:bookmarkEnd w:id="732"/>
    <w:bookmarkStart w:id="734" w:name="ref-tenopir_data_2016"/>
    <w:p>
      <w:pPr>
        <w:pStyle w:val="Bibliography"/>
      </w:pPr>
      <w:r>
        <w:t xml:space="preserve">Tenopir, Carol, Suzie Allard, Priyanki Sinha, Danielle Pollock, Jess Newman, Elizabeth Dalton, Mike Frame, and Lynn Baird. 2016.</w:t>
      </w:r>
      <w:r>
        <w:t xml:space="preserve"> </w:t>
      </w:r>
      <w:r>
        <w:t xml:space="preserve">“Data</w:t>
      </w:r>
      <w:r>
        <w:t xml:space="preserve"> </w:t>
      </w:r>
      <w:r>
        <w:t xml:space="preserve">Management</w:t>
      </w:r>
      <w:r>
        <w:t xml:space="preserve"> </w:t>
      </w:r>
      <w:r>
        <w:t xml:space="preserve">Education</w:t>
      </w:r>
      <w:r>
        <w:t xml:space="preserve"> </w:t>
      </w:r>
      <w:r>
        <w:t xml:space="preserve">from the</w:t>
      </w:r>
      <w:r>
        <w:t xml:space="preserve"> </w:t>
      </w:r>
      <w:r>
        <w:t xml:space="preserve">Perspective</w:t>
      </w:r>
      <w:r>
        <w:t xml:space="preserve"> </w:t>
      </w:r>
      <w:r>
        <w:t xml:space="preserve">of</w:t>
      </w:r>
      <w:r>
        <w:t xml:space="preserve"> </w:t>
      </w:r>
      <w:r>
        <w:t xml:space="preserve">Science</w:t>
      </w:r>
      <w:r>
        <w:t xml:space="preserve"> </w:t>
      </w:r>
      <w:r>
        <w:t xml:space="preserve">Educators</w:t>
      </w:r>
      <w:r>
        <w:t xml:space="preserve">.”</w:t>
      </w:r>
      <w:r>
        <w:t xml:space="preserve"> </w:t>
      </w:r>
      <w:r>
        <w:rPr>
          <w:iCs/>
          <w:i/>
        </w:rPr>
        <w:t xml:space="preserve">International Journal of Digital Curation</w:t>
      </w:r>
      <w:r>
        <w:t xml:space="preserve"> </w:t>
      </w:r>
      <w:r>
        <w:t xml:space="preserve">11 (1): 232–51.</w:t>
      </w:r>
      <w:r>
        <w:t xml:space="preserve"> </w:t>
      </w:r>
      <w:hyperlink r:id="rId733">
        <w:r>
          <w:rPr>
            <w:rStyle w:val="Hyperlink"/>
          </w:rPr>
          <w:t xml:space="preserve">https://doi.org/10.2218/ijdc.v11i1.389</w:t>
        </w:r>
      </w:hyperlink>
      <w:r>
        <w:t xml:space="preserve">.</w:t>
      </w:r>
    </w:p>
    <w:bookmarkEnd w:id="734"/>
    <w:bookmarkStart w:id="736" w:name="ref-the_nobles_normalization_2020"/>
    <w:p>
      <w:pPr>
        <w:pStyle w:val="Bibliography"/>
      </w:pPr>
      <w:r>
        <w:t xml:space="preserve">The Nobles. 2020.</w:t>
      </w:r>
      <w:r>
        <w:t xml:space="preserve"> </w:t>
      </w:r>
      <w:r>
        <w:t xml:space="preserve">“Normalization of</w:t>
      </w:r>
      <w:r>
        <w:t xml:space="preserve"> </w:t>
      </w:r>
      <w:r>
        <w:t xml:space="preserve">Database</w:t>
      </w:r>
      <w:r>
        <w:t xml:space="preserve">, the</w:t>
      </w:r>
      <w:r>
        <w:t xml:space="preserve"> </w:t>
      </w:r>
      <w:r>
        <w:t xml:space="preserve">Easy</w:t>
      </w:r>
      <w:r>
        <w:t xml:space="preserve"> </w:t>
      </w:r>
      <w:r>
        <w:t xml:space="preserve">Way</w:t>
      </w:r>
      <w:r>
        <w:t xml:space="preserve">.”</w:t>
      </w:r>
      <w:r>
        <w:t xml:space="preserve"> </w:t>
      </w:r>
      <w:r>
        <w:rPr>
          <w:iCs/>
          <w:i/>
        </w:rPr>
        <w:t xml:space="preserve">The Startup</w:t>
      </w:r>
      <w:r>
        <w:t xml:space="preserve">.</w:t>
      </w:r>
      <w:r>
        <w:t xml:space="preserve"> </w:t>
      </w:r>
      <w:hyperlink r:id="rId735">
        <w:r>
          <w:rPr>
            <w:rStyle w:val="Hyperlink"/>
          </w:rPr>
          <w:t xml:space="preserve">https://medium.com/swlh/normalization-of-database-the-easy-way-98f96a7a6863</w:t>
        </w:r>
      </w:hyperlink>
      <w:r>
        <w:t xml:space="preserve">.</w:t>
      </w:r>
    </w:p>
    <w:bookmarkEnd w:id="736"/>
    <w:bookmarkStart w:id="738" w:name="ref-the_white_house_executive_2013"/>
    <w:p>
      <w:pPr>
        <w:pStyle w:val="Bibliography"/>
      </w:pPr>
      <w:r>
        <w:t xml:space="preserve">The White House. 2013.</w:t>
      </w:r>
      <w:r>
        <w:t xml:space="preserve"> </w:t>
      </w:r>
      <w:r>
        <w:t xml:space="preserve">“Executive</w:t>
      </w:r>
      <w:r>
        <w:t xml:space="preserve"> </w:t>
      </w:r>
      <w:r>
        <w:t xml:space="preserve">Order</w:t>
      </w:r>
      <w:r>
        <w:t xml:space="preserve"> </w:t>
      </w:r>
      <w:r>
        <w:t xml:space="preserve">–</w:t>
      </w:r>
      <w:r>
        <w:t xml:space="preserve"> </w:t>
      </w:r>
      <w:r>
        <w:t xml:space="preserve">Making</w:t>
      </w:r>
      <w:r>
        <w:t xml:space="preserve"> </w:t>
      </w:r>
      <w:r>
        <w:t xml:space="preserve">Open</w:t>
      </w:r>
      <w:r>
        <w:t xml:space="preserve"> </w:t>
      </w:r>
      <w:r>
        <w:t xml:space="preserve">and</w:t>
      </w:r>
      <w:r>
        <w:t xml:space="preserve"> </w:t>
      </w:r>
      <w:r>
        <w:t xml:space="preserve">Machine</w:t>
      </w:r>
      <w:r>
        <w:t xml:space="preserve"> </w:t>
      </w:r>
      <w:r>
        <w:t xml:space="preserve">Readable</w:t>
      </w:r>
      <w:r>
        <w:t xml:space="preserve"> </w:t>
      </w:r>
      <w:r>
        <w:t xml:space="preserve">the</w:t>
      </w:r>
      <w:r>
        <w:t xml:space="preserve"> </w:t>
      </w:r>
      <w:r>
        <w:t xml:space="preserve">New</w:t>
      </w:r>
      <w:r>
        <w:t xml:space="preserve"> </w:t>
      </w:r>
      <w:r>
        <w:t xml:space="preserve">Default</w:t>
      </w:r>
      <w:r>
        <w:t xml:space="preserve"> </w:t>
      </w:r>
      <w:r>
        <w:t xml:space="preserve">for</w:t>
      </w:r>
      <w:r>
        <w:t xml:space="preserve"> </w:t>
      </w:r>
      <w:r>
        <w:t xml:space="preserve">Government</w:t>
      </w:r>
      <w:r>
        <w:t xml:space="preserve"> </w:t>
      </w:r>
      <w:r>
        <w:t xml:space="preserve">Information</w:t>
      </w:r>
      <w:r>
        <w:t xml:space="preserve">.”</w:t>
      </w:r>
      <w:r>
        <w:t xml:space="preserve"> </w:t>
      </w:r>
      <w:r>
        <w:rPr>
          <w:iCs/>
          <w:i/>
        </w:rPr>
        <w:t xml:space="preserve">Whitehouse.gov</w:t>
      </w:r>
      <w:r>
        <w:t xml:space="preserve">.</w:t>
      </w:r>
      <w:r>
        <w:t xml:space="preserve"> </w:t>
      </w:r>
      <w:hyperlink r:id="rId737">
        <w:r>
          <w:rPr>
            <w:rStyle w:val="Hyperlink"/>
          </w:rPr>
          <w:t xml:space="preserve">https://obamawhitehouse.archives.gov/the-press-office/2013/05/09/executive-order-making-open-and-machine-readable-new-default-government-</w:t>
        </w:r>
      </w:hyperlink>
      <w:r>
        <w:t xml:space="preserve">.</w:t>
      </w:r>
    </w:p>
    <w:bookmarkEnd w:id="738"/>
    <w:bookmarkStart w:id="740" w:name="ref-tourangeau_early_2015"/>
    <w:p>
      <w:pPr>
        <w:pStyle w:val="Bibliography"/>
      </w:pPr>
      <w:r>
        <w:t xml:space="preserve">Tourangeau, Karen. 2015.</w:t>
      </w:r>
      <w:r>
        <w:t xml:space="preserve"> </w:t>
      </w:r>
      <w:r>
        <w:t xml:space="preserve">“Early</w:t>
      </w:r>
      <w:r>
        <w:t xml:space="preserve"> </w:t>
      </w:r>
      <w:r>
        <w:t xml:space="preserve">Childhood</w:t>
      </w:r>
      <w:r>
        <w:t xml:space="preserve"> </w:t>
      </w:r>
      <w:r>
        <w:t xml:space="preserve">Longitudinal</w:t>
      </w:r>
      <w:r>
        <w:t xml:space="preserve"> </w:t>
      </w:r>
      <w:r>
        <w:t xml:space="preserve">Study</w:t>
      </w:r>
      <w:r>
        <w:t xml:space="preserve">,</w:t>
      </w:r>
      <w:r>
        <w:t xml:space="preserve"> </w:t>
      </w:r>
      <w:r>
        <w:t xml:space="preserve">Kindergarten</w:t>
      </w:r>
      <w:r>
        <w:t xml:space="preserve"> </w:t>
      </w:r>
      <w:r>
        <w:t xml:space="preserve">Class</w:t>
      </w:r>
      <w:r>
        <w:t xml:space="preserve"> </w:t>
      </w:r>
      <w:r>
        <w:t xml:space="preserve">of 2010–11 (</w:t>
      </w:r>
      <w:r>
        <w:t xml:space="preserve">ECLS</w:t>
      </w:r>
      <w:r>
        <w:t xml:space="preserve">-</w:t>
      </w:r>
      <w:r>
        <w:t xml:space="preserve">K</w:t>
      </w:r>
      <w:r>
        <w:t xml:space="preserve">:2011).”</w:t>
      </w:r>
      <w:r>
        <w:t xml:space="preserve"> </w:t>
      </w:r>
      <w:r>
        <w:t xml:space="preserve">Institute of Education Sciences.</w:t>
      </w:r>
      <w:r>
        <w:t xml:space="preserve"> </w:t>
      </w:r>
      <w:hyperlink r:id="rId739">
        <w:r>
          <w:rPr>
            <w:rStyle w:val="Hyperlink"/>
          </w:rPr>
          <w:t xml:space="preserve">https://nces.ed.gov/pubs2015/2015074.pdf</w:t>
        </w:r>
      </w:hyperlink>
      <w:r>
        <w:t xml:space="preserve">.</w:t>
      </w:r>
    </w:p>
    <w:bookmarkEnd w:id="740"/>
    <w:bookmarkStart w:id="742" w:name="ref-uc_davis_pmlc_nodate"/>
    <w:p>
      <w:pPr>
        <w:pStyle w:val="Bibliography"/>
      </w:pPr>
      <w:r>
        <w:t xml:space="preserve">UC Davis. n.d.</w:t>
      </w:r>
      <w:r>
        <w:t xml:space="preserve"> </w:t>
      </w:r>
      <w:r>
        <w:t xml:space="preserve">“</w:t>
      </w:r>
      <w:r>
        <w:t xml:space="preserve">PMLC</w:t>
      </w:r>
      <w:r>
        <w:t xml:space="preserve"> </w:t>
      </w:r>
      <w:r>
        <w:t xml:space="preserve">-</w:t>
      </w:r>
      <w:r>
        <w:t xml:space="preserve"> </w:t>
      </w:r>
      <w:r>
        <w:t xml:space="preserve">Project</w:t>
      </w:r>
      <w:r>
        <w:t xml:space="preserve"> </w:t>
      </w:r>
      <w:r>
        <w:t xml:space="preserve">Roles</w:t>
      </w:r>
      <w:r>
        <w:t xml:space="preserve"> </w:t>
      </w:r>
      <w:r>
        <w:t xml:space="preserve">and</w:t>
      </w:r>
      <w:r>
        <w:t xml:space="preserve"> </w:t>
      </w:r>
      <w:r>
        <w:t xml:space="preserve">Responsibilities</w:t>
      </w:r>
      <w:r>
        <w:t xml:space="preserve">.”</w:t>
      </w:r>
      <w:r>
        <w:t xml:space="preserve"> </w:t>
      </w:r>
      <w:r>
        <w:t xml:space="preserve">Accessed January 10, 2023.</w:t>
      </w:r>
      <w:r>
        <w:t xml:space="preserve"> </w:t>
      </w:r>
      <w:hyperlink r:id="rId741">
        <w:r>
          <w:rPr>
            <w:rStyle w:val="Hyperlink"/>
          </w:rPr>
          <w:t xml:space="preserve">https://tinyurl.com/nhba9mhc</w:t>
        </w:r>
      </w:hyperlink>
      <w:r>
        <w:t xml:space="preserve">.</w:t>
      </w:r>
    </w:p>
    <w:bookmarkEnd w:id="742"/>
    <w:bookmarkStart w:id="744" w:name="ref-uc_merced_library_what_nodate"/>
    <w:p>
      <w:pPr>
        <w:pStyle w:val="Bibliography"/>
      </w:pPr>
      <w:r>
        <w:t xml:space="preserve">UC Merced Library. n.d.</w:t>
      </w:r>
      <w:r>
        <w:t xml:space="preserve"> </w:t>
      </w:r>
      <w:r>
        <w:t xml:space="preserve">“What</w:t>
      </w:r>
      <w:r>
        <w:t xml:space="preserve"> </w:t>
      </w:r>
      <w:r>
        <w:t xml:space="preserve">Is</w:t>
      </w:r>
      <w:r>
        <w:t xml:space="preserve"> </w:t>
      </w:r>
      <w:r>
        <w:t xml:space="preserve">a</w:t>
      </w:r>
      <w:r>
        <w:t xml:space="preserve"> </w:t>
      </w:r>
      <w:r>
        <w:t xml:space="preserve">Data</w:t>
      </w:r>
      <w:r>
        <w:t xml:space="preserve"> </w:t>
      </w:r>
      <w:r>
        <w:t xml:space="preserve">Dictionary</w:t>
      </w:r>
      <w:r>
        <w:t xml:space="preserve">?</w:t>
      </w:r>
      <w:r>
        <w:t xml:space="preserve"> </w:t>
      </w:r>
      <w:r>
        <w:t xml:space="preserve"> </w:t>
      </w:r>
      <w:r>
        <w:t xml:space="preserve">UC</w:t>
      </w:r>
      <w:r>
        <w:t xml:space="preserve"> </w:t>
      </w:r>
      <w:r>
        <w:t xml:space="preserve">Merced</w:t>
      </w:r>
      <w:r>
        <w:t xml:space="preserve"> </w:t>
      </w:r>
      <w:r>
        <w:t xml:space="preserve">Library</w:t>
      </w:r>
      <w:r>
        <w:t xml:space="preserve">.”</w:t>
      </w:r>
      <w:r>
        <w:t xml:space="preserve"> </w:t>
      </w:r>
      <w:r>
        <w:t xml:space="preserve">Accessed January 17, 2023.</w:t>
      </w:r>
      <w:r>
        <w:t xml:space="preserve"> </w:t>
      </w:r>
      <w:hyperlink r:id="rId743">
        <w:r>
          <w:rPr>
            <w:rStyle w:val="Hyperlink"/>
          </w:rPr>
          <w:t xml:space="preserve">https://library.ucmerced.edu/data-dictionaries</w:t>
        </w:r>
      </w:hyperlink>
      <w:r>
        <w:t xml:space="preserve">.</w:t>
      </w:r>
    </w:p>
    <w:bookmarkEnd w:id="744"/>
    <w:bookmarkStart w:id="745" w:name="ref-uk_data_service_data_2022"/>
    <w:p>
      <w:pPr>
        <w:pStyle w:val="Bibliography"/>
      </w:pPr>
      <w:r>
        <w:t xml:space="preserve">UK Data Service. 2022.</w:t>
      </w:r>
      <w:r>
        <w:t xml:space="preserve"> </w:t>
      </w:r>
      <w:r>
        <w:t xml:space="preserve">“Data</w:t>
      </w:r>
      <w:r>
        <w:t xml:space="preserve"> </w:t>
      </w:r>
      <w:r>
        <w:t xml:space="preserve">Management</w:t>
      </w:r>
      <w:r>
        <w:t xml:space="preserve"> </w:t>
      </w:r>
      <w:r>
        <w:t xml:space="preserve">Costing</w:t>
      </w:r>
      <w:r>
        <w:t xml:space="preserve"> </w:t>
      </w:r>
      <w:r>
        <w:t xml:space="preserve">Tool</w:t>
      </w:r>
      <w:r>
        <w:t xml:space="preserve"> </w:t>
      </w:r>
      <w:r>
        <w:t xml:space="preserve">and</w:t>
      </w:r>
      <w:r>
        <w:t xml:space="preserve"> </w:t>
      </w:r>
      <w:r>
        <w:t xml:space="preserve">Checklist</w:t>
      </w:r>
      <w:r>
        <w:t xml:space="preserve">.”</w:t>
      </w:r>
      <w:r>
        <w:t xml:space="preserve"> </w:t>
      </w:r>
      <w:hyperlink r:id="rId132">
        <w:r>
          <w:rPr>
            <w:rStyle w:val="Hyperlink"/>
          </w:rPr>
          <w:t xml:space="preserve">https://ukdataservice.ac.uk//app/uploads/costingtool.pdf</w:t>
        </w:r>
      </w:hyperlink>
      <w:r>
        <w:t xml:space="preserve">.</w:t>
      </w:r>
    </w:p>
    <w:bookmarkEnd w:id="745"/>
    <w:bookmarkStart w:id="747" w:name="ref-uk_data_service_metadata_nodate"/>
    <w:p>
      <w:pPr>
        <w:pStyle w:val="Bibliography"/>
      </w:pPr>
      <w:r>
        <w:t xml:space="preserve">———. n.d.a.</w:t>
      </w:r>
      <w:r>
        <w:t xml:space="preserve"> </w:t>
      </w:r>
      <w:r>
        <w:t xml:space="preserve">“Metadata.”</w:t>
      </w:r>
      <w:r>
        <w:t xml:space="preserve"> </w:t>
      </w:r>
      <w:r>
        <w:rPr>
          <w:iCs/>
          <w:i/>
        </w:rPr>
        <w:t xml:space="preserve">UK Data Service</w:t>
      </w:r>
      <w:r>
        <w:t xml:space="preserve">. Accessed January 18, 2023.</w:t>
      </w:r>
      <w:r>
        <w:t xml:space="preserve"> </w:t>
      </w:r>
      <w:hyperlink r:id="rId746">
        <w:r>
          <w:rPr>
            <w:rStyle w:val="Hyperlink"/>
          </w:rPr>
          <w:t xml:space="preserve">https://ukdataservice.ac.uk/learning-hub/research-data-management/document-your-data/metadata/</w:t>
        </w:r>
      </w:hyperlink>
      <w:r>
        <w:t xml:space="preserve">.</w:t>
      </w:r>
    </w:p>
    <w:bookmarkEnd w:id="747"/>
    <w:bookmarkStart w:id="749" w:name="ref-uk_data_service_quality_nodate"/>
    <w:p>
      <w:pPr>
        <w:pStyle w:val="Bibliography"/>
      </w:pPr>
      <w:r>
        <w:t xml:space="preserve">———. n.d.b.</w:t>
      </w:r>
      <w:r>
        <w:t xml:space="preserve"> </w:t>
      </w:r>
      <w:r>
        <w:t xml:space="preserve">“Quality.”</w:t>
      </w:r>
      <w:r>
        <w:t xml:space="preserve"> </w:t>
      </w:r>
      <w:r>
        <w:t xml:space="preserve">Accessed January 13, 2023.</w:t>
      </w:r>
      <w:r>
        <w:t xml:space="preserve"> </w:t>
      </w:r>
      <w:hyperlink r:id="rId748">
        <w:r>
          <w:rPr>
            <w:rStyle w:val="Hyperlink"/>
          </w:rPr>
          <w:t xml:space="preserve">https://ukdataservice.ac.uk/learning-hub/research-data-management/format-your-data/quality/</w:t>
        </w:r>
      </w:hyperlink>
      <w:r>
        <w:t xml:space="preserve">.</w:t>
      </w:r>
    </w:p>
    <w:bookmarkEnd w:id="749"/>
    <w:bookmarkStart w:id="751" w:name="ref-uk_data_service_roles_nodate"/>
    <w:p>
      <w:pPr>
        <w:pStyle w:val="Bibliography"/>
      </w:pPr>
      <w:r>
        <w:t xml:space="preserve">———. n.d.c.</w:t>
      </w:r>
      <w:r>
        <w:t xml:space="preserve"> </w:t>
      </w:r>
      <w:r>
        <w:t xml:space="preserve">“Roles and Responsibilities.”</w:t>
      </w:r>
      <w:r>
        <w:t xml:space="preserve"> </w:t>
      </w:r>
      <w:r>
        <w:rPr>
          <w:iCs/>
          <w:i/>
        </w:rPr>
        <w:t xml:space="preserve">UK Data Service</w:t>
      </w:r>
      <w:r>
        <w:t xml:space="preserve">. Accessed January 10, 2023.</w:t>
      </w:r>
      <w:r>
        <w:t xml:space="preserve"> </w:t>
      </w:r>
      <w:hyperlink r:id="rId750">
        <w:r>
          <w:rPr>
            <w:rStyle w:val="Hyperlink"/>
          </w:rPr>
          <w:t xml:space="preserve">https://ukdataservice.ac.uk/learning-hub/research-data-management/plan-to-share/roles-and-responsibilities/</w:t>
        </w:r>
      </w:hyperlink>
      <w:r>
        <w:t xml:space="preserve">.</w:t>
      </w:r>
    </w:p>
    <w:bookmarkEnd w:id="751"/>
    <w:bookmarkStart w:id="753" w:name="ref-uk_data_service_versioning_nodate"/>
    <w:p>
      <w:pPr>
        <w:pStyle w:val="Bibliography"/>
      </w:pPr>
      <w:r>
        <w:t xml:space="preserve">———. n.d.d.</w:t>
      </w:r>
      <w:r>
        <w:t xml:space="preserve"> </w:t>
      </w:r>
      <w:r>
        <w:t xml:space="preserve">“Versioning.”</w:t>
      </w:r>
      <w:r>
        <w:t xml:space="preserve"> </w:t>
      </w:r>
      <w:r>
        <w:rPr>
          <w:iCs/>
          <w:i/>
        </w:rPr>
        <w:t xml:space="preserve">UK Data Service</w:t>
      </w:r>
      <w:r>
        <w:t xml:space="preserve">. Accessed January 17, 2023.</w:t>
      </w:r>
      <w:r>
        <w:t xml:space="preserve"> </w:t>
      </w:r>
      <w:hyperlink r:id="rId752">
        <w:r>
          <w:rPr>
            <w:rStyle w:val="Hyperlink"/>
          </w:rPr>
          <w:t xml:space="preserve">https://ukdataservice.ac.uk/learning-hub/research-data-management/format-your-data/versioning/</w:t>
        </w:r>
      </w:hyperlink>
      <w:r>
        <w:t xml:space="preserve">.</w:t>
      </w:r>
    </w:p>
    <w:bookmarkEnd w:id="753"/>
    <w:bookmarkStart w:id="755" w:name="X3df9d6f9d14e55876f7a5471a823d557014026a"/>
    <w:p>
      <w:pPr>
        <w:pStyle w:val="Bibliography"/>
      </w:pPr>
      <w:r>
        <w:t xml:space="preserve">United States Department Of Health And Human Services. 2022.</w:t>
      </w:r>
      <w:r>
        <w:t xml:space="preserve"> </w:t>
      </w:r>
      <w:r>
        <w:t xml:space="preserve">“Study of</w:t>
      </w:r>
      <w:r>
        <w:t xml:space="preserve"> </w:t>
      </w:r>
      <w:r>
        <w:t xml:space="preserve">Coaching</w:t>
      </w:r>
      <w:r>
        <w:t xml:space="preserve"> </w:t>
      </w:r>
      <w:r>
        <w:t xml:space="preserve">Practices</w:t>
      </w:r>
      <w:r>
        <w:t xml:space="preserve"> </w:t>
      </w:r>
      <w:r>
        <w:t xml:space="preserve">in</w:t>
      </w:r>
      <w:r>
        <w:t xml:space="preserve"> </w:t>
      </w:r>
      <w:r>
        <w:t xml:space="preserve">Early</w:t>
      </w:r>
      <w:r>
        <w:t xml:space="preserve"> </w:t>
      </w:r>
      <w:r>
        <w:t xml:space="preserve">Care</w:t>
      </w:r>
      <w:r>
        <w:t xml:space="preserve"> </w:t>
      </w:r>
      <w:r>
        <w:t xml:space="preserve">and</w:t>
      </w:r>
      <w:r>
        <w:t xml:space="preserve"> </w:t>
      </w:r>
      <w:r>
        <w:t xml:space="preserve">Education</w:t>
      </w:r>
      <w:r>
        <w:t xml:space="preserve"> </w:t>
      </w:r>
      <w:r>
        <w:t xml:space="preserve">Settings</w:t>
      </w:r>
      <w:r>
        <w:t xml:space="preserve"> </w:t>
      </w:r>
      <w:r>
        <w:t xml:space="preserve">(</w:t>
      </w:r>
      <w:r>
        <w:t xml:space="preserve">SCOPE</w:t>
      </w:r>
      <w:r>
        <w:t xml:space="preserve">),</w:t>
      </w:r>
      <w:r>
        <w:t xml:space="preserve"> </w:t>
      </w:r>
      <w:r>
        <w:t xml:space="preserve">United</w:t>
      </w:r>
      <w:r>
        <w:t xml:space="preserve"> </w:t>
      </w:r>
      <w:r>
        <w:t xml:space="preserve">States</w:t>
      </w:r>
      <w:r>
        <w:t xml:space="preserve">, 2019:</w:t>
      </w:r>
      <w:r>
        <w:t xml:space="preserve"> </w:t>
      </w:r>
      <w:r>
        <w:t xml:space="preserve">Version</w:t>
      </w:r>
      <w:r>
        <w:t xml:space="preserve"> </w:t>
      </w:r>
      <w:r>
        <w:t xml:space="preserve">1</w:t>
      </w:r>
      <w:r>
        <w:t xml:space="preserve"> </w:t>
      </w:r>
      <w:r>
        <w:t xml:space="preserve">SCOPE</w:t>
      </w:r>
      <w:r>
        <w:t xml:space="preserve"> </w:t>
      </w:r>
      <w:r>
        <w:t xml:space="preserve">Data</w:t>
      </w:r>
      <w:r>
        <w:t xml:space="preserve"> </w:t>
      </w:r>
      <w:r>
        <w:t xml:space="preserve">User</w:t>
      </w:r>
      <w:r>
        <w:t xml:space="preserve"> </w:t>
      </w:r>
      <w:r>
        <w:t xml:space="preserve">Guide</w:t>
      </w:r>
      <w:r>
        <w:t xml:space="preserve">.”</w:t>
      </w:r>
      <w:r>
        <w:t xml:space="preserve"> </w:t>
      </w:r>
      <w:r>
        <w:t xml:space="preserve">ICPSR - Interuniversity Consortium for Political; Social Research.</w:t>
      </w:r>
      <w:r>
        <w:t xml:space="preserve"> </w:t>
      </w:r>
      <w:hyperlink r:id="rId754">
        <w:r>
          <w:rPr>
            <w:rStyle w:val="Hyperlink"/>
          </w:rPr>
          <w:t xml:space="preserve">https://doi.org/10.3886/ICPSR38290.V1</w:t>
        </w:r>
      </w:hyperlink>
      <w:r>
        <w:t xml:space="preserve">.</w:t>
      </w:r>
    </w:p>
    <w:bookmarkEnd w:id="755"/>
    <w:bookmarkStart w:id="757" w:name="Xef65912c9bf377773ee44837d538c8c78b3cec5"/>
    <w:p>
      <w:pPr>
        <w:pStyle w:val="Bibliography"/>
      </w:pPr>
      <w:r>
        <w:t xml:space="preserve">University of California Berkeley. 2022.</w:t>
      </w:r>
      <w:r>
        <w:t xml:space="preserve"> </w:t>
      </w:r>
      <w:r>
        <w:t xml:space="preserve">“Exempt</w:t>
      </w:r>
      <w:r>
        <w:t xml:space="preserve"> </w:t>
      </w:r>
      <w:r>
        <w:t xml:space="preserve">Research</w:t>
      </w:r>
      <w:r>
        <w:t xml:space="preserve">.”</w:t>
      </w:r>
      <w:r>
        <w:t xml:space="preserve"> </w:t>
      </w:r>
      <w:hyperlink r:id="rId756">
        <w:r>
          <w:rPr>
            <w:rStyle w:val="Hyperlink"/>
          </w:rPr>
          <w:t xml:space="preserve">https://cphs.berkeley.edu/exempt.pdf</w:t>
        </w:r>
      </w:hyperlink>
      <w:r>
        <w:t xml:space="preserve">.</w:t>
      </w:r>
    </w:p>
    <w:bookmarkEnd w:id="757"/>
    <w:bookmarkStart w:id="759" w:name="Xde77f99fd3804727ede33d315e2d6ad339f132f"/>
    <w:p>
      <w:pPr>
        <w:pStyle w:val="Bibliography"/>
      </w:pPr>
      <w:r>
        <w:t xml:space="preserve">University of Iowa Libraries. n.d.</w:t>
      </w:r>
      <w:r>
        <w:t xml:space="preserve"> </w:t>
      </w:r>
      <w:r>
        <w:t xml:space="preserve">“Metadata.”</w:t>
      </w:r>
      <w:r>
        <w:t xml:space="preserve"> </w:t>
      </w:r>
      <w:r>
        <w:t xml:space="preserve">Accessed February 10, 2023.</w:t>
      </w:r>
      <w:r>
        <w:t xml:space="preserve"> </w:t>
      </w:r>
      <w:hyperlink r:id="rId758">
        <w:r>
          <w:rPr>
            <w:rStyle w:val="Hyperlink"/>
          </w:rPr>
          <w:t xml:space="preserve">https://www.lib.uiowa.edu/data/share/metadata/</w:t>
        </w:r>
      </w:hyperlink>
      <w:r>
        <w:t xml:space="preserve">.</w:t>
      </w:r>
    </w:p>
    <w:bookmarkEnd w:id="759"/>
    <w:bookmarkStart w:id="761" w:name="X498959d71c5b4f0aeb372e81a5c5e1f13cb33aa"/>
    <w:p>
      <w:pPr>
        <w:pStyle w:val="Bibliography"/>
      </w:pPr>
      <w:r>
        <w:t xml:space="preserve">University of Washington. n.d.</w:t>
      </w:r>
      <w:r>
        <w:t xml:space="preserve"> </w:t>
      </w:r>
      <w:r>
        <w:t xml:space="preserve">“Sharing</w:t>
      </w:r>
      <w:r>
        <w:t xml:space="preserve"> </w:t>
      </w:r>
      <w:r>
        <w:t xml:space="preserve">Information</w:t>
      </w:r>
      <w:r>
        <w:t xml:space="preserve"> </w:t>
      </w:r>
      <w:r>
        <w:t xml:space="preserve">and</w:t>
      </w:r>
      <w:r>
        <w:t xml:space="preserve"> </w:t>
      </w:r>
      <w:r>
        <w:t xml:space="preserve">Data</w:t>
      </w:r>
      <w:r>
        <w:t xml:space="preserve">.”</w:t>
      </w:r>
      <w:r>
        <w:t xml:space="preserve"> </w:t>
      </w:r>
      <w:r>
        <w:rPr>
          <w:iCs/>
          <w:i/>
        </w:rPr>
        <w:t xml:space="preserve">UW Research</w:t>
      </w:r>
      <w:r>
        <w:t xml:space="preserve">. Accessed April 27, 2023.</w:t>
      </w:r>
      <w:r>
        <w:t xml:space="preserve"> </w:t>
      </w:r>
      <w:hyperlink r:id="rId760">
        <w:r>
          <w:rPr>
            <w:rStyle w:val="Hyperlink"/>
          </w:rPr>
          <w:t xml:space="preserve">https://www.washington.edu/research/myresearch-lifecycle/setup/collaborations/sharing-information-and-data/</w:t>
        </w:r>
      </w:hyperlink>
      <w:r>
        <w:t xml:space="preserve">.</w:t>
      </w:r>
    </w:p>
    <w:bookmarkEnd w:id="761"/>
    <w:bookmarkStart w:id="763" w:name="ref-usgs_tools_nodate"/>
    <w:p>
      <w:pPr>
        <w:pStyle w:val="Bibliography"/>
      </w:pPr>
      <w:r>
        <w:t xml:space="preserve">USGS. n.d.a.</w:t>
      </w:r>
      <w:r>
        <w:t xml:space="preserve"> </w:t>
      </w:r>
      <w:r>
        <w:t xml:space="preserve">“Tools for</w:t>
      </w:r>
      <w:r>
        <w:t xml:space="preserve"> </w:t>
      </w:r>
      <w:r>
        <w:t xml:space="preserve">Creating</w:t>
      </w:r>
      <w:r>
        <w:t xml:space="preserve"> </w:t>
      </w:r>
      <w:r>
        <w:t xml:space="preserve">Metadata</w:t>
      </w:r>
      <w:r>
        <w:t xml:space="preserve"> </w:t>
      </w:r>
      <w:r>
        <w:t xml:space="preserve">Records</w:t>
      </w:r>
      <w:r>
        <w:t xml:space="preserve">.”</w:t>
      </w:r>
      <w:r>
        <w:t xml:space="preserve"> </w:t>
      </w:r>
      <w:r>
        <w:rPr>
          <w:iCs/>
          <w:i/>
        </w:rPr>
        <w:t xml:space="preserve">USGS</w:t>
      </w:r>
      <w:r>
        <w:t xml:space="preserve">.</w:t>
      </w:r>
      <w:r>
        <w:t xml:space="preserve"> </w:t>
      </w:r>
      <w:hyperlink r:id="rId762">
        <w:r>
          <w:rPr>
            <w:rStyle w:val="Hyperlink"/>
          </w:rPr>
          <w:t xml:space="preserve">https://www.usgs.gov/data-management/metadata-creation#tools</w:t>
        </w:r>
      </w:hyperlink>
      <w:r>
        <w:t xml:space="preserve">.</w:t>
      </w:r>
    </w:p>
    <w:bookmarkEnd w:id="763"/>
    <w:bookmarkStart w:id="765" w:name="ref-usgs_what_nodate"/>
    <w:p>
      <w:pPr>
        <w:pStyle w:val="Bibliography"/>
      </w:pPr>
      <w:r>
        <w:t xml:space="preserve">———. n.d.b.</w:t>
      </w:r>
      <w:r>
        <w:t xml:space="preserve"> </w:t>
      </w:r>
      <w:r>
        <w:t xml:space="preserve">“What Are the Differences Between Data, a Dataset, and a Database?</w:t>
      </w:r>
      <w:r>
        <w:t xml:space="preserve"> </w:t>
      </w:r>
      <w:r>
        <w:t xml:space="preserve"> </w:t>
      </w:r>
      <w:r>
        <w:t xml:space="preserve">U</w:t>
      </w:r>
      <w:r>
        <w:t xml:space="preserve">.</w:t>
      </w:r>
      <w:r>
        <w:t xml:space="preserve">S</w:t>
      </w:r>
      <w:r>
        <w:t xml:space="preserve">.</w:t>
      </w:r>
      <w:r>
        <w:t xml:space="preserve"> </w:t>
      </w:r>
      <w:r>
        <w:t xml:space="preserve">Geological</w:t>
      </w:r>
      <w:r>
        <w:t xml:space="preserve"> </w:t>
      </w:r>
      <w:r>
        <w:t xml:space="preserve">Survey</w:t>
      </w:r>
      <w:r>
        <w:t xml:space="preserve">.”</w:t>
      </w:r>
      <w:r>
        <w:t xml:space="preserve"> </w:t>
      </w:r>
      <w:r>
        <w:t xml:space="preserve">Accessed October 17, 2022.</w:t>
      </w:r>
      <w:r>
        <w:t xml:space="preserve"> </w:t>
      </w:r>
      <w:hyperlink r:id="rId764">
        <w:r>
          <w:rPr>
            <w:rStyle w:val="Hyperlink"/>
          </w:rPr>
          <w:t xml:space="preserve">https://www.usgs.gov/faqs/what-are-differences-between-data-dataset-and-database</w:t>
        </w:r>
      </w:hyperlink>
      <w:r>
        <w:t xml:space="preserve">.</w:t>
      </w:r>
    </w:p>
    <w:bookmarkEnd w:id="765"/>
    <w:bookmarkStart w:id="767" w:name="ref-valentine_best_nodate"/>
    <w:p>
      <w:pPr>
        <w:pStyle w:val="Bibliography"/>
      </w:pPr>
      <w:r>
        <w:t xml:space="preserve">Valentine, Theresa. n.d.</w:t>
      </w:r>
      <w:r>
        <w:t xml:space="preserve"> </w:t>
      </w:r>
      <w:r>
        <w:t xml:space="preserve">“Best</w:t>
      </w:r>
      <w:r>
        <w:t xml:space="preserve"> </w:t>
      </w:r>
      <w:r>
        <w:t xml:space="preserve">Practice</w:t>
      </w:r>
      <w:r>
        <w:t xml:space="preserve">:</w:t>
      </w:r>
      <w:r>
        <w:t xml:space="preserve"> </w:t>
      </w:r>
      <w:r>
        <w:t xml:space="preserve">Define</w:t>
      </w:r>
      <w:r>
        <w:t xml:space="preserve"> </w:t>
      </w:r>
      <w:r>
        <w:t xml:space="preserve">Roles and Assign Responsibilities for Data Management.”</w:t>
      </w:r>
      <w:r>
        <w:t xml:space="preserve"> </w:t>
      </w:r>
      <w:r>
        <w:rPr>
          <w:iCs/>
          <w:i/>
        </w:rPr>
        <w:t xml:space="preserve">DataOne</w:t>
      </w:r>
      <w:r>
        <w:t xml:space="preserve">. Accessed January 10, 2023.</w:t>
      </w:r>
      <w:r>
        <w:t xml:space="preserve"> </w:t>
      </w:r>
      <w:hyperlink r:id="rId766">
        <w:r>
          <w:rPr>
            <w:rStyle w:val="Hyperlink"/>
          </w:rPr>
          <w:t xml:space="preserve">https://dataoneorg.github.io/Education/bestpractices/define-roles-and</w:t>
        </w:r>
      </w:hyperlink>
      <w:r>
        <w:t xml:space="preserve">.</w:t>
      </w:r>
    </w:p>
    <w:bookmarkEnd w:id="767"/>
    <w:bookmarkStart w:id="768" w:name="ref-rel_west_data_nodate"/>
    <w:p>
      <w:pPr>
        <w:pStyle w:val="Bibliography"/>
      </w:pPr>
      <w:r>
        <w:t xml:space="preserve">West, REL. n.d.</w:t>
      </w:r>
      <w:r>
        <w:t xml:space="preserve"> </w:t>
      </w:r>
      <w:r>
        <w:t xml:space="preserve">“Data</w:t>
      </w:r>
      <w:r>
        <w:t xml:space="preserve"> </w:t>
      </w:r>
      <w:r>
        <w:t xml:space="preserve">Sharing</w:t>
      </w:r>
      <w:r>
        <w:t xml:space="preserve"> </w:t>
      </w:r>
      <w:r>
        <w:t xml:space="preserve">and</w:t>
      </w:r>
      <w:r>
        <w:t xml:space="preserve"> </w:t>
      </w:r>
      <w:r>
        <w:t xml:space="preserve">Memorandums</w:t>
      </w:r>
      <w:r>
        <w:t xml:space="preserve"> </w:t>
      </w:r>
      <w:r>
        <w:t xml:space="preserve">of</w:t>
      </w:r>
      <w:r>
        <w:t xml:space="preserve"> </w:t>
      </w:r>
      <w:r>
        <w:t xml:space="preserve">Understanding</w:t>
      </w:r>
      <w:r>
        <w:t xml:space="preserve">:</w:t>
      </w:r>
      <w:r>
        <w:t xml:space="preserve"> </w:t>
      </w:r>
      <w:r>
        <w:t xml:space="preserve">Considerations</w:t>
      </w:r>
      <w:r>
        <w:t xml:space="preserve"> </w:t>
      </w:r>
      <w:r>
        <w:t xml:space="preserve">for</w:t>
      </w:r>
      <w:r>
        <w:t xml:space="preserve"> </w:t>
      </w:r>
      <w:r>
        <w:t xml:space="preserve">Development</w:t>
      </w:r>
      <w:r>
        <w:t xml:space="preserve">.”</w:t>
      </w:r>
      <w:r>
        <w:t xml:space="preserve"> </w:t>
      </w:r>
      <w:hyperlink r:id="rId442">
        <w:r>
          <w:rPr>
            <w:rStyle w:val="Hyperlink"/>
          </w:rPr>
          <w:t xml:space="preserve">https://ies.ed.gov/ncee/rel/regions/west/relwestFiles/pdf/CRP_Data_Sharing_Agreements_and_MOUs.pdf</w:t>
        </w:r>
      </w:hyperlink>
      <w:r>
        <w:t xml:space="preserve">.</w:t>
      </w:r>
    </w:p>
    <w:bookmarkEnd w:id="768"/>
    <w:bookmarkStart w:id="770" w:name="ref-wickham_tidy_2014"/>
    <w:p>
      <w:pPr>
        <w:pStyle w:val="Bibliography"/>
      </w:pPr>
      <w:r>
        <w:t xml:space="preserve">Wickham, Hadley. 2014.</w:t>
      </w:r>
      <w:r>
        <w:t xml:space="preserve"> </w:t>
      </w:r>
      <w:r>
        <w:t xml:space="preserve">“Tidy</w:t>
      </w:r>
      <w:r>
        <w:t xml:space="preserve"> </w:t>
      </w:r>
      <w:r>
        <w:t xml:space="preserve">Data</w:t>
      </w:r>
      <w:r>
        <w:t xml:space="preserve">.”</w:t>
      </w:r>
      <w:r>
        <w:t xml:space="preserve"> </w:t>
      </w:r>
      <w:r>
        <w:rPr>
          <w:iCs/>
          <w:i/>
        </w:rPr>
        <w:t xml:space="preserve">Journal of Statistical Software</w:t>
      </w:r>
      <w:r>
        <w:t xml:space="preserve"> </w:t>
      </w:r>
      <w:r>
        <w:t xml:space="preserve">59 (September): 1–23.</w:t>
      </w:r>
      <w:r>
        <w:t xml:space="preserve"> </w:t>
      </w:r>
      <w:hyperlink r:id="rId769">
        <w:r>
          <w:rPr>
            <w:rStyle w:val="Hyperlink"/>
          </w:rPr>
          <w:t xml:space="preserve">https://doi.org/10.18637/jss.v059.i10</w:t>
        </w:r>
      </w:hyperlink>
      <w:r>
        <w:t xml:space="preserve">.</w:t>
      </w:r>
    </w:p>
    <w:bookmarkEnd w:id="770"/>
    <w:bookmarkStart w:id="772" w:name="ref-wickham_welcome_nodate"/>
    <w:p>
      <w:pPr>
        <w:pStyle w:val="Bibliography"/>
      </w:pPr>
      <w:r>
        <w:t xml:space="preserve">———. n.d.</w:t>
      </w:r>
      <w:r>
        <w:t xml:space="preserve"> </w:t>
      </w:r>
      <w:r>
        <w:rPr>
          <w:iCs/>
          <w:i/>
        </w:rPr>
        <w:t xml:space="preserve">Welcome</w:t>
      </w:r>
      <w:r>
        <w:rPr>
          <w:iCs/>
          <w:i/>
        </w:rPr>
        <w:t xml:space="preserve"> </w:t>
      </w:r>
      <w:r>
        <w:rPr>
          <w:iCs/>
          <w:i/>
        </w:rPr>
        <w:t xml:space="preserve"> </w:t>
      </w:r>
      <w:r>
        <w:rPr>
          <w:iCs/>
          <w:i/>
        </w:rPr>
        <w:t xml:space="preserve">The</w:t>
      </w:r>
      <w:r>
        <w:rPr>
          <w:iCs/>
          <w:i/>
        </w:rPr>
        <w:t xml:space="preserve"> </w:t>
      </w:r>
      <w:r>
        <w:rPr>
          <w:iCs/>
          <w:i/>
        </w:rPr>
        <w:t xml:space="preserve">Tidyverse Style Guide</w:t>
      </w:r>
      <w:r>
        <w:t xml:space="preserve">. Accessed February 17, 2023.</w:t>
      </w:r>
      <w:r>
        <w:t xml:space="preserve"> </w:t>
      </w:r>
      <w:hyperlink r:id="rId771">
        <w:r>
          <w:rPr>
            <w:rStyle w:val="Hyperlink"/>
          </w:rPr>
          <w:t xml:space="preserve">https://style.tidyverse.org/index.html</w:t>
        </w:r>
      </w:hyperlink>
      <w:r>
        <w:t xml:space="preserve">.</w:t>
      </w:r>
    </w:p>
    <w:bookmarkEnd w:id="772"/>
    <w:bookmarkStart w:id="774" w:name="ref-wickham_8_nodate"/>
    <w:p>
      <w:pPr>
        <w:pStyle w:val="Bibliography"/>
      </w:pPr>
      <w:r>
        <w:t xml:space="preserve">Wickham, Hadley, and Garrett Grolemund. n.d.</w:t>
      </w:r>
      <w:r>
        <w:t xml:space="preserve"> </w:t>
      </w:r>
      <w:r>
        <w:rPr>
          <w:iCs/>
          <w:i/>
        </w:rPr>
        <w:t xml:space="preserve">8</w:t>
      </w:r>
      <w:r>
        <w:rPr>
          <w:iCs/>
          <w:i/>
        </w:rPr>
        <w:t xml:space="preserve"> </w:t>
      </w:r>
      <w:r>
        <w:rPr>
          <w:iCs/>
          <w:i/>
        </w:rPr>
        <w:t xml:space="preserve">Workflow</w:t>
      </w:r>
      <w:r>
        <w:rPr>
          <w:iCs/>
          <w:i/>
        </w:rPr>
        <w:t xml:space="preserve">: Projects</w:t>
      </w:r>
      <w:r>
        <w:rPr>
          <w:iCs/>
          <w:i/>
        </w:rPr>
        <w:t xml:space="preserve"> </w:t>
      </w:r>
      <w:r>
        <w:rPr>
          <w:iCs/>
          <w:i/>
        </w:rPr>
        <w:t xml:space="preserve"> </w:t>
      </w:r>
      <w:r>
        <w:rPr>
          <w:iCs/>
          <w:i/>
        </w:rPr>
        <w:t xml:space="preserve">R</w:t>
      </w:r>
      <w:r>
        <w:rPr>
          <w:iCs/>
          <w:i/>
        </w:rPr>
        <w:t xml:space="preserve"> </w:t>
      </w:r>
      <w:r>
        <w:rPr>
          <w:iCs/>
          <w:i/>
        </w:rPr>
        <w:t xml:space="preserve">for</w:t>
      </w:r>
      <w:r>
        <w:rPr>
          <w:iCs/>
          <w:i/>
        </w:rPr>
        <w:t xml:space="preserve"> </w:t>
      </w:r>
      <w:r>
        <w:rPr>
          <w:iCs/>
          <w:i/>
        </w:rPr>
        <w:t xml:space="preserve">Data</w:t>
      </w:r>
      <w:r>
        <w:rPr>
          <w:iCs/>
          <w:i/>
        </w:rPr>
        <w:t xml:space="preserve"> </w:t>
      </w:r>
      <w:r>
        <w:rPr>
          <w:iCs/>
          <w:i/>
        </w:rPr>
        <w:t xml:space="preserve">Science</w:t>
      </w:r>
      <w:r>
        <w:t xml:space="preserve">. Accessed February 17, 2023.</w:t>
      </w:r>
      <w:r>
        <w:t xml:space="preserve"> </w:t>
      </w:r>
      <w:hyperlink r:id="rId773">
        <w:r>
          <w:rPr>
            <w:rStyle w:val="Hyperlink"/>
          </w:rPr>
          <w:t xml:space="preserve">https://r4ds.had.co.nz/workflow-projects.html</w:t>
        </w:r>
      </w:hyperlink>
      <w:r>
        <w:t xml:space="preserve">.</w:t>
      </w:r>
    </w:p>
    <w:bookmarkEnd w:id="774"/>
    <w:bookmarkStart w:id="776" w:name="ref-wilkinson_fair_2016"/>
    <w:p>
      <w:pPr>
        <w:pStyle w:val="Bibliography"/>
      </w:pPr>
      <w:r>
        <w:t xml:space="preserve">Wilkinson, Mark D., Michel Dumontier, IJsbrand Jan Aalbersberg, Gabrielle Appleton, Myles Axton, Arie Baak, Niklas Blomberg, et al. 2016.</w:t>
      </w:r>
      <w:r>
        <w:t xml:space="preserve"> </w:t>
      </w:r>
      <w:r>
        <w:t xml:space="preserve">“The</w:t>
      </w:r>
      <w:r>
        <w:t xml:space="preserve"> </w:t>
      </w:r>
      <w:r>
        <w:t xml:space="preserve">FAIR</w:t>
      </w:r>
      <w:r>
        <w:t xml:space="preserve"> </w:t>
      </w:r>
      <w:r>
        <w:t xml:space="preserve">Guiding</w:t>
      </w:r>
      <w:r>
        <w:t xml:space="preserve"> </w:t>
      </w:r>
      <w:r>
        <w:t xml:space="preserve">Principles</w:t>
      </w:r>
      <w:r>
        <w:t xml:space="preserve"> </w:t>
      </w:r>
      <w:r>
        <w:t xml:space="preserve">for Scientific Data Management and Stewardship.”</w:t>
      </w:r>
      <w:r>
        <w:t xml:space="preserve"> </w:t>
      </w:r>
      <w:r>
        <w:rPr>
          <w:iCs/>
          <w:i/>
        </w:rPr>
        <w:t xml:space="preserve">Scientific Data</w:t>
      </w:r>
      <w:r>
        <w:t xml:space="preserve"> </w:t>
      </w:r>
      <w:r>
        <w:t xml:space="preserve">3 (1): 160018.</w:t>
      </w:r>
      <w:r>
        <w:t xml:space="preserve"> </w:t>
      </w:r>
      <w:hyperlink r:id="rId775">
        <w:r>
          <w:rPr>
            <w:rStyle w:val="Hyperlink"/>
          </w:rPr>
          <w:t xml:space="preserve">https://doi.org/10.1038/sdata.2016.18</w:t>
        </w:r>
      </w:hyperlink>
      <w:r>
        <w:t xml:space="preserve">.</w:t>
      </w:r>
    </w:p>
    <w:bookmarkEnd w:id="776"/>
    <w:bookmarkStart w:id="778" w:name="ref-wilson_good_2017"/>
    <w:p>
      <w:pPr>
        <w:pStyle w:val="Bibliography"/>
      </w:pPr>
      <w:r>
        <w:t xml:space="preserve">Wilson, Greg, Jennifer Bryan, Karen Cranston, Justin Kitzes, Lex Nederbragt, and Tracy K. Teal. 2017.</w:t>
      </w:r>
      <w:r>
        <w:t xml:space="preserve"> </w:t>
      </w:r>
      <w:r>
        <w:t xml:space="preserve">“Good Enough Practices in Scientific Computing.”</w:t>
      </w:r>
      <w:r>
        <w:t xml:space="preserve"> </w:t>
      </w:r>
      <w:r>
        <w:rPr>
          <w:iCs/>
          <w:i/>
        </w:rPr>
        <w:t xml:space="preserve">PLOS Computational Biology</w:t>
      </w:r>
      <w:r>
        <w:t xml:space="preserve"> </w:t>
      </w:r>
      <w:r>
        <w:t xml:space="preserve">13 (6): e1005510.</w:t>
      </w:r>
      <w:r>
        <w:t xml:space="preserve"> </w:t>
      </w:r>
      <w:hyperlink r:id="rId777">
        <w:r>
          <w:rPr>
            <w:rStyle w:val="Hyperlink"/>
          </w:rPr>
          <w:t xml:space="preserve">https://doi.org/10.1371/journal.pcbi.1005510</w:t>
        </w:r>
      </w:hyperlink>
      <w:r>
        <w:t xml:space="preserve">.</w:t>
      </w:r>
    </w:p>
    <w:bookmarkEnd w:id="778"/>
    <w:bookmarkStart w:id="780" w:name="ref-xkcd_documents_nodate"/>
    <w:p>
      <w:pPr>
        <w:pStyle w:val="Bibliography"/>
      </w:pPr>
      <w:r>
        <w:t xml:space="preserve">xkcd. n.d.</w:t>
      </w:r>
      <w:r>
        <w:t xml:space="preserve"> </w:t>
      </w:r>
      <w:r>
        <w:t xml:space="preserve">“Documents.”</w:t>
      </w:r>
      <w:r>
        <w:t xml:space="preserve"> </w:t>
      </w:r>
      <w:r>
        <w:t xml:space="preserve">Accessed February 16, 2023.</w:t>
      </w:r>
      <w:r>
        <w:t xml:space="preserve"> </w:t>
      </w:r>
      <w:hyperlink r:id="rId779">
        <w:r>
          <w:rPr>
            <w:rStyle w:val="Hyperlink"/>
          </w:rPr>
          <w:t xml:space="preserve">https://xkcd.com/1459/</w:t>
        </w:r>
      </w:hyperlink>
      <w:r>
        <w:t xml:space="preserve">.</w:t>
      </w:r>
    </w:p>
    <w:bookmarkEnd w:id="780"/>
    <w:bookmarkStart w:id="782" w:name="ref-zhou_research_2023"/>
    <w:p>
      <w:pPr>
        <w:pStyle w:val="Bibliography"/>
      </w:pPr>
      <w:r>
        <w:t xml:space="preserve">Zhou, Xuan, Zhihong Xu, and Ashlynn Kogut. 2023.</w:t>
      </w:r>
      <w:r>
        <w:t xml:space="preserve"> </w:t>
      </w:r>
      <w:r>
        <w:t xml:space="preserve">“Research Data Management Needs Assessment for Social Sciences Graduate Students:</w:t>
      </w:r>
      <w:r>
        <w:t xml:space="preserve"> </w:t>
      </w:r>
      <w:r>
        <w:t xml:space="preserve">A</w:t>
      </w:r>
      <w:r>
        <w:t xml:space="preserve"> </w:t>
      </w:r>
      <w:r>
        <w:t xml:space="preserve">Mixed Methods Study.”</w:t>
      </w:r>
      <w:r>
        <w:t xml:space="preserve"> </w:t>
      </w:r>
      <w:r>
        <w:rPr>
          <w:iCs/>
          <w:i/>
        </w:rPr>
        <w:t xml:space="preserve">PLOS ONE</w:t>
      </w:r>
      <w:r>
        <w:t xml:space="preserve"> </w:t>
      </w:r>
      <w:r>
        <w:t xml:space="preserve">18 (2): e0282152.</w:t>
      </w:r>
      <w:r>
        <w:t xml:space="preserve"> </w:t>
      </w:r>
      <w:hyperlink r:id="rId781">
        <w:r>
          <w:rPr>
            <w:rStyle w:val="Hyperlink"/>
          </w:rPr>
          <w:t xml:space="preserve">https://doi.org/10.1371/journal.pone.0282152</w:t>
        </w:r>
      </w:hyperlink>
      <w:r>
        <w:t xml:space="preserve">.</w:t>
      </w:r>
    </w:p>
    <w:bookmarkEnd w:id="782"/>
    <w:bookmarkEnd w:id="783"/>
    <w:bookmarkEnd w:id="784"/>
    <w:bookmarkEnd w:id="7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4">
    <w:p>
      <w:pPr>
        <w:pStyle w:val="FootnoteText"/>
      </w:pPr>
      <w:r>
        <w:rPr>
          <w:rStyle w:val="FootnoteReference"/>
        </w:rPr>
        <w:footnoteRef/>
      </w:r>
      <w:r>
        <w:t xml:space="preserve"> </w:t>
      </w:r>
      <w:hyperlink r:id="rId115">
        <w:r>
          <w:rPr>
            <w:rStyle w:val="Hyperlink"/>
          </w:rPr>
          <w:t xml:space="preserve">https://dmptool.org/public_templates</w:t>
        </w:r>
      </w:hyperlink>
    </w:p>
  </w:footnote>
  <w:footnote w:id="116">
    <w:p>
      <w:pPr>
        <w:pStyle w:val="FootnoteText"/>
      </w:pPr>
      <w:r>
        <w:rPr>
          <w:rStyle w:val="FootnoteReference"/>
        </w:rPr>
        <w:footnoteRef/>
      </w:r>
      <w:r>
        <w:t xml:space="preserve"> </w:t>
      </w:r>
      <w:hyperlink r:id="rId117">
        <w:r>
          <w:rPr>
            <w:rStyle w:val="Hyperlink"/>
          </w:rPr>
          <w:t xml:space="preserve">https://help.figshare.com/article/how-to-write-a-data-management-plan-dmp-and-include-figshare-in-your-data-sharing-plans</w:t>
        </w:r>
      </w:hyperlink>
    </w:p>
  </w:footnote>
  <w:footnote w:id="118">
    <w:p>
      <w:pPr>
        <w:pStyle w:val="FootnoteText"/>
      </w:pPr>
      <w:r>
        <w:rPr>
          <w:rStyle w:val="FootnoteReference"/>
        </w:rPr>
        <w:footnoteRef/>
      </w:r>
      <w:r>
        <w:t xml:space="preserve"> </w:t>
      </w:r>
      <w:hyperlink r:id="rId119">
        <w:r>
          <w:rPr>
            <w:rStyle w:val="Hyperlink"/>
          </w:rPr>
          <w:t xml:space="preserve">https://osf.io/awypt/</w:t>
        </w:r>
      </w:hyperlink>
    </w:p>
  </w:footnote>
  <w:footnote w:id="120">
    <w:p>
      <w:pPr>
        <w:pStyle w:val="FootnoteText"/>
      </w:pPr>
      <w:r>
        <w:rPr>
          <w:rStyle w:val="FootnoteReference"/>
        </w:rPr>
        <w:footnoteRef/>
      </w:r>
      <w:r>
        <w:t xml:space="preserve"> </w:t>
      </w:r>
      <w:hyperlink r:id="rId121">
        <w:r>
          <w:rPr>
            <w:rStyle w:val="Hyperlink"/>
          </w:rPr>
          <w:t xml:space="preserve">https://osf.io/ztjf2</w:t>
        </w:r>
      </w:hyperlink>
    </w:p>
  </w:footnote>
  <w:footnote w:id="122">
    <w:p>
      <w:pPr>
        <w:pStyle w:val="FootnoteText"/>
      </w:pPr>
      <w:r>
        <w:rPr>
          <w:rStyle w:val="FootnoteReference"/>
        </w:rPr>
        <w:footnoteRef/>
      </w:r>
      <w:r>
        <w:t xml:space="preserve"> </w:t>
      </w:r>
      <w:hyperlink r:id="rId123">
        <w:r>
          <w:rPr>
            <w:rStyle w:val="Hyperlink"/>
          </w:rPr>
          <w:t xml:space="preserve">https://www.icpsr.umich.edu/files/ICPSR/nih/FINAL_ICPSR-NIH-DMS-Plan-Template_2023.docx</w:t>
        </w:r>
      </w:hyperlink>
    </w:p>
  </w:footnote>
  <w:footnote w:id="124">
    <w:p>
      <w:pPr>
        <w:pStyle w:val="FootnoteText"/>
      </w:pPr>
      <w:r>
        <w:rPr>
          <w:rStyle w:val="FootnoteReference"/>
        </w:rPr>
        <w:footnoteRef/>
      </w:r>
      <w:r>
        <w:t xml:space="preserve"> </w:t>
      </w:r>
      <w:hyperlink r:id="rId125">
        <w:r>
          <w:rPr>
            <w:rStyle w:val="Hyperlink"/>
          </w:rPr>
          <w:t xml:space="preserve">https://www.nichd.nih.gov/sites/default/files/inline-files/Example_DMS_Plan-Human-Survey-NIH_Format_Page_V2.pdf</w:t>
        </w:r>
      </w:hyperlink>
    </w:p>
  </w:footnote>
  <w:footnote w:id="126">
    <w:p>
      <w:pPr>
        <w:pStyle w:val="FootnoteText"/>
      </w:pPr>
      <w:r>
        <w:rPr>
          <w:rStyle w:val="FootnoteReference"/>
        </w:rPr>
        <w:footnoteRef/>
      </w:r>
      <w:r>
        <w:t xml:space="preserve"> </w:t>
      </w:r>
      <w:hyperlink r:id="rId127">
        <w:r>
          <w:rPr>
            <w:rStyle w:val="Hyperlink"/>
          </w:rPr>
          <w:t xml:space="preserve">https://figshare.com/articles/preprint/Example_of_a_Data_Management_Plan/13218743</w:t>
        </w:r>
      </w:hyperlink>
    </w:p>
  </w:footnote>
  <w:footnote w:id="128">
    <w:p>
      <w:pPr>
        <w:pStyle w:val="FootnoteText"/>
      </w:pPr>
      <w:r>
        <w:rPr>
          <w:rStyle w:val="FootnoteReference"/>
        </w:rPr>
        <w:footnoteRef/>
      </w:r>
      <w:r>
        <w:t xml:space="preserve"> </w:t>
      </w:r>
      <w:hyperlink r:id="rId129">
        <w:r>
          <w:rPr>
            <w:rStyle w:val="Hyperlink"/>
          </w:rPr>
          <w:t xml:space="preserve">https://www.lib.umn.edu/services/data/dmp-examples</w:t>
        </w:r>
      </w:hyperlink>
    </w:p>
  </w:footnote>
  <w:footnote w:id="131">
    <w:p>
      <w:pPr>
        <w:pStyle w:val="FootnoteText"/>
      </w:pPr>
      <w:r>
        <w:rPr>
          <w:rStyle w:val="FootnoteReference"/>
        </w:rPr>
        <w:footnoteRef/>
      </w:r>
      <w:r>
        <w:t xml:space="preserve"> </w:t>
      </w:r>
      <w:hyperlink r:id="rId132">
        <w:r>
          <w:rPr>
            <w:rStyle w:val="Hyperlink"/>
          </w:rPr>
          <w:t xml:space="preserve">https://ukdataservice.ac.uk//app/uploads/costingtool.pdf</w:t>
        </w:r>
      </w:hyperlink>
    </w:p>
  </w:footnote>
  <w:footnote w:id="133">
    <w:p>
      <w:pPr>
        <w:pStyle w:val="FootnoteText"/>
      </w:pPr>
      <w:r>
        <w:rPr>
          <w:rStyle w:val="FootnoteReference"/>
        </w:rPr>
        <w:footnoteRef/>
      </w:r>
      <w:r>
        <w:t xml:space="preserve"> </w:t>
      </w:r>
      <w:hyperlink r:id="rId134">
        <w:r>
          <w:rPr>
            <w:rStyle w:val="Hyperlink"/>
          </w:rPr>
          <w:t xml:space="preserve">https://www.utwente.nl/en/service-portal/services/lisa/resources/files/library-public/dcc-rdm-costs-estimation.pdf</w:t>
        </w:r>
      </w:hyperlink>
    </w:p>
  </w:footnote>
  <w:footnote w:id="135">
    <w:p>
      <w:pPr>
        <w:pStyle w:val="FootnoteText"/>
      </w:pPr>
      <w:r>
        <w:rPr>
          <w:rStyle w:val="FootnoteReference"/>
        </w:rPr>
        <w:footnoteRef/>
      </w:r>
      <w:r>
        <w:t xml:space="preserve"> </w:t>
      </w:r>
      <w:hyperlink r:id="rId134">
        <w:r>
          <w:rPr>
            <w:rStyle w:val="Hyperlink"/>
          </w:rPr>
          <w:t xml:space="preserve">https://www.utwente.nl/en/service-portal/services/lisa/resources/files/library-public/dcc-rdm-costs-estimation.pdf</w:t>
        </w:r>
      </w:hyperlink>
    </w:p>
  </w:footnote>
  <w:footnote w:id="136">
    <w:p>
      <w:pPr>
        <w:pStyle w:val="FootnoteText"/>
      </w:pPr>
      <w:r>
        <w:rPr>
          <w:rStyle w:val="FootnoteReference"/>
        </w:rPr>
        <w:footnoteRef/>
      </w:r>
      <w:r>
        <w:t xml:space="preserve"> </w:t>
      </w:r>
      <w:hyperlink r:id="rId137">
        <w:r>
          <w:rPr>
            <w:rStyle w:val="Hyperlink"/>
          </w:rPr>
          <w:t xml:space="preserve">https://dataoneorg.github.io/Education/bestpractices/provide-budget-information</w:t>
        </w:r>
      </w:hyperlink>
    </w:p>
  </w:footnote>
  <w:footnote w:id="138">
    <w:p>
      <w:pPr>
        <w:pStyle w:val="FootnoteText"/>
      </w:pPr>
      <w:r>
        <w:rPr>
          <w:rStyle w:val="FootnoteReference"/>
        </w:rPr>
        <w:footnoteRef/>
      </w:r>
      <w:r>
        <w:t xml:space="preserve"> </w:t>
      </w:r>
      <w:hyperlink r:id="rId139">
        <w:r>
          <w:rPr>
            <w:rStyle w:val="Hyperlink"/>
          </w:rPr>
          <w:t xml:space="preserve">https://www.povertyactionlab.org/resource/grant-proposals</w:t>
        </w:r>
      </w:hyperlink>
    </w:p>
  </w:footnote>
  <w:footnote w:id="147">
    <w:p>
      <w:pPr>
        <w:pStyle w:val="FootnoteText"/>
      </w:pPr>
      <w:r>
        <w:rPr>
          <w:rStyle w:val="FootnoteReference"/>
        </w:rPr>
        <w:footnoteRef/>
      </w:r>
      <w:r>
        <w:t xml:space="preserve"> </w:t>
      </w:r>
      <w:hyperlink r:id="rId148">
        <w:r>
          <w:rPr>
            <w:rStyle w:val="Hyperlink"/>
          </w:rPr>
          <w:t xml:space="preserve">https://docs.google.com/document/d/1o_QsM9N492XgMhRE4ef9GaGVNzvfO4sR</w:t>
        </w:r>
      </w:hyperlink>
    </w:p>
  </w:footnote>
  <w:footnote w:id="149">
    <w:p>
      <w:pPr>
        <w:pStyle w:val="FootnoteText"/>
      </w:pPr>
      <w:r>
        <w:rPr>
          <w:rStyle w:val="FootnoteReference"/>
        </w:rPr>
        <w:footnoteRef/>
      </w:r>
      <w:r>
        <w:t xml:space="preserve"> </w:t>
      </w:r>
      <w:hyperlink r:id="rId150">
        <w:r>
          <w:rPr>
            <w:rStyle w:val="Hyperlink"/>
          </w:rPr>
          <w:t xml:space="preserve">https://docs.google.com/document/d/131cHp9-_NET3futvKH7ECV39rTSTEULE</w:t>
        </w:r>
      </w:hyperlink>
    </w:p>
  </w:footnote>
  <w:footnote w:id="151">
    <w:p>
      <w:pPr>
        <w:pStyle w:val="FootnoteText"/>
      </w:pPr>
      <w:r>
        <w:rPr>
          <w:rStyle w:val="FootnoteReference"/>
        </w:rPr>
        <w:footnoteRef/>
      </w:r>
      <w:r>
        <w:t xml:space="preserve"> </w:t>
      </w:r>
      <w:hyperlink r:id="rId152">
        <w:r>
          <w:rPr>
            <w:rStyle w:val="Hyperlink"/>
          </w:rPr>
          <w:t xml:space="preserve">https://docs.google.com/document/d/1M372uOtVutLxt7VZgCZnxPVDUSTQmm15</w:t>
        </w:r>
      </w:hyperlink>
    </w:p>
  </w:footnote>
  <w:footnote w:id="153">
    <w:p>
      <w:pPr>
        <w:pStyle w:val="FootnoteText"/>
      </w:pPr>
      <w:r>
        <w:rPr>
          <w:rStyle w:val="FootnoteReference"/>
        </w:rPr>
        <w:footnoteRef/>
      </w:r>
      <w:r>
        <w:t xml:space="preserve"> </w:t>
      </w:r>
      <w:hyperlink r:id="rId154">
        <w:r>
          <w:rPr>
            <w:rStyle w:val="Hyperlink"/>
          </w:rPr>
          <w:t xml:space="preserve">https://docs.google.com/document/d/1nvjMHeDmJkQtTT4CoLpUcroYknSDAQyj</w:t>
        </w:r>
      </w:hyperlink>
    </w:p>
  </w:footnote>
  <w:footnote w:id="155">
    <w:p>
      <w:pPr>
        <w:pStyle w:val="FootnoteText"/>
      </w:pPr>
      <w:r>
        <w:rPr>
          <w:rStyle w:val="FootnoteReference"/>
        </w:rPr>
        <w:footnoteRef/>
      </w:r>
      <w:r>
        <w:t xml:space="preserve"> </w:t>
      </w:r>
      <w:hyperlink r:id="rId156">
        <w:r>
          <w:rPr>
            <w:rStyle w:val="Hyperlink"/>
          </w:rPr>
          <w:t xml:space="preserve">https://docs.google.com/document/d/1YM3q0aNEpQAalorr3fs4dXH2aCuompNk</w:t>
        </w:r>
      </w:hyperlink>
    </w:p>
  </w:footnote>
  <w:footnote w:id="157">
    <w:p>
      <w:pPr>
        <w:pStyle w:val="FootnoteText"/>
      </w:pPr>
      <w:r>
        <w:rPr>
          <w:rStyle w:val="FootnoteReference"/>
        </w:rPr>
        <w:footnoteRef/>
      </w:r>
      <w:r>
        <w:t xml:space="preserve"> </w:t>
      </w:r>
      <w:hyperlink r:id="rId158">
        <w:r>
          <w:rPr>
            <w:rStyle w:val="Hyperlink"/>
          </w:rPr>
          <w:t xml:space="preserve">https://docs.google.com/document/d/18fL9M4TKi0k6cC2ubK0VD5Res9yXsS92</w:t>
        </w:r>
      </w:hyperlink>
    </w:p>
  </w:footnote>
  <w:footnote w:id="159">
    <w:p>
      <w:pPr>
        <w:pStyle w:val="FootnoteText"/>
      </w:pPr>
      <w:r>
        <w:rPr>
          <w:rStyle w:val="FootnoteReference"/>
        </w:rPr>
        <w:footnoteRef/>
      </w:r>
      <w:r>
        <w:t xml:space="preserve"> </w:t>
      </w:r>
      <w:hyperlink r:id="rId160">
        <w:r>
          <w:rPr>
            <w:rStyle w:val="Hyperlink"/>
          </w:rPr>
          <w:t xml:space="preserve">https://docs.google.com/document/d/1mxxGaDvFPlQaR7M3wSmwWTgkHa5yiT4t</w:t>
        </w:r>
      </w:hyperlink>
    </w:p>
  </w:footnote>
  <w:footnote w:id="161">
    <w:p>
      <w:pPr>
        <w:pStyle w:val="FootnoteText"/>
      </w:pPr>
      <w:r>
        <w:rPr>
          <w:rStyle w:val="FootnoteReference"/>
        </w:rPr>
        <w:footnoteRef/>
      </w:r>
      <w:r>
        <w:t xml:space="preserve"> </w:t>
      </w:r>
      <w:hyperlink r:id="rId162">
        <w:r>
          <w:rPr>
            <w:rStyle w:val="Hyperlink"/>
          </w:rPr>
          <w:t xml:space="preserve">https://docs.google.com/document/d/12Jx4soafWiZF-1y-ESu1n37aDa-Pa4ZS</w:t>
        </w:r>
      </w:hyperlink>
    </w:p>
  </w:footnote>
  <w:footnote w:id="163">
    <w:p>
      <w:pPr>
        <w:pStyle w:val="FootnoteText"/>
      </w:pPr>
      <w:r>
        <w:rPr>
          <w:rStyle w:val="FootnoteReference"/>
        </w:rPr>
        <w:footnoteRef/>
      </w:r>
      <w:r>
        <w:t xml:space="preserve"> </w:t>
      </w:r>
      <w:hyperlink r:id="rId164">
        <w:r>
          <w:rPr>
            <w:rStyle w:val="Hyperlink"/>
          </w:rPr>
          <w:t xml:space="preserve">https://docs.google.com/document/d/1Bsbjx9aCZlsr8XbLRp3llhJxDkIi56iD</w:t>
        </w:r>
      </w:hyperlink>
    </w:p>
  </w:footnote>
  <w:footnote w:id="217">
    <w:p>
      <w:pPr>
        <w:pStyle w:val="FootnoteText"/>
      </w:pPr>
      <w:r>
        <w:rPr>
          <w:rStyle w:val="FootnoteReference"/>
        </w:rPr>
        <w:footnoteRef/>
      </w:r>
      <w:r>
        <w:t xml:space="preserve"> </w:t>
      </w:r>
      <w:hyperlink r:id="rId218">
        <w:r>
          <w:rPr>
            <w:rStyle w:val="Hyperlink"/>
          </w:rPr>
          <w:t xml:space="preserve">https://docs.google.com/document/d/1LqGdtHg0dMbj9lsCnC1QOoWzIsnSNRTSek6i3Kls2Ik</w:t>
        </w:r>
      </w:hyperlink>
    </w:p>
  </w:footnote>
  <w:footnote w:id="219">
    <w:p>
      <w:pPr>
        <w:pStyle w:val="FootnoteText"/>
      </w:pPr>
      <w:r>
        <w:rPr>
          <w:rStyle w:val="FootnoteReference"/>
        </w:rPr>
        <w:footnoteRef/>
      </w:r>
      <w:r>
        <w:t xml:space="preserve"> </w:t>
      </w:r>
      <w:hyperlink r:id="rId220">
        <w:r>
          <w:rPr>
            <w:rStyle w:val="Hyperlink"/>
          </w:rPr>
          <w:t xml:space="preserve">https://docs.google.com/spreadsheets/d/1kn4A0nR4loUOSDn9Qysd3MqFJ9cGU91dCDM6x9aga-8</w:t>
        </w:r>
      </w:hyperlink>
    </w:p>
  </w:footnote>
  <w:footnote w:id="221">
    <w:p>
      <w:pPr>
        <w:pStyle w:val="FootnoteText"/>
      </w:pPr>
      <w:r>
        <w:rPr>
          <w:rStyle w:val="FootnoteReference"/>
        </w:rPr>
        <w:footnoteRef/>
      </w:r>
      <w:r>
        <w:t xml:space="preserve"> </w:t>
      </w:r>
      <w:hyperlink r:id="rId222">
        <w:r>
          <w:rPr>
            <w:rStyle w:val="Hyperlink"/>
          </w:rPr>
          <w:t xml:space="preserve">https://www.rsb.org.uk/images/biologist/2020/Apr_May_2020_67-2/67.2_Handbook.pdf</w:t>
        </w:r>
      </w:hyperlink>
    </w:p>
  </w:footnote>
  <w:footnote w:id="227">
    <w:p>
      <w:pPr>
        <w:pStyle w:val="FootnoteText"/>
      </w:pPr>
      <w:r>
        <w:rPr>
          <w:rStyle w:val="FootnoteReference"/>
        </w:rPr>
        <w:footnoteRef/>
      </w:r>
      <w:r>
        <w:t xml:space="preserve"> </w:t>
      </w:r>
      <w:hyperlink r:id="rId228">
        <w:r>
          <w:rPr>
            <w:rStyle w:val="Hyperlink"/>
          </w:rPr>
          <w:t xml:space="preserve">https://osf.io/mdh87/wiki/home/</w:t>
        </w:r>
      </w:hyperlink>
    </w:p>
  </w:footnote>
  <w:footnote w:id="229">
    <w:p>
      <w:pPr>
        <w:pStyle w:val="FootnoteText"/>
      </w:pPr>
      <w:r>
        <w:rPr>
          <w:rStyle w:val="FootnoteReference"/>
        </w:rPr>
        <w:footnoteRef/>
      </w:r>
      <w:r>
        <w:t xml:space="preserve"> </w:t>
      </w:r>
      <w:hyperlink r:id="rId230">
        <w:r>
          <w:rPr>
            <w:rStyle w:val="Hyperlink"/>
          </w:rPr>
          <w:t xml:space="preserve">https://www.notion.so/Company-home-240047f7526c4b0091681dc6c95b7e76</w:t>
        </w:r>
      </w:hyperlink>
    </w:p>
  </w:footnote>
  <w:footnote w:id="231">
    <w:p>
      <w:pPr>
        <w:pStyle w:val="FootnoteText"/>
      </w:pPr>
      <w:r>
        <w:rPr>
          <w:rStyle w:val="FootnoteReference"/>
        </w:rPr>
        <w:footnoteRef/>
      </w:r>
      <w:r>
        <w:t xml:space="preserve"> </w:t>
      </w:r>
      <w:hyperlink r:id="rId232">
        <w:r>
          <w:rPr>
            <w:rStyle w:val="Hyperlink"/>
          </w:rPr>
          <w:t xml:space="preserve">https://eur-synclab.github.io/</w:t>
        </w:r>
      </w:hyperlink>
    </w:p>
  </w:footnote>
  <w:footnote w:id="237">
    <w:p>
      <w:pPr>
        <w:pStyle w:val="FootnoteText"/>
      </w:pPr>
      <w:r>
        <w:rPr>
          <w:rStyle w:val="FootnoteReference"/>
        </w:rPr>
        <w:footnoteRef/>
      </w:r>
      <w:r>
        <w:t xml:space="preserve"> </w:t>
      </w:r>
      <w:hyperlink r:id="rId238">
        <w:r>
          <w:rPr>
            <w:rStyle w:val="Hyperlink"/>
          </w:rPr>
          <w:t xml:space="preserve">https://docs.google.com/document/d/1W57cYuYyiqltQNXUITP-jVIf84jao4Ef</w:t>
        </w:r>
      </w:hyperlink>
    </w:p>
  </w:footnote>
  <w:footnote w:id="239">
    <w:p>
      <w:pPr>
        <w:pStyle w:val="FootnoteText"/>
      </w:pPr>
      <w:r>
        <w:rPr>
          <w:rStyle w:val="FootnoteReference"/>
        </w:rPr>
        <w:footnoteRef/>
      </w:r>
      <w:r>
        <w:t xml:space="preserve"> </w:t>
      </w:r>
      <w:hyperlink r:id="rId238">
        <w:r>
          <w:rPr>
            <w:rStyle w:val="Hyperlink"/>
          </w:rPr>
          <w:t xml:space="preserve">https://docs.google.com/document/d/1W57cYuYyiqltQNXUITP-jVIf84jao4Ef</w:t>
        </w:r>
      </w:hyperlink>
    </w:p>
  </w:footnote>
  <w:footnote w:id="244">
    <w:p>
      <w:pPr>
        <w:pStyle w:val="FootnoteText"/>
      </w:pPr>
      <w:r>
        <w:rPr>
          <w:rStyle w:val="FootnoteReference"/>
        </w:rPr>
        <w:footnoteRef/>
      </w:r>
      <w:r>
        <w:t xml:space="preserve"> </w:t>
      </w:r>
      <w:hyperlink r:id="rId245">
        <w:r>
          <w:rPr>
            <w:rStyle w:val="Hyperlink"/>
          </w:rPr>
          <w:t xml:space="preserve">https://docs.google.com/document/d/1fCFBULZeCBRyt0v2k4-Jb_9zBrk9En29</w:t>
        </w:r>
      </w:hyperlink>
    </w:p>
  </w:footnote>
  <w:footnote w:id="247">
    <w:p>
      <w:pPr>
        <w:pStyle w:val="FootnoteText"/>
      </w:pPr>
      <w:r>
        <w:rPr>
          <w:rStyle w:val="FootnoteReference"/>
        </w:rPr>
        <w:footnoteRef/>
      </w:r>
      <w:r>
        <w:t xml:space="preserve"> </w:t>
      </w:r>
      <w:hyperlink r:id="rId248">
        <w:r>
          <w:rPr>
            <w:rStyle w:val="Hyperlink"/>
          </w:rPr>
          <w:t xml:space="preserve">https://style.tidyverse.org/</w:t>
        </w:r>
      </w:hyperlink>
    </w:p>
  </w:footnote>
  <w:footnote w:id="249">
    <w:p>
      <w:pPr>
        <w:pStyle w:val="FootnoteText"/>
      </w:pPr>
      <w:r>
        <w:rPr>
          <w:rStyle w:val="FootnoteReference"/>
        </w:rPr>
        <w:footnoteRef/>
      </w:r>
      <w:r>
        <w:t xml:space="preserve"> </w:t>
      </w:r>
      <w:hyperlink r:id="rId250">
        <w:r>
          <w:rPr>
            <w:rStyle w:val="Hyperlink"/>
          </w:rPr>
          <w:t xml:space="preserve">https://hwpi.harvard.edu/files/sdp/files/sdp-toolkit-coding-style-guide.pdf</w:t>
        </w:r>
      </w:hyperlink>
    </w:p>
  </w:footnote>
  <w:footnote w:id="255">
    <w:p>
      <w:pPr>
        <w:pStyle w:val="FootnoteText"/>
      </w:pPr>
      <w:r>
        <w:rPr>
          <w:rStyle w:val="FootnoteReference"/>
        </w:rPr>
        <w:footnoteRef/>
      </w:r>
      <w:r>
        <w:t xml:space="preserve"> </w:t>
      </w:r>
      <w:hyperlink r:id="rId256">
        <w:r>
          <w:rPr>
            <w:rStyle w:val="Hyperlink"/>
          </w:rPr>
          <w:t xml:space="preserve">https://drive.google.com/drive/folders/1nhDgOVfESrZLYfvcrTU_I2dnsOtq3TkV</w:t>
        </w:r>
      </w:hyperlink>
    </w:p>
  </w:footnote>
  <w:footnote w:id="261">
    <w:p>
      <w:pPr>
        <w:pStyle w:val="FootnoteText"/>
      </w:pPr>
      <w:r>
        <w:rPr>
          <w:rStyle w:val="FootnoteReference"/>
        </w:rPr>
        <w:footnoteRef/>
      </w:r>
      <w:r>
        <w:t xml:space="preserve"> </w:t>
      </w:r>
      <w:hyperlink r:id="rId262">
        <w:r>
          <w:rPr>
            <w:rStyle w:val="Hyperlink"/>
          </w:rPr>
          <w:t xml:space="preserve">https://docs.google.com/document/d/1wOLFFurs0t2rANxyD6rQ7xoFbg5LPmeA</w:t>
        </w:r>
      </w:hyperlink>
    </w:p>
  </w:footnote>
  <w:footnote w:id="263">
    <w:p>
      <w:pPr>
        <w:pStyle w:val="FootnoteText"/>
      </w:pPr>
      <w:r>
        <w:rPr>
          <w:rStyle w:val="FootnoteReference"/>
        </w:rPr>
        <w:footnoteRef/>
      </w:r>
      <w:r>
        <w:t xml:space="preserve"> </w:t>
      </w:r>
      <w:hyperlink r:id="rId264">
        <w:r>
          <w:rPr>
            <w:rStyle w:val="Hyperlink"/>
          </w:rPr>
          <w:t xml:space="preserve">https://figshare.com/articles/preprint/IRB_Protocol_Template/13218797</w:t>
        </w:r>
      </w:hyperlink>
    </w:p>
  </w:footnote>
  <w:footnote w:id="265">
    <w:p>
      <w:pPr>
        <w:pStyle w:val="FootnoteText"/>
      </w:pPr>
      <w:r>
        <w:rPr>
          <w:rStyle w:val="FootnoteReference"/>
        </w:rPr>
        <w:footnoteRef/>
      </w:r>
      <w:r>
        <w:t xml:space="preserve"> </w:t>
      </w:r>
      <w:hyperlink r:id="rId266">
        <w:r>
          <w:rPr>
            <w:rStyle w:val="Hyperlink"/>
          </w:rPr>
          <w:t xml:space="preserve">http://orrp.osu.edu/files/2011/10/GuidelinesforWritingaResearchProtocol.pdf</w:t>
        </w:r>
      </w:hyperlink>
    </w:p>
  </w:footnote>
  <w:footnote w:id="267">
    <w:p>
      <w:pPr>
        <w:pStyle w:val="FootnoteText"/>
      </w:pPr>
      <w:r>
        <w:rPr>
          <w:rStyle w:val="FootnoteReference"/>
        </w:rPr>
        <w:footnoteRef/>
      </w:r>
      <w:r>
        <w:t xml:space="preserve"> </w:t>
      </w:r>
      <w:hyperlink r:id="rId268">
        <w:r>
          <w:rPr>
            <w:rStyle w:val="Hyperlink"/>
          </w:rPr>
          <w:t xml:space="preserve">https://docs.research.missouri.edu/human_subjects/templates/Social_Behavioral_Educational_Protocol_Template.docx</w:t>
        </w:r>
      </w:hyperlink>
    </w:p>
  </w:footnote>
  <w:footnote w:id="269">
    <w:p>
      <w:pPr>
        <w:pStyle w:val="FootnoteText"/>
      </w:pPr>
      <w:r>
        <w:rPr>
          <w:rStyle w:val="FootnoteReference"/>
        </w:rPr>
        <w:footnoteRef/>
      </w:r>
      <w:r>
        <w:t xml:space="preserve"> </w:t>
      </w:r>
      <w:hyperlink r:id="rId270">
        <w:r>
          <w:rPr>
            <w:rStyle w:val="Hyperlink"/>
          </w:rPr>
          <w:t xml:space="preserve">https://depts.washington.edu/wildfire/resources/protckl.pdf</w:t>
        </w:r>
      </w:hyperlink>
    </w:p>
  </w:footnote>
  <w:footnote w:id="288">
    <w:p>
      <w:pPr>
        <w:pStyle w:val="FootnoteText"/>
      </w:pPr>
      <w:r>
        <w:rPr>
          <w:rStyle w:val="FootnoteReference"/>
        </w:rPr>
        <w:footnoteRef/>
      </w:r>
      <w:r>
        <w:t xml:space="preserve"> </w:t>
      </w:r>
      <w:hyperlink r:id="rId289">
        <w:r>
          <w:rPr>
            <w:rStyle w:val="Hyperlink"/>
          </w:rPr>
          <w:t xml:space="preserve">https://docs.google.com/document/d/1q84UCsn_DVL9aaO_n5T_LCjwLy96FPPB</w:t>
        </w:r>
      </w:hyperlink>
    </w:p>
  </w:footnote>
  <w:footnote w:id="295">
    <w:p>
      <w:pPr>
        <w:pStyle w:val="FootnoteText"/>
      </w:pPr>
      <w:r>
        <w:rPr>
          <w:rStyle w:val="FootnoteReference"/>
        </w:rPr>
        <w:footnoteRef/>
      </w:r>
      <w:r>
        <w:t xml:space="preserve"> </w:t>
      </w:r>
      <w:hyperlink r:id="rId296">
        <w:r>
          <w:rPr>
            <w:rStyle w:val="Hyperlink"/>
          </w:rPr>
          <w:t xml:space="preserve">https://docs.google.com/document/d/1JWeKLDqtuk79beNJBv5xHueMwki0c7xD</w:t>
        </w:r>
      </w:hyperlink>
    </w:p>
  </w:footnote>
  <w:footnote w:id="297">
    <w:p>
      <w:pPr>
        <w:pStyle w:val="FootnoteText"/>
      </w:pPr>
      <w:r>
        <w:rPr>
          <w:rStyle w:val="FootnoteReference"/>
        </w:rPr>
        <w:footnoteRef/>
      </w:r>
      <w:r>
        <w:t xml:space="preserve"> </w:t>
      </w:r>
      <w:hyperlink r:id="rId298">
        <w:r>
          <w:rPr>
            <w:rStyle w:val="Hyperlink"/>
          </w:rPr>
          <w:t xml:space="preserve">https://docs.google.com/document/d/1rbED1r0fGAk5CREslc8qQ5378EBV5759eSqdQbp4fHc</w:t>
        </w:r>
      </w:hyperlink>
    </w:p>
  </w:footnote>
  <w:footnote w:id="317">
    <w:p>
      <w:pPr>
        <w:pStyle w:val="FootnoteText"/>
      </w:pPr>
      <w:r>
        <w:rPr>
          <w:rStyle w:val="FootnoteReference"/>
        </w:rPr>
        <w:footnoteRef/>
      </w:r>
      <w:r>
        <w:t xml:space="preserve"> </w:t>
      </w:r>
      <w:hyperlink r:id="rId318">
        <w:r>
          <w:rPr>
            <w:rStyle w:val="Hyperlink"/>
          </w:rPr>
          <w:t xml:space="preserve">https://docs.google.com/spreadsheets/d/1R-5TIUvAhJRDucVhq4dNg00RR1CG7uQ6MRhje0BBC20</w:t>
        </w:r>
      </w:hyperlink>
    </w:p>
  </w:footnote>
  <w:footnote w:id="327">
    <w:p>
      <w:pPr>
        <w:pStyle w:val="FootnoteText"/>
      </w:pPr>
      <w:r>
        <w:rPr>
          <w:rStyle w:val="FootnoteReference"/>
        </w:rPr>
        <w:footnoteRef/>
      </w:r>
      <w:r>
        <w:t xml:space="preserve"> </w:t>
      </w:r>
      <w:hyperlink r:id="rId328">
        <w:r>
          <w:rPr>
            <w:rStyle w:val="Hyperlink"/>
          </w:rPr>
          <w:t xml:space="preserve">https://www.icpsr.umich.edu/files/deposit/Guide-to-Codebooks_v1.pdf</w:t>
        </w:r>
      </w:hyperlink>
    </w:p>
  </w:footnote>
  <w:footnote w:id="329">
    <w:p>
      <w:pPr>
        <w:pStyle w:val="FootnoteText"/>
      </w:pPr>
      <w:r>
        <w:rPr>
          <w:rStyle w:val="FootnoteReference"/>
        </w:rPr>
        <w:footnoteRef/>
      </w:r>
      <w:r>
        <w:t xml:space="preserve"> </w:t>
      </w:r>
      <w:hyperlink r:id="rId330">
        <w:r>
          <w:rPr>
            <w:rStyle w:val="Hyperlink"/>
          </w:rPr>
          <w:t xml:space="preserve">https://ftp.cdc.gov/pub/Health_Statistics/NCHS/Dataset_Documentation/NHIS/2020/adult-codebook.pdf</w:t>
        </w:r>
      </w:hyperlink>
    </w:p>
  </w:footnote>
  <w:footnote w:id="429">
    <w:p>
      <w:pPr>
        <w:pStyle w:val="FootnoteText"/>
      </w:pPr>
      <w:r>
        <w:rPr>
          <w:rStyle w:val="FootnoteReference"/>
        </w:rPr>
        <w:footnoteRef/>
      </w:r>
      <w:r>
        <w:t xml:space="preserve"> </w:t>
      </w:r>
      <w:hyperlink r:id="rId430">
        <w:r>
          <w:rPr>
            <w:rStyle w:val="Hyperlink"/>
          </w:rPr>
          <w:t xml:space="preserve">https://www.ldbase.org/system/files/documents/2021-04/HS-ParentConsent.txt</w:t>
        </w:r>
      </w:hyperlink>
    </w:p>
  </w:footnote>
  <w:footnote w:id="431">
    <w:p>
      <w:pPr>
        <w:pStyle w:val="FootnoteText"/>
      </w:pPr>
      <w:r>
        <w:rPr>
          <w:rStyle w:val="FootnoteReference"/>
        </w:rPr>
        <w:footnoteRef/>
      </w:r>
      <w:r>
        <w:t xml:space="preserve"> </w:t>
      </w:r>
      <w:hyperlink r:id="rId432">
        <w:r>
          <w:rPr>
            <w:rStyle w:val="Hyperlink"/>
          </w:rPr>
          <w:t xml:space="preserve">https://figshare.com/articles/preprint/Informed_Consent_Template/13218773</w:t>
        </w:r>
      </w:hyperlink>
    </w:p>
  </w:footnote>
  <w:footnote w:id="433">
    <w:p>
      <w:pPr>
        <w:pStyle w:val="FootnoteText"/>
      </w:pPr>
      <w:r>
        <w:rPr>
          <w:rStyle w:val="FootnoteReference"/>
        </w:rPr>
        <w:footnoteRef/>
      </w:r>
      <w:r>
        <w:t xml:space="preserve"> </w:t>
      </w:r>
      <w:hyperlink r:id="rId434">
        <w:r>
          <w:rPr>
            <w:rStyle w:val="Hyperlink"/>
          </w:rPr>
          <w:t xml:space="preserve">https://www.povertyactionlab.org/sites/default/files/research-resources/rr_irb_annotated-informed-consent-checklist_0.pdf</w:t>
        </w:r>
      </w:hyperlink>
    </w:p>
  </w:footnote>
  <w:footnote w:id="435">
    <w:p>
      <w:pPr>
        <w:pStyle w:val="FootnoteText"/>
      </w:pPr>
      <w:r>
        <w:rPr>
          <w:rStyle w:val="FootnoteReference"/>
        </w:rPr>
        <w:footnoteRef/>
      </w:r>
      <w:r>
        <w:t xml:space="preserve"> </w:t>
      </w:r>
      <w:hyperlink r:id="rId436">
        <w:r>
          <w:rPr>
            <w:rStyle w:val="Hyperlink"/>
          </w:rPr>
          <w:t xml:space="preserve">https://research.virginia.edu/irb-sbs/consent-templates</w:t>
        </w:r>
      </w:hyperlink>
    </w:p>
  </w:footnote>
  <w:footnote w:id="439">
    <w:p>
      <w:pPr>
        <w:pStyle w:val="FootnoteText"/>
      </w:pPr>
      <w:r>
        <w:rPr>
          <w:rStyle w:val="FootnoteReference"/>
        </w:rPr>
        <w:footnoteRef/>
      </w:r>
      <w:r>
        <w:t xml:space="preserve"> </w:t>
      </w:r>
      <w:hyperlink r:id="rId440">
        <w:r>
          <w:rPr>
            <w:rStyle w:val="Hyperlink"/>
          </w:rPr>
          <w:t xml:space="preserve">https://admindatahandbook.mit.edu/book/v1.0-rc4/appendix/dua_appendix.pdf</w:t>
        </w:r>
      </w:hyperlink>
    </w:p>
  </w:footnote>
  <w:footnote w:id="441">
    <w:p>
      <w:pPr>
        <w:pStyle w:val="FootnoteText"/>
      </w:pPr>
      <w:r>
        <w:rPr>
          <w:rStyle w:val="FootnoteReference"/>
        </w:rPr>
        <w:footnoteRef/>
      </w:r>
      <w:r>
        <w:t xml:space="preserve"> </w:t>
      </w:r>
      <w:hyperlink r:id="rId442">
        <w:r>
          <w:rPr>
            <w:rStyle w:val="Hyperlink"/>
          </w:rPr>
          <w:t xml:space="preserve">https://ies.ed.gov/ncee/rel/regions/west/relwestFiles/pdf/CRP_Data_Sharing_Agreements_and_MOUs.pdf</w:t>
        </w:r>
      </w:hyperlink>
    </w:p>
  </w:footnote>
  <w:footnote w:id="443">
    <w:p>
      <w:pPr>
        <w:pStyle w:val="FootnoteText"/>
      </w:pPr>
      <w:r>
        <w:rPr>
          <w:rStyle w:val="FootnoteReference"/>
        </w:rPr>
        <w:footnoteRef/>
      </w:r>
      <w:r>
        <w:t xml:space="preserve"> </w:t>
      </w:r>
      <w:hyperlink r:id="rId444">
        <w:r>
          <w:rPr>
            <w:rStyle w:val="Hyperlink"/>
          </w:rPr>
          <w:t xml:space="preserve">https://research.unc.edu/wp-content/uploads/sites/61/2013/04/CCM3_039360.pdf</w:t>
        </w:r>
      </w:hyperlink>
    </w:p>
  </w:footnote>
  <w:footnote w:id="445">
    <w:p>
      <w:pPr>
        <w:pStyle w:val="FootnoteText"/>
      </w:pPr>
      <w:r>
        <w:rPr>
          <w:rStyle w:val="FootnoteReference"/>
        </w:rPr>
        <w:footnoteRef/>
      </w:r>
      <w:r>
        <w:t xml:space="preserve"> </w:t>
      </w:r>
      <w:hyperlink r:id="rId446">
        <w:r>
          <w:rPr>
            <w:rStyle w:val="Hyperlink"/>
          </w:rPr>
          <w:t xml:space="preserve">https://figshare.com/articles/preprint/Example_Data_Sharing_Agreement/14576049</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0">
    <w:abstractNumId w:val="991"/>
  </w:num>
  <w:num w:numId="10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1"/>
  </w:num>
  <w:num w:numId="1161">
    <w:abstractNumId w:val="991"/>
  </w:num>
  <w:num w:numId="1162">
    <w:abstractNumId w:val="991"/>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1"/>
  </w:num>
  <w:num w:numId="1190">
    <w:abstractNumId w:val="991"/>
  </w:num>
  <w:num w:numId="1191">
    <w:abstractNumId w:val="991"/>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1"/>
  </w:num>
  <w:num w:numId="1204">
    <w:abstractNumId w:val="991"/>
  </w:num>
  <w:num w:numId="12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1"/>
  </w:num>
  <w:num w:numId="1207">
    <w:abstractNumId w:val="991"/>
  </w:num>
  <w:num w:numId="1208">
    <w:abstractNumId w:val="991"/>
  </w:num>
  <w:num w:numId="1209">
    <w:abstractNumId w:val="991"/>
  </w:num>
  <w:num w:numId="1210">
    <w:abstractNumId w:val="991"/>
  </w:num>
  <w:num w:numId="12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1"/>
  </w:num>
  <w:num w:numId="1213">
    <w:abstractNumId w:val="991"/>
  </w:num>
  <w:num w:numId="1214">
    <w:abstractNumId w:val="991"/>
  </w:num>
  <w:num w:numId="1215">
    <w:abstractNumId w:val="991"/>
  </w:num>
  <w:num w:numId="12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1" Target="media/rId241.png" /><Relationship Type="http://schemas.openxmlformats.org/officeDocument/2006/relationships/image" Id="rId417" Target="media/rId417.png" /><Relationship Type="http://schemas.openxmlformats.org/officeDocument/2006/relationships/image" Id="rId73" Target="media/rId73.png" /><Relationship Type="http://schemas.openxmlformats.org/officeDocument/2006/relationships/image" Id="rId56" Target="media/rId56.png" /><Relationship Type="http://schemas.openxmlformats.org/officeDocument/2006/relationships/image" Id="rId300" Target="media/rId300.png" /><Relationship Type="http://schemas.openxmlformats.org/officeDocument/2006/relationships/image" Id="rId46" Target="media/rId46.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424" Target="media/rId424.png" /><Relationship Type="http://schemas.openxmlformats.org/officeDocument/2006/relationships/image" Id="rId275" Target="media/rId275.png" /><Relationship Type="http://schemas.openxmlformats.org/officeDocument/2006/relationships/image" Id="rId304" Target="media/rId304.png" /><Relationship Type="http://schemas.openxmlformats.org/officeDocument/2006/relationships/image" Id="rId399" Target="media/rId399.png" /><Relationship Type="http://schemas.openxmlformats.org/officeDocument/2006/relationships/image" Id="rId165" Target="media/rId165.png" /><Relationship Type="http://schemas.openxmlformats.org/officeDocument/2006/relationships/image" Id="rId309" Target="media/rId309.png" /><Relationship Type="http://schemas.openxmlformats.org/officeDocument/2006/relationships/image" Id="rId312" Target="media/rId312.png" /><Relationship Type="http://schemas.openxmlformats.org/officeDocument/2006/relationships/image" Id="rId408" Target="media/rId408.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278" Target="media/rId278.png" /><Relationship Type="http://schemas.openxmlformats.org/officeDocument/2006/relationships/image" Id="rId403" Target="media/rId403.png" /><Relationship Type="http://schemas.openxmlformats.org/officeDocument/2006/relationships/image" Id="rId180" Target="media/rId180.png" /><Relationship Type="http://schemas.openxmlformats.org/officeDocument/2006/relationships/image" Id="rId414" Target="media/rId414.png" /><Relationship Type="http://schemas.openxmlformats.org/officeDocument/2006/relationships/image" Id="rId103" Target="media/rId103.png" /><Relationship Type="http://schemas.openxmlformats.org/officeDocument/2006/relationships/image" Id="rId211" Target="media/rId211.png" /><Relationship Type="http://schemas.openxmlformats.org/officeDocument/2006/relationships/image" Id="rId195" Target="media/rId195.png" /><Relationship Type="http://schemas.openxmlformats.org/officeDocument/2006/relationships/image" Id="rId142" Target="media/rId142.png" /><Relationship Type="http://schemas.openxmlformats.org/officeDocument/2006/relationships/image" Id="rId188" Target="media/rId188.png" /><Relationship Type="http://schemas.openxmlformats.org/officeDocument/2006/relationships/image" Id="rId357" Target="media/rId357.png" /><Relationship Type="http://schemas.openxmlformats.org/officeDocument/2006/relationships/image" Id="rId214" Target="media/rId214.png" /><Relationship Type="http://schemas.openxmlformats.org/officeDocument/2006/relationships/image" Id="rId375" Target="media/rId375.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338" Target="media/rId338.png" /><Relationship Type="http://schemas.openxmlformats.org/officeDocument/2006/relationships/image" Id="rId335" Target="media/rId335.png" /><Relationship Type="http://schemas.openxmlformats.org/officeDocument/2006/relationships/image" Id="rId347" Target="media/rId347.png" /><Relationship Type="http://schemas.openxmlformats.org/officeDocument/2006/relationships/image" Id="rId341" Target="media/rId341.png" /><Relationship Type="http://schemas.openxmlformats.org/officeDocument/2006/relationships/image" Id="rId344" Target="media/rId344.png" /><Relationship Type="http://schemas.openxmlformats.org/officeDocument/2006/relationships/image" Id="rId369" Target="media/rId369.png" /><Relationship Type="http://schemas.openxmlformats.org/officeDocument/2006/relationships/image" Id="rId234" Target="media/rId234.png" /><Relationship Type="http://schemas.openxmlformats.org/officeDocument/2006/relationships/image" Id="rId379" Target="media/rId379.png" /><Relationship Type="http://schemas.openxmlformats.org/officeDocument/2006/relationships/image" Id="rId383" Target="media/rId383.png" /><Relationship Type="http://schemas.openxmlformats.org/officeDocument/2006/relationships/image" Id="rId388" Target="media/rId388.png" /><Relationship Type="http://schemas.openxmlformats.org/officeDocument/2006/relationships/image" Id="rId391" Target="media/rId391.png" /><Relationship Type="http://schemas.openxmlformats.org/officeDocument/2006/relationships/image" Id="rId258" Target="media/rId258.png" /><Relationship Type="http://schemas.openxmlformats.org/officeDocument/2006/relationships/image" Id="rId292" Target="media/rId292.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image" Id="rId285" Target="media/rId285.png" /><Relationship Type="http://schemas.openxmlformats.org/officeDocument/2006/relationships/image" Id="rId282" Target="media/rId282.png" /><Relationship Type="http://schemas.openxmlformats.org/officeDocument/2006/relationships/image" Id="rId350" Target="media/rId350.png" /><Relationship Type="http://schemas.openxmlformats.org/officeDocument/2006/relationships/image" Id="rId177" Target="media/rId177.png" /><Relationship Type="http://schemas.openxmlformats.org/officeDocument/2006/relationships/image" Id="rId272" Target="media/rId272.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90" Target="media/rId90.png" /><Relationship Type="http://schemas.openxmlformats.org/officeDocument/2006/relationships/image" Id="rId224" Target="media/rId224.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362" Target="media/rId362.png" /><Relationship Type="http://schemas.openxmlformats.org/officeDocument/2006/relationships/hyperlink" Id="rId266" Target="http://orrp.osu.edu/files/2011/10/GuidelinesforWritingaResearchProtocol.pdf" TargetMode="External" /><Relationship Type="http://schemas.openxmlformats.org/officeDocument/2006/relationships/hyperlink" Id="rId669" Target="http://websites.umich.edu/~pals/PALS%202000_V13Word97.pdf" TargetMode="External" /><Relationship Type="http://schemas.openxmlformats.org/officeDocument/2006/relationships/hyperlink" Id="rId654" Target="http://www.withinandbetweenpod.com/" TargetMode="External" /><Relationship Type="http://schemas.openxmlformats.org/officeDocument/2006/relationships/hyperlink" Id="rId440" Target="https://admindatahandbook.mit.edu/book/v1.0-rc4/appendix/dua_appendix.pdf" TargetMode="External" /><Relationship Type="http://schemas.openxmlformats.org/officeDocument/2006/relationships/hyperlink" Id="rId721" Target="https://blogs.worldbank.org/impactevaluations/stata-linter-produces-stata-code-sparks-joy" TargetMode="External" /><Relationship Type="http://schemas.openxmlformats.org/officeDocument/2006/relationships/hyperlink" Id="rId650"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756" Target="https://cphs.berkeley.edu/exempt.pdf" TargetMode="External" /><Relationship Type="http://schemas.openxmlformats.org/officeDocument/2006/relationships/hyperlink" Id="rId766" Target="https://dataoneorg.github.io/Education/bestpractices/define-roles-and" TargetMode="External" /><Relationship Type="http://schemas.openxmlformats.org/officeDocument/2006/relationships/hyperlink" Id="rId137" Target="https://dataoneorg.github.io/Education/bestpractices/provide-budget-information" TargetMode="External" /><Relationship Type="http://schemas.openxmlformats.org/officeDocument/2006/relationships/hyperlink" Id="rId565" Target="https://ddialliance.org/controlled-vocabularies" TargetMode="External" /><Relationship Type="http://schemas.openxmlformats.org/officeDocument/2006/relationships/hyperlink" Id="rId567" Target="https://ddialliance.org/resources/ddi-profiles/dc" TargetMode="External" /><Relationship Type="http://schemas.openxmlformats.org/officeDocument/2006/relationships/hyperlink" Id="rId270" Target="https://depts.washington.edu/wildfire/resources/protckl.pdf" TargetMode="External" /><Relationship Type="http://schemas.openxmlformats.org/officeDocument/2006/relationships/hyperlink" Id="rId488" Target="https://dimewiki.worldbank.org/Data_Quality_Assurance_Plan" TargetMode="External" /><Relationship Type="http://schemas.openxmlformats.org/officeDocument/2006/relationships/hyperlink" Id="rId541" Target="https://dmeg.cessda.eu/Data-Management-Expert-Guide/2.-Organise-Document/Documentation-and-metadata" TargetMode="External" /><Relationship Type="http://schemas.openxmlformats.org/officeDocument/2006/relationships/hyperlink" Id="rId539" Target="https://dmeg.cessda.eu/Data-Management-Expert-Guide/3.-Process/Data-authenticity" TargetMode="External" /><Relationship Type="http://schemas.openxmlformats.org/officeDocument/2006/relationships/hyperlink" Id="rId115" Target="https://dmptool.org/public_templates" TargetMode="External" /><Relationship Type="http://schemas.openxmlformats.org/officeDocument/2006/relationships/hyperlink" Id="rId571" Target="https://docplayer.net/8853333-Drowning-in-research-data-addressing-data-management-literacy-of-graduate-students.html" TargetMode="External" /><Relationship Type="http://schemas.openxmlformats.org/officeDocument/2006/relationships/hyperlink" Id="rId162" Target="https://docs.google.com/document/d/12Jx4soafWiZF-1y-ESu1n37aDa-Pa4ZS" TargetMode="External" /><Relationship Type="http://schemas.openxmlformats.org/officeDocument/2006/relationships/hyperlink" Id="rId150" Target="https://docs.google.com/document/d/131cHp9-_NET3futvKH7ECV39rTSTEULE" TargetMode="External" /><Relationship Type="http://schemas.openxmlformats.org/officeDocument/2006/relationships/hyperlink" Id="rId158" Target="https://docs.google.com/document/d/18fL9M4TKi0k6cC2ubK0VD5Res9yXsS92" TargetMode="External" /><Relationship Type="http://schemas.openxmlformats.org/officeDocument/2006/relationships/hyperlink" Id="rId164" Target="https://docs.google.com/document/d/1Bsbjx9aCZlsr8XbLRp3llhJxDkIi56iD" TargetMode="External" /><Relationship Type="http://schemas.openxmlformats.org/officeDocument/2006/relationships/hyperlink" Id="rId296" Target="https://docs.google.com/document/d/1JWeKLDqtuk79beNJBv5xHueMwki0c7xD" TargetMode="External" /><Relationship Type="http://schemas.openxmlformats.org/officeDocument/2006/relationships/hyperlink" Id="rId218" Target="https://docs.google.com/document/d/1LqGdtHg0dMbj9lsCnC1QOoWzIsnSNRTSek6i3Kls2Ik" TargetMode="External" /><Relationship Type="http://schemas.openxmlformats.org/officeDocument/2006/relationships/hyperlink" Id="rId152" Target="https://docs.google.com/document/d/1M372uOtVutLxt7VZgCZnxPVDUSTQmm15" TargetMode="External" /><Relationship Type="http://schemas.openxmlformats.org/officeDocument/2006/relationships/hyperlink" Id="rId238" Target="https://docs.google.com/document/d/1W57cYuYyiqltQNXUITP-jVIf84jao4Ef" TargetMode="External" /><Relationship Type="http://schemas.openxmlformats.org/officeDocument/2006/relationships/hyperlink" Id="rId156" Target="https://docs.google.com/document/d/1YM3q0aNEpQAalorr3fs4dXH2aCuompNk" TargetMode="External" /><Relationship Type="http://schemas.openxmlformats.org/officeDocument/2006/relationships/hyperlink" Id="rId245" Target="https://docs.google.com/document/d/1fCFBULZeCBRyt0v2k4-Jb_9zBrk9En29" TargetMode="External" /><Relationship Type="http://schemas.openxmlformats.org/officeDocument/2006/relationships/hyperlink" Id="rId160" Target="https://docs.google.com/document/d/1mxxGaDvFPlQaR7M3wSmwWTgkHa5yiT4t" TargetMode="External" /><Relationship Type="http://schemas.openxmlformats.org/officeDocument/2006/relationships/hyperlink" Id="rId154" Target="https://docs.google.com/document/d/1nvjMHeDmJkQtTT4CoLpUcroYknSDAQyj" TargetMode="External" /><Relationship Type="http://schemas.openxmlformats.org/officeDocument/2006/relationships/hyperlink" Id="rId148" Target="https://docs.google.com/document/d/1o_QsM9N492XgMhRE4ef9GaGVNzvfO4sR" TargetMode="External" /><Relationship Type="http://schemas.openxmlformats.org/officeDocument/2006/relationships/hyperlink" Id="rId289" Target="https://docs.google.com/document/d/1q84UCsn_DVL9aaO_n5T_LCjwLy96FPPB" TargetMode="External" /><Relationship Type="http://schemas.openxmlformats.org/officeDocument/2006/relationships/hyperlink" Id="rId298" Target="https://docs.google.com/document/d/1rbED1r0fGAk5CREslc8qQ5378EBV5759eSqdQbp4fHc" TargetMode="External" /><Relationship Type="http://schemas.openxmlformats.org/officeDocument/2006/relationships/hyperlink" Id="rId634" Target="https://docs.google.com/document/d/1u8o5jnWk0Iqp_J06PTu5NjBfVsdoPbBhstht6W0fFp0/edit?usp=embed_facebook" TargetMode="External" /><Relationship Type="http://schemas.openxmlformats.org/officeDocument/2006/relationships/hyperlink" Id="rId262" Target="https://docs.google.com/document/d/1wOLFFurs0t2rANxyD6rQ7xoFbg5LPmeA" TargetMode="External" /><Relationship Type="http://schemas.openxmlformats.org/officeDocument/2006/relationships/hyperlink" Id="rId535" Target="https://docs.google.com/presentation/d/1LpyVOj8oJPr3SVkRM2GfCFnl2Qeo10YbbqcqwtwrVUM" TargetMode="External" /><Relationship Type="http://schemas.openxmlformats.org/officeDocument/2006/relationships/hyperlink" Id="rId318" Target="https://docs.google.com/spreadsheets/d/1R-5TIUvAhJRDucVhq4dNg00RR1CG7uQ6MRhje0BBC20" TargetMode="External" /><Relationship Type="http://schemas.openxmlformats.org/officeDocument/2006/relationships/hyperlink" Id="rId220" Target="https://docs.google.com/spreadsheets/d/1kn4A0nR4loUOSDn9Qysd3MqFJ9cGU91dCDM6x9aga-8" TargetMode="External" /><Relationship Type="http://schemas.openxmlformats.org/officeDocument/2006/relationships/hyperlink" Id="rId268" Target="https://docs.research.missouri.edu/human_subjects/templates/Social_Behavioral_Educational_Protocol_Template.docx" TargetMode="External" /><Relationship Type="http://schemas.openxmlformats.org/officeDocument/2006/relationships/hyperlink" Id="rId486" Target="https://doi.org/10.1002/bes2.1801" TargetMode="External" /><Relationship Type="http://schemas.openxmlformats.org/officeDocument/2006/relationships/hyperlink" Id="rId709" Target="https://doi.org/10.1002/ped4.12023" TargetMode="External" /><Relationship Type="http://schemas.openxmlformats.org/officeDocument/2006/relationships/hyperlink" Id="rId531" Target="https://doi.org/10.1016/j.gaceta.2018.01.009" TargetMode="External" /><Relationship Type="http://schemas.openxmlformats.org/officeDocument/2006/relationships/hyperlink" Id="rId494" Target="https://doi.org/10.1038/533452a" TargetMode="External" /><Relationship Type="http://schemas.openxmlformats.org/officeDocument/2006/relationships/hyperlink" Id="rId775" Target="https://doi.org/10.1038/sdata.2016.18" TargetMode="External" /><Relationship Type="http://schemas.openxmlformats.org/officeDocument/2006/relationships/hyperlink" Id="rId519" Target="https://doi.org/10.1080/00031305.2017.1375989" TargetMode="External" /><Relationship Type="http://schemas.openxmlformats.org/officeDocument/2006/relationships/hyperlink" Id="rId525" Target="https://doi.org/10.1093/ije/dyaa087" TargetMode="External" /><Relationship Type="http://schemas.openxmlformats.org/officeDocument/2006/relationships/hyperlink" Id="rId725" Target="https://doi.org/10.1136/bmj.c332" TargetMode="External" /><Relationship Type="http://schemas.openxmlformats.org/officeDocument/2006/relationships/hyperlink" Id="rId508" Target="https://doi.org/10.1162/99608f92.9497f68e" TargetMode="External" /><Relationship Type="http://schemas.openxmlformats.org/officeDocument/2006/relationships/hyperlink" Id="rId569" Target="https://doi.org/10.1177/0022219420945267" TargetMode="External" /><Relationship Type="http://schemas.openxmlformats.org/officeDocument/2006/relationships/hyperlink" Id="rId671" Target="https://doi.org/10.1177/10883576221133495" TargetMode="External" /><Relationship Type="http://schemas.openxmlformats.org/officeDocument/2006/relationships/hyperlink" Id="rId656" Target="https://doi.org/10.1177/23328584211006475" TargetMode="External" /><Relationship Type="http://schemas.openxmlformats.org/officeDocument/2006/relationships/hyperlink" Id="rId595" Target="https://doi.org/10.1177/2515245917746500" TargetMode="External" /><Relationship Type="http://schemas.openxmlformats.org/officeDocument/2006/relationships/hyperlink" Id="rId663" Target="https://doi.org/10.1177/2515245917747656" TargetMode="External" /><Relationship Type="http://schemas.openxmlformats.org/officeDocument/2006/relationships/hyperlink" Id="rId615" Target="https://doi.org/10.1177/2515245917751886" TargetMode="External" /><Relationship Type="http://schemas.openxmlformats.org/officeDocument/2006/relationships/hyperlink" Id="rId521" Target="https://doi.org/10.1177/2515245920928007" TargetMode="External" /><Relationship Type="http://schemas.openxmlformats.org/officeDocument/2006/relationships/hyperlink" Id="rId638" Target="https://doi.org/10.1177/25152459211045930" TargetMode="External" /><Relationship Type="http://schemas.openxmlformats.org/officeDocument/2006/relationships/hyperlink" Id="rId658" Target="https://doi.org/10.1186/s13059-015-0850-7" TargetMode="External" /><Relationship Type="http://schemas.openxmlformats.org/officeDocument/2006/relationships/hyperlink" Id="rId665" Target="https://doi.org/10.1371/journal.pcbi.1004525" TargetMode="External" /><Relationship Type="http://schemas.openxmlformats.org/officeDocument/2006/relationships/hyperlink" Id="rId777" Target="https://doi.org/10.1371/journal.pcbi.1005510" TargetMode="External" /><Relationship Type="http://schemas.openxmlformats.org/officeDocument/2006/relationships/hyperlink" Id="rId613" Target="https://doi.org/10.1371/journal.pcbi.1008095" TargetMode="External" /><Relationship Type="http://schemas.openxmlformats.org/officeDocument/2006/relationships/hyperlink" Id="rId599" Target="https://doi.org/10.1371/journal.pcbi.1010397" TargetMode="External" /><Relationship Type="http://schemas.openxmlformats.org/officeDocument/2006/relationships/hyperlink" Id="rId506" Target="https://doi.org/10.1371/journal.pone.0252047" TargetMode="External" /><Relationship Type="http://schemas.openxmlformats.org/officeDocument/2006/relationships/hyperlink" Id="rId781" Target="https://doi.org/10.1371/journal.pone.0282152" TargetMode="External" /><Relationship Type="http://schemas.openxmlformats.org/officeDocument/2006/relationships/hyperlink" Id="rId769" Target="https://doi.org/10.18637/jss.v059.i10" TargetMode="External" /><Relationship Type="http://schemas.openxmlformats.org/officeDocument/2006/relationships/hyperlink" Id="rId733" Target="https://doi.org/10.2218/ijdc.v11i1.389" TargetMode="External" /><Relationship Type="http://schemas.openxmlformats.org/officeDocument/2006/relationships/hyperlink" Id="rId490" Target="https://doi.org/10.31234/osf.io/5qc6h" TargetMode="External" /><Relationship Type="http://schemas.openxmlformats.org/officeDocument/2006/relationships/hyperlink" Id="rId713" Target="https://doi.org/10.35542/osf.io/xqfwb" TargetMode="External" /><Relationship Type="http://schemas.openxmlformats.org/officeDocument/2006/relationships/hyperlink" Id="rId707" Target="https://doi.org/10.3886/E121381V1" TargetMode="External" /><Relationship Type="http://schemas.openxmlformats.org/officeDocument/2006/relationships/hyperlink" Id="rId754" Target="https://doi.org/10.3886/ICPSR38290.V1" TargetMode="External" /><Relationship Type="http://schemas.openxmlformats.org/officeDocument/2006/relationships/hyperlink" Id="rId517" Target="https://doi.org/10.3897/rio.6.e56508" TargetMode="External" /><Relationship Type="http://schemas.openxmlformats.org/officeDocument/2006/relationships/hyperlink" Id="rId523" Target="https://doi.org/10.4000/books.oep.426" TargetMode="External" /><Relationship Type="http://schemas.openxmlformats.org/officeDocument/2006/relationships/hyperlink" Id="rId587" Target="https://doi.org/10.5195/jmla.2017.88" TargetMode="External" /><Relationship Type="http://schemas.openxmlformats.org/officeDocument/2006/relationships/hyperlink" Id="rId605" Target="https://doi.org/10.5278/16k4-4n24" TargetMode="External" /><Relationship Type="http://schemas.openxmlformats.org/officeDocument/2006/relationships/hyperlink" Id="rId551" Target="https://doi.org/10.5281/ZENODO.3233853" TargetMode="External" /><Relationship Type="http://schemas.openxmlformats.org/officeDocument/2006/relationships/hyperlink" Id="rId498" Target="https://doi.org/10.5281/ZENODO.3686061" TargetMode="External" /><Relationship Type="http://schemas.openxmlformats.org/officeDocument/2006/relationships/hyperlink" Id="rId589" Target="https://doi.org/10.5281/zenodo.1914401" TargetMode="External" /><Relationship Type="http://schemas.openxmlformats.org/officeDocument/2006/relationships/hyperlink" Id="rId510" Target="https://doi.org/10.5334/dsj-2021-009" TargetMode="External" /><Relationship Type="http://schemas.openxmlformats.org/officeDocument/2006/relationships/hyperlink" Id="rId715" Target="https://doi.org/10.6084/m9.figshare.13215350.v2" TargetMode="External" /><Relationship Type="http://schemas.openxmlformats.org/officeDocument/2006/relationships/hyperlink" Id="rId543" Target="https://doi.org/10.6084/m9.figshare.19514368.v1" TargetMode="External" /><Relationship Type="http://schemas.openxmlformats.org/officeDocument/2006/relationships/hyperlink" Id="rId256" Target="https://drive.google.com/drive/folders/1nhDgOVfESrZLYfvcrTU_I2dnsOtq3TkV" TargetMode="External" /><Relationship Type="http://schemas.openxmlformats.org/officeDocument/2006/relationships/hyperlink" Id="rId717" Target="https://emilyriederer.netlify.app/post/column-name-contracts/" TargetMode="External" /><Relationship Type="http://schemas.openxmlformats.org/officeDocument/2006/relationships/hyperlink" Id="rId731" Target="https://en.wikipedia.org/w/index.php?title=Style_guide&amp;oldid=1131556370" TargetMode="External" /><Relationship Type="http://schemas.openxmlformats.org/officeDocument/2006/relationships/hyperlink" Id="rId529" Target="https://enterprise-knowledge.com/folders-v-metadata-sharepoint-document-libraries/" TargetMode="External" /><Relationship Type="http://schemas.openxmlformats.org/officeDocument/2006/relationships/hyperlink" Id="rId617" Target="https://eric.ed.gov/?id=ED583982" TargetMode="External" /><Relationship Type="http://schemas.openxmlformats.org/officeDocument/2006/relationships/hyperlink" Id="rId232" Target="https://eur-synclab.github.io/" TargetMode="External" /><Relationship Type="http://schemas.openxmlformats.org/officeDocument/2006/relationships/hyperlink" Id="rId727" Target="https://ezspss.com/rules-for-naming-variables-in-spss/" TargetMode="External" /><Relationship Type="http://schemas.openxmlformats.org/officeDocument/2006/relationships/hyperlink" Id="rId334" Target="https://figshare.com/" TargetMode="External" /><Relationship Type="http://schemas.openxmlformats.org/officeDocument/2006/relationships/hyperlink" Id="rId446" Target="https://figshare.com/articles/preprint/Example_Data_Sharing_Agreement/14576049" TargetMode="External" /><Relationship Type="http://schemas.openxmlformats.org/officeDocument/2006/relationships/hyperlink" Id="rId127" Target="https://figshare.com/articles/preprint/Example_of_a_Data_Management_Plan/13218743" TargetMode="External" /><Relationship Type="http://schemas.openxmlformats.org/officeDocument/2006/relationships/hyperlink" Id="rId264" Target="https://figshare.com/articles/preprint/IRB_Protocol_Template/13218797" TargetMode="External" /><Relationship Type="http://schemas.openxmlformats.org/officeDocument/2006/relationships/hyperlink" Id="rId432" Target="https://figshare.com/articles/preprint/Informed_Consent_Template/13218773" TargetMode="External" /><Relationship Type="http://schemas.openxmlformats.org/officeDocument/2006/relationships/hyperlink" Id="rId330" Target="https://ftp.cdc.gov/pub/Health_Statistics/NCHS/Dataset_Documentation/NHIS/2020/adult-codebook.pdf" TargetMode="External" /><Relationship Type="http://schemas.openxmlformats.org/officeDocument/2006/relationships/hyperlink" Id="rId652" Target="https://github.com/Cghlewis/codebook-pkg-comparison" TargetMode="External" /><Relationship Type="http://schemas.openxmlformats.org/officeDocument/2006/relationships/hyperlink" Id="rId559" Target="https://guides.lib.uci.edu/datamanagement/describe" TargetMode="External" /><Relationship Type="http://schemas.openxmlformats.org/officeDocument/2006/relationships/hyperlink" Id="rId607" Target="https://guides.lib.unc.edu/metadata/basic-elements" TargetMode="External" /><Relationship Type="http://schemas.openxmlformats.org/officeDocument/2006/relationships/hyperlink" Id="rId547" Target="https://guides.lib.utexas.edu/metadata-basics/key-concepts" TargetMode="External" /><Relationship Type="http://schemas.openxmlformats.org/officeDocument/2006/relationships/hyperlink" Id="rId636" Target="https://guides.library.stonybrook.edu/research-data/collection" TargetMode="External" /><Relationship Type="http://schemas.openxmlformats.org/officeDocument/2006/relationships/hyperlink" Id="rId117" Target="https://help.figshare.com/article/how-to-write-a-data-management-plan-dmp-and-include-figshare-in-your-data-sharing-plans" TargetMode="External" /><Relationship Type="http://schemas.openxmlformats.org/officeDocument/2006/relationships/hyperlink" Id="rId537" Target="https://help.osf.io/article/144-creating-a-data-management-plan-dmp-document" TargetMode="External" /><Relationship Type="http://schemas.openxmlformats.org/officeDocument/2006/relationships/hyperlink" Id="rId561" Target="https://howtofair.dk/how-to-fair/metadata/" TargetMode="External" /><Relationship Type="http://schemas.openxmlformats.org/officeDocument/2006/relationships/hyperlink" Id="rId250" Target="https://hwpi.harvard.edu/files/sdp/files/sdp-toolkit-coding-style-guide.pdf" TargetMode="External" /><Relationship Type="http://schemas.openxmlformats.org/officeDocument/2006/relationships/hyperlink" Id="rId632" Target="https://ictrweb.johnshopkins.edu/ictr/dmig/Best_Practice/a8376318-ebd6-421f-be63-acf8c88376a1_6342a1c3-1a5d-4287-a46e-374824e3780e.html?v=65849&amp;ip=hpdkvlttuiyioooqhw" TargetMode="External" /><Relationship Type="http://schemas.openxmlformats.org/officeDocument/2006/relationships/hyperlink" Id="rId628" Target="https://ies.ed.gov/funding/23rfas.asp" TargetMode="External" /><Relationship Type="http://schemas.openxmlformats.org/officeDocument/2006/relationships/hyperlink" Id="rId626" Target="https://ies.ed.gov/funding/datasharing_faq.asp" TargetMode="External" /><Relationship Type="http://schemas.openxmlformats.org/officeDocument/2006/relationships/hyperlink" Id="rId108" Target="https://ies.ed.gov/funding/datasharing_implementation.asp" TargetMode="External" /><Relationship Type="http://schemas.openxmlformats.org/officeDocument/2006/relationships/hyperlink" Id="rId683" Target="https://ies.ed.gov/ncee/pubs/2022004/pdf/2022004.pdf" TargetMode="External" /><Relationship Type="http://schemas.openxmlformats.org/officeDocument/2006/relationships/hyperlink" Id="rId442" Target="https://ies.ed.gov/ncee/rel/regions/west/relwestFiles/pdf/CRP_Data_Sharing_Agreements_and_MOUs.pdf" TargetMode="External" /><Relationship Type="http://schemas.openxmlformats.org/officeDocument/2006/relationships/hyperlink" Id="rId630" Target="https://ies.ed.gov/seer/index.asp" TargetMode="External" /><Relationship Type="http://schemas.openxmlformats.org/officeDocument/2006/relationships/hyperlink" Id="rId619" Target="https://indeed.design/article/three-basic-principles-of-ethical-research-that-ux-can-take-from-academia" TargetMode="External" /><Relationship Type="http://schemas.openxmlformats.org/officeDocument/2006/relationships/hyperlink" Id="rId642" Target="https://irb.lafayette.edu/the-three-types-of-irb-review/" TargetMode="External" /><Relationship Type="http://schemas.openxmlformats.org/officeDocument/2006/relationships/hyperlink" Id="rId693" Target="https://irb.northwestern.edu/submitting-to-the-irb/types-of-reviews/exempt-review.html" TargetMode="External" /><Relationship Type="http://schemas.openxmlformats.org/officeDocument/2006/relationships/hyperlink" Id="rId34" Target="https://journals.plos.org/plosone/" TargetMode="External" /><Relationship Type="http://schemas.openxmlformats.org/officeDocument/2006/relationships/hyperlink" Id="rId644" Target="https://ldbase.org/resources/best-practices/data-use-vs-data-sharing" TargetMode="External" /><Relationship Type="http://schemas.openxmlformats.org/officeDocument/2006/relationships/hyperlink" Id="rId545" Target="https://learn.microsoft.com/en-us/office/troubleshoot/access/database-normalization-description" TargetMode="External" /><Relationship Type="http://schemas.openxmlformats.org/officeDocument/2006/relationships/hyperlink" Id="rId492" Target="https://learn.microsoft.com/en-us/windows/win32/fileio/naming-a-file" TargetMode="External" /><Relationship Type="http://schemas.openxmlformats.org/officeDocument/2006/relationships/hyperlink" Id="rId549" Target="https://libguides.mines.edu/ld.php?content_id=49061255" TargetMode="External" /><Relationship Type="http://schemas.openxmlformats.org/officeDocument/2006/relationships/hyperlink" Id="rId555" Target="https://libguides.princeton.edu/c.php?g=102546&amp;p=665862" TargetMode="External" /><Relationship Type="http://schemas.openxmlformats.org/officeDocument/2006/relationships/hyperlink" Id="rId557" Target="https://library.csp.edu/Zotero/workflow" TargetMode="External" /><Relationship Type="http://schemas.openxmlformats.org/officeDocument/2006/relationships/hyperlink" Id="rId743" Target="https://library.ucmerced.edu/data-dictionaries" TargetMode="External" /><Relationship Type="http://schemas.openxmlformats.org/officeDocument/2006/relationships/hyperlink" Id="rId719" Target="https://library.weill.cornell.edu/research-support/research-data-management-retention-and-sharing" TargetMode="External" /><Relationship Type="http://schemas.openxmlformats.org/officeDocument/2006/relationships/hyperlink" Id="rId687" Target="https://medium.com/@kimtnguyen/relational-database-schema-design-overview-70e447ff66f9" TargetMode="External" /><Relationship Type="http://schemas.openxmlformats.org/officeDocument/2006/relationships/hyperlink" Id="rId735" Target="https://medium.com/swlh/normalization-of-database-the-easy-way-98f96a7a6863" TargetMode="External" /><Relationship Type="http://schemas.openxmlformats.org/officeDocument/2006/relationships/hyperlink" Id="rId673" Target="https://nces.ed.gov/forum/dataethicscourse/additional-materials/memoranda-of-understanding.pdf" TargetMode="External" /><Relationship Type="http://schemas.openxmlformats.org/officeDocument/2006/relationships/hyperlink" Id="rId739" Target="https://nces.ed.gov/pubs2015/2015074.pdf" TargetMode="External" /><Relationship Type="http://schemas.openxmlformats.org/officeDocument/2006/relationships/hyperlink" Id="rId677" Target="https://nij.ojp.gov/funding/common-rule" TargetMode="External" /><Relationship Type="http://schemas.openxmlformats.org/officeDocument/2006/relationships/hyperlink" Id="rId110" Target="https://nij.ojp.gov/funding/data-archiving" TargetMode="External" /><Relationship Type="http://schemas.openxmlformats.org/officeDocument/2006/relationships/hyperlink" Id="rId611" Target="https://obamawhitehouse.archives.gov/sites/default/files/microsites/ostp/ostp_public_access_memo_2013.pdf" TargetMode="External" /><Relationship Type="http://schemas.openxmlformats.org/officeDocument/2006/relationships/hyperlink" Id="rId737" Target="https://obamawhitehouse.archives.gov/the-press-office/2013/05/09/executive-order-making-open-and-machine-readable-new-default-government-" TargetMode="External" /><Relationship Type="http://schemas.openxmlformats.org/officeDocument/2006/relationships/hyperlink" Id="rId691" Target="https://ori.hhs.gov/education/products/n_illinois_u/datamanagement/dctopic.html" TargetMode="External" /><Relationship Type="http://schemas.openxmlformats.org/officeDocument/2006/relationships/hyperlink" Id="rId119" Target="https://osf.io/awypt/" TargetMode="External" /><Relationship Type="http://schemas.openxmlformats.org/officeDocument/2006/relationships/hyperlink" Id="rId228" Target="https://osf.io/mdh87/wiki/home/" TargetMode="External" /><Relationship Type="http://schemas.openxmlformats.org/officeDocument/2006/relationships/hyperlink" Id="rId121" Target="https://osf.io/ztjf2" TargetMode="External" /><Relationship Type="http://schemas.openxmlformats.org/officeDocument/2006/relationships/hyperlink" Id="rId689" Target="https://our.oakland.edu/handle/10323/6893" TargetMode="External" /><Relationship Type="http://schemas.openxmlformats.org/officeDocument/2006/relationships/hyperlink" Id="rId563" Target="https://ourcodingclub.github.io/tutorials/etiquette/" TargetMode="External" /><Relationship Type="http://schemas.openxmlformats.org/officeDocument/2006/relationships/hyperlink" Id="rId502" Target="https://pitt.libguides.com/managedata/describingdata" TargetMode="External" /><Relationship Type="http://schemas.openxmlformats.org/officeDocument/2006/relationships/hyperlink" Id="rId504" Target="https://pitt.libguides.com/managedata/understanding" TargetMode="External" /><Relationship Type="http://schemas.openxmlformats.org/officeDocument/2006/relationships/hyperlink" Id="rId500" Target="https://pitt.libguides.com/metadatadiscovery/metadata-standards" TargetMode="External" /><Relationship Type="http://schemas.openxmlformats.org/officeDocument/2006/relationships/hyperlink" Id="rId514" Target="https://pressbooks.pub/bus206/" TargetMode="External" /><Relationship Type="http://schemas.openxmlformats.org/officeDocument/2006/relationships/hyperlink" Id="rId512" Target="https://pressbooks.pub/bus206/chapter/chapter-4-data-and-databases/" TargetMode="External" /><Relationship Type="http://schemas.openxmlformats.org/officeDocument/2006/relationships/hyperlink" Id="rId729" Target="https://psyarxiv.com/rsn5y/" TargetMode="External" /><Relationship Type="http://schemas.openxmlformats.org/officeDocument/2006/relationships/hyperlink" Id="rId773" Target="https://r4ds.had.co.nz/workflow-projects.html" TargetMode="External" /><Relationship Type="http://schemas.openxmlformats.org/officeDocument/2006/relationships/hyperlink" Id="rId444" Target="https://research.unc.edu/wp-content/uploads/sites/61/2013/04/CCM3_039360.pdf" TargetMode="External" /><Relationship Type="http://schemas.openxmlformats.org/officeDocument/2006/relationships/hyperlink" Id="rId436" Target="https://research.virginia.edu/irb-sbs/consent-templates" TargetMode="External" /><Relationship Type="http://schemas.openxmlformats.org/officeDocument/2006/relationships/hyperlink" Id="rId37" Target="https://retractionwatch.com/" TargetMode="External" /><Relationship Type="http://schemas.openxmlformats.org/officeDocument/2006/relationships/hyperlink" Id="rId681" Target="https://sharing.nih.gov/data-management-and-sharing-policy/about-data-management-and-sharing-policies/data-management-and-sharing-policy-overview" TargetMode="External" /><Relationship Type="http://schemas.openxmlformats.org/officeDocument/2006/relationships/hyperlink" Id="rId109" Target="https://sharing.nih.gov/data-management-and-sharing-policy/planning-and-budgeting-DMS/writing-a-data-management-and-sharing-plan" TargetMode="External" /><Relationship Type="http://schemas.openxmlformats.org/officeDocument/2006/relationships/hyperlink" Id="rId679" Target="https://sharing.nih.gov/data-management-and-sharing-policy/planning-and-budgeting-for-data-management-and-sharing/budgeting-for-data-management-sharing#after" TargetMode="External" /><Relationship Type="http://schemas.openxmlformats.org/officeDocument/2006/relationships/hyperlink" Id="rId711" Target="https://stat.ethz.ch/R-manual/R-devel/library/base/html/00Index.html" TargetMode="External" /><Relationship Type="http://schemas.openxmlformats.org/officeDocument/2006/relationships/hyperlink" Id="rId248" Target="https://style.tidyverse.org/" TargetMode="External" /><Relationship Type="http://schemas.openxmlformats.org/officeDocument/2006/relationships/hyperlink" Id="rId771" Target="https://style.tidyverse.org/index.html" TargetMode="External" /><Relationship Type="http://schemas.openxmlformats.org/officeDocument/2006/relationships/hyperlink" Id="rId667" Target="https://support.microsoft.com/en-us/office/restrictions-and-limitations-in-onedrive-and-sharepoint-64883a5d-228e-48f5-b3d2-eb39e07630fa" TargetMode="External" /><Relationship Type="http://schemas.openxmlformats.org/officeDocument/2006/relationships/hyperlink" Id="rId484" Target="https://tellingstorieswithdata.com/" TargetMode="External" /><Relationship Type="http://schemas.openxmlformats.org/officeDocument/2006/relationships/hyperlink" Id="rId580" Target="https://timfarewell.co.uk/my-r-script-header-template/" TargetMode="External" /><Relationship Type="http://schemas.openxmlformats.org/officeDocument/2006/relationships/hyperlink" Id="rId741" Target="https://tinyurl.com/nhba9mhc" TargetMode="External" /><Relationship Type="http://schemas.openxmlformats.org/officeDocument/2006/relationships/hyperlink" Id="rId578" Target="https://trace.tennessee.edu/cgi/viewcontent.cgi?article=1023&amp;context=utk_libpub" TargetMode="External" /><Relationship Type="http://schemas.openxmlformats.org/officeDocument/2006/relationships/hyperlink" Id="rId132" Target="https://ukdataservice.ac.uk//app/uploads/costingtool.pdf" TargetMode="External" /><Relationship Type="http://schemas.openxmlformats.org/officeDocument/2006/relationships/hyperlink" Id="rId746" Target="https://ukdataservice.ac.uk/learning-hub/research-data-management/document-your-data/metadata/" TargetMode="External" /><Relationship Type="http://schemas.openxmlformats.org/officeDocument/2006/relationships/hyperlink" Id="rId748" Target="https://ukdataservice.ac.uk/learning-hub/research-data-management/format-your-data/quality/" TargetMode="External" /><Relationship Type="http://schemas.openxmlformats.org/officeDocument/2006/relationships/hyperlink" Id="rId752" Target="https://ukdataservice.ac.uk/learning-hub/research-data-management/format-your-data/versioning/" TargetMode="External" /><Relationship Type="http://schemas.openxmlformats.org/officeDocument/2006/relationships/hyperlink" Id="rId750" Target="https://ukdataservice.ac.uk/learning-hub/research-data-management/plan-to-share/roles-and-responsibilities/" TargetMode="External" /><Relationship Type="http://schemas.openxmlformats.org/officeDocument/2006/relationships/hyperlink" Id="rId591" Target="https://web.stanford.edu/~gentzkow/research/CodeAndData.pdf" TargetMode="External" /><Relationship Type="http://schemas.openxmlformats.org/officeDocument/2006/relationships/hyperlink" Id="rId496" Target="https://www.bellevuecollege.edu/wp-content/uploads/sites/38/2016/03/Elements_of_Informed_Consent.doc" TargetMode="External" /><Relationship Type="http://schemas.openxmlformats.org/officeDocument/2006/relationships/hyperlink" Id="rId527" Target="https://www.cabrini.edu/about/departments/academic-affairs/institutional-review-board/submissions-for-research-protocol" TargetMode="External" /><Relationship Type="http://schemas.openxmlformats.org/officeDocument/2006/relationships/hyperlink" Id="rId533" Target="https://www.cdisc.org/standards" TargetMode="External" /><Relationship Type="http://schemas.openxmlformats.org/officeDocument/2006/relationships/hyperlink" Id="rId42" Target="https://www.cos.io/" TargetMode="External" /><Relationship Type="http://schemas.openxmlformats.org/officeDocument/2006/relationships/hyperlink" Id="rId603" Target="https://www.cos.io/blog/new-osf-metadata-to-support-data-sharing-policy-compliance" TargetMode="External" /><Relationship Type="http://schemas.openxmlformats.org/officeDocument/2006/relationships/hyperlink" Id="rId585" Target="https://www.fordham.edu/academics/research/institutional-review-board/revised-common-rule/" TargetMode="External" /><Relationship Type="http://schemas.openxmlformats.org/officeDocument/2006/relationships/hyperlink" Id="rId597" Target="https://www.go-fair.org/fair-principles/" TargetMode="External" /><Relationship Type="http://schemas.openxmlformats.org/officeDocument/2006/relationships/hyperlink" Id="rId553" Target="https://www.google.com/url?sa=t&amp;rct=j&amp;q=&amp;esrc=s&amp;source=web&amp;cd=&amp;ved=2ahUKEwi23o272_r2AhXjpFsKHb26BkAQFnoECDcQAQ&amp;url=https%3A%2F%2Fwww.mdpi.com%2Fdata%2Fconsort-2010-flow-diagram.doc&amp;usg=AOvVaw1vkBi-6QPcbnv9k40nfXfs" TargetMode="External" /><Relationship Type="http://schemas.openxmlformats.org/officeDocument/2006/relationships/hyperlink" Id="rId699" Target="https://www.hhs.gov/ohrp/education-and-outreach/revised-common-rule/revised-common-rule-q-and-a/index.html" TargetMode="External" /><Relationship Type="http://schemas.openxmlformats.org/officeDocument/2006/relationships/hyperlink" Id="rId701" Target="https://www.hhs.gov/ohrp/regulations-and-policy/belmont-report/read-the-belmont-report/index.html" TargetMode="External" /><Relationship Type="http://schemas.openxmlformats.org/officeDocument/2006/relationships/hyperlink" Id="rId703" Target="https://www.hhs.gov/ohrp/regulations-and-policy/regulations/45-cfr-46/index.html" TargetMode="External" /><Relationship Type="http://schemas.openxmlformats.org/officeDocument/2006/relationships/hyperlink" Id="rId697" Target="https://www.hhs.gov/ohrp/regulations-and-policy/regulations/common-rule/index.html" TargetMode="External" /><Relationship Type="http://schemas.openxmlformats.org/officeDocument/2006/relationships/hyperlink" Id="rId123" Target="https://www.icpsr.umich.edu/files/ICPSR/nih/FINAL_ICPSR-NIH-DMS-Plan-Template_2023.docx" TargetMode="External" /><Relationship Type="http://schemas.openxmlformats.org/officeDocument/2006/relationships/hyperlink" Id="rId328" Target="https://www.icpsr.umich.edu/files/deposit/Guide-to-Codebooks_v1.pdf" TargetMode="External" /><Relationship Type="http://schemas.openxmlformats.org/officeDocument/2006/relationships/hyperlink" Id="rId624" Target="https://www.icpsr.umich.edu/web/pages/datamanagement/lifecycle/metadata.html" TargetMode="External" /><Relationship Type="http://schemas.openxmlformats.org/officeDocument/2006/relationships/hyperlink" Id="rId622" Target="https://www.icpsr.umich.edu/web/pages/deposit/guide/" TargetMode="External" /><Relationship Type="http://schemas.openxmlformats.org/officeDocument/2006/relationships/hyperlink" Id="rId646" Target="https://www.ldbase.org/resources/user-guide/information-to-gather" TargetMode="External" /><Relationship Type="http://schemas.openxmlformats.org/officeDocument/2006/relationships/hyperlink" Id="rId430" Target="https://www.ldbase.org/system/files/documents/2021-04/HS-ParentConsent.txt" TargetMode="External" /><Relationship Type="http://schemas.openxmlformats.org/officeDocument/2006/relationships/hyperlink" Id="rId758" Target="https://www.lib.uiowa.edu/data/share/metadata/" TargetMode="External" /><Relationship Type="http://schemas.openxmlformats.org/officeDocument/2006/relationships/hyperlink" Id="rId129" Target="https://www.lib.umn.edu/services/data/dmp-examples" TargetMode="External" /><Relationship Type="http://schemas.openxmlformats.org/officeDocument/2006/relationships/hyperlink" Id="rId640" Target="https://www.maketecheasier.com/tag-files-in-windows/" TargetMode="External" /><Relationship Type="http://schemas.openxmlformats.org/officeDocument/2006/relationships/hyperlink" Id="rId675" Target="https://www.neh.gov/sites/default/files/2018-06/data_management_plans_2018.pdf" TargetMode="External" /><Relationship Type="http://schemas.openxmlformats.org/officeDocument/2006/relationships/hyperlink" Id="rId125" Target="https://www.nichd.nih.gov/sites/default/files/inline-files/Example_DMS_Plan-Human-Survey-NIH_Format_Page_V2.pdf" TargetMode="External" /><Relationship Type="http://schemas.openxmlformats.org/officeDocument/2006/relationships/hyperlink" Id="rId230" Target="https://www.notion.so/Company-home-240047f7526c4b0091681dc6c95b7e76" TargetMode="External" /><Relationship Type="http://schemas.openxmlformats.org/officeDocument/2006/relationships/hyperlink" Id="rId111" Target="https://www.nsf.gov/bfa/dias/policy/dmpdocs/ehr.pdf" TargetMode="External" /><Relationship Type="http://schemas.openxmlformats.org/officeDocument/2006/relationships/hyperlink" Id="rId695" Target="https://www.nucats.northwestern.edu/docs/cecd/overview-of-sops.pdf" TargetMode="External" /><Relationship Type="http://schemas.openxmlformats.org/officeDocument/2006/relationships/hyperlink" Id="rId705"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648" Target="https://www.povertyactionlab.org/blog/6-30-20/considerations-collecting-electronic-signatures" TargetMode="External" /><Relationship Type="http://schemas.openxmlformats.org/officeDocument/2006/relationships/hyperlink" Id="rId593" Target="https://www.povertyactionlab.org/resource/formalize-research-partnership-and-establish-roles-and-expectations" TargetMode="External" /><Relationship Type="http://schemas.openxmlformats.org/officeDocument/2006/relationships/hyperlink" Id="rId139" Target="https://www.povertyactionlab.org/resource/grant-proposals" TargetMode="External" /><Relationship Type="http://schemas.openxmlformats.org/officeDocument/2006/relationships/hyperlink" Id="rId576" Target="https://www.povertyactionlab.org/resource/institutional-review-board-irb-proposals" TargetMode="External" /><Relationship Type="http://schemas.openxmlformats.org/officeDocument/2006/relationships/hyperlink" Id="rId573" Target="https://www.povertyactionlab.org/sites/default/files/research-resources/rr_grantprop_Template_Gantt_Chart.pdf" TargetMode="External" /><Relationship Type="http://schemas.openxmlformats.org/officeDocument/2006/relationships/hyperlink" Id="rId434" Target="https://www.povertyactionlab.org/sites/default/files/research-resources/rr_irb_annotated-informed-consent-checklist_0.pdf" TargetMode="External" /><Relationship Type="http://schemas.openxmlformats.org/officeDocument/2006/relationships/hyperlink" Id="rId35" Target="https://www.psychologicalscience.org/publications/ampps" TargetMode="External" /><Relationship Type="http://schemas.openxmlformats.org/officeDocument/2006/relationships/hyperlink" Id="rId661" Target="https://www.rsb.org.uk//biologist-features/how-to-write-a-lab-handbook" TargetMode="External" /><Relationship Type="http://schemas.openxmlformats.org/officeDocument/2006/relationships/hyperlink" Id="rId222" Target="https://www.rsb.org.uk/images/biologist/2020/Apr_May_2020_67-2/67.2_Handbook.pdf" TargetMode="External" /><Relationship Type="http://schemas.openxmlformats.org/officeDocument/2006/relationships/hyperlink" Id="rId723" Target="https://www.schema.org/" TargetMode="External" /><Relationship Type="http://schemas.openxmlformats.org/officeDocument/2006/relationships/hyperlink" Id="rId583" Target="https://www.sjsu.edu/research/docs/irb-data-management-handbook.pdf" TargetMode="External" /><Relationship Type="http://schemas.openxmlformats.org/officeDocument/2006/relationships/hyperlink" Id="rId601" Target="https://www.theanalysisfactor.com/wide-and-long-data/" TargetMode="External" /><Relationship Type="http://schemas.openxmlformats.org/officeDocument/2006/relationships/hyperlink" Id="rId762" Target="https://www.usgs.gov/data-management/metadata-creation#tools" TargetMode="External" /><Relationship Type="http://schemas.openxmlformats.org/officeDocument/2006/relationships/hyperlink" Id="rId764" Target="https://www.usgs.gov/faqs/what-are-differences-between-data-dataset-and-database" TargetMode="External" /><Relationship Type="http://schemas.openxmlformats.org/officeDocument/2006/relationships/hyperlink" Id="rId134" Target="https://www.utwente.nl/en/service-portal/services/lisa/resources/files/library-public/dcc-rdm-costs-estimation.pdf" TargetMode="External" /><Relationship Type="http://schemas.openxmlformats.org/officeDocument/2006/relationships/hyperlink" Id="rId760" Target="https://www.washington.edu/research/myresearch-lifecycle/setup/collaborations/sharing-information-and-data/" TargetMode="External" /><Relationship Type="http://schemas.openxmlformats.org/officeDocument/2006/relationships/hyperlink" Id="rId685" Target="https://www.whitehouse.gov/wp-content/uploads/2022/08/08-2022-OSTP-Public-Access-Memo.pdf" TargetMode="External" /><Relationship Type="http://schemas.openxmlformats.org/officeDocument/2006/relationships/hyperlink" Id="rId609" Target="https://www.youtube.com/watch?v=zDsUUs9j3sQ" TargetMode="External" /><Relationship Type="http://schemas.openxmlformats.org/officeDocument/2006/relationships/hyperlink" Id="rId779"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266" Target="http://orrp.osu.edu/files/2011/10/GuidelinesforWritingaResearchProtocol.pdf" TargetMode="External" /><Relationship Type="http://schemas.openxmlformats.org/officeDocument/2006/relationships/hyperlink" Id="rId669" Target="http://websites.umich.edu/~pals/PALS%202000_V13Word97.pdf" TargetMode="External" /><Relationship Type="http://schemas.openxmlformats.org/officeDocument/2006/relationships/hyperlink" Id="rId654" Target="http://www.withinandbetweenpod.com/" TargetMode="External" /><Relationship Type="http://schemas.openxmlformats.org/officeDocument/2006/relationships/hyperlink" Id="rId440" Target="https://admindatahandbook.mit.edu/book/v1.0-rc4/appendix/dua_appendix.pdf" TargetMode="External" /><Relationship Type="http://schemas.openxmlformats.org/officeDocument/2006/relationships/hyperlink" Id="rId721" Target="https://blogs.worldbank.org/impactevaluations/stata-linter-produces-stata-code-sparks-joy" TargetMode="External" /><Relationship Type="http://schemas.openxmlformats.org/officeDocument/2006/relationships/hyperlink" Id="rId650"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756" Target="https://cphs.berkeley.edu/exempt.pdf" TargetMode="External" /><Relationship Type="http://schemas.openxmlformats.org/officeDocument/2006/relationships/hyperlink" Id="rId766" Target="https://dataoneorg.github.io/Education/bestpractices/define-roles-and" TargetMode="External" /><Relationship Type="http://schemas.openxmlformats.org/officeDocument/2006/relationships/hyperlink" Id="rId137" Target="https://dataoneorg.github.io/Education/bestpractices/provide-budget-information" TargetMode="External" /><Relationship Type="http://schemas.openxmlformats.org/officeDocument/2006/relationships/hyperlink" Id="rId565" Target="https://ddialliance.org/controlled-vocabularies" TargetMode="External" /><Relationship Type="http://schemas.openxmlformats.org/officeDocument/2006/relationships/hyperlink" Id="rId567" Target="https://ddialliance.org/resources/ddi-profiles/dc" TargetMode="External" /><Relationship Type="http://schemas.openxmlformats.org/officeDocument/2006/relationships/hyperlink" Id="rId270" Target="https://depts.washington.edu/wildfire/resources/protckl.pdf" TargetMode="External" /><Relationship Type="http://schemas.openxmlformats.org/officeDocument/2006/relationships/hyperlink" Id="rId488" Target="https://dimewiki.worldbank.org/Data_Quality_Assurance_Plan" TargetMode="External" /><Relationship Type="http://schemas.openxmlformats.org/officeDocument/2006/relationships/hyperlink" Id="rId541" Target="https://dmeg.cessda.eu/Data-Management-Expert-Guide/2.-Organise-Document/Documentation-and-metadata" TargetMode="External" /><Relationship Type="http://schemas.openxmlformats.org/officeDocument/2006/relationships/hyperlink" Id="rId539" Target="https://dmeg.cessda.eu/Data-Management-Expert-Guide/3.-Process/Data-authenticity" TargetMode="External" /><Relationship Type="http://schemas.openxmlformats.org/officeDocument/2006/relationships/hyperlink" Id="rId115" Target="https://dmptool.org/public_templates" TargetMode="External" /><Relationship Type="http://schemas.openxmlformats.org/officeDocument/2006/relationships/hyperlink" Id="rId571" Target="https://docplayer.net/8853333-Drowning-in-research-data-addressing-data-management-literacy-of-graduate-students.html" TargetMode="External" /><Relationship Type="http://schemas.openxmlformats.org/officeDocument/2006/relationships/hyperlink" Id="rId162" Target="https://docs.google.com/document/d/12Jx4soafWiZF-1y-ESu1n37aDa-Pa4ZS" TargetMode="External" /><Relationship Type="http://schemas.openxmlformats.org/officeDocument/2006/relationships/hyperlink" Id="rId150" Target="https://docs.google.com/document/d/131cHp9-_NET3futvKH7ECV39rTSTEULE" TargetMode="External" /><Relationship Type="http://schemas.openxmlformats.org/officeDocument/2006/relationships/hyperlink" Id="rId158" Target="https://docs.google.com/document/d/18fL9M4TKi0k6cC2ubK0VD5Res9yXsS92" TargetMode="External" /><Relationship Type="http://schemas.openxmlformats.org/officeDocument/2006/relationships/hyperlink" Id="rId164" Target="https://docs.google.com/document/d/1Bsbjx9aCZlsr8XbLRp3llhJxDkIi56iD" TargetMode="External" /><Relationship Type="http://schemas.openxmlformats.org/officeDocument/2006/relationships/hyperlink" Id="rId296" Target="https://docs.google.com/document/d/1JWeKLDqtuk79beNJBv5xHueMwki0c7xD" TargetMode="External" /><Relationship Type="http://schemas.openxmlformats.org/officeDocument/2006/relationships/hyperlink" Id="rId218" Target="https://docs.google.com/document/d/1LqGdtHg0dMbj9lsCnC1QOoWzIsnSNRTSek6i3Kls2Ik" TargetMode="External" /><Relationship Type="http://schemas.openxmlformats.org/officeDocument/2006/relationships/hyperlink" Id="rId152" Target="https://docs.google.com/document/d/1M372uOtVutLxt7VZgCZnxPVDUSTQmm15" TargetMode="External" /><Relationship Type="http://schemas.openxmlformats.org/officeDocument/2006/relationships/hyperlink" Id="rId238" Target="https://docs.google.com/document/d/1W57cYuYyiqltQNXUITP-jVIf84jao4Ef" TargetMode="External" /><Relationship Type="http://schemas.openxmlformats.org/officeDocument/2006/relationships/hyperlink" Id="rId156" Target="https://docs.google.com/document/d/1YM3q0aNEpQAalorr3fs4dXH2aCuompNk" TargetMode="External" /><Relationship Type="http://schemas.openxmlformats.org/officeDocument/2006/relationships/hyperlink" Id="rId245" Target="https://docs.google.com/document/d/1fCFBULZeCBRyt0v2k4-Jb_9zBrk9En29" TargetMode="External" /><Relationship Type="http://schemas.openxmlformats.org/officeDocument/2006/relationships/hyperlink" Id="rId160" Target="https://docs.google.com/document/d/1mxxGaDvFPlQaR7M3wSmwWTgkHa5yiT4t" TargetMode="External" /><Relationship Type="http://schemas.openxmlformats.org/officeDocument/2006/relationships/hyperlink" Id="rId154" Target="https://docs.google.com/document/d/1nvjMHeDmJkQtTT4CoLpUcroYknSDAQyj" TargetMode="External" /><Relationship Type="http://schemas.openxmlformats.org/officeDocument/2006/relationships/hyperlink" Id="rId148" Target="https://docs.google.com/document/d/1o_QsM9N492XgMhRE4ef9GaGVNzvfO4sR" TargetMode="External" /><Relationship Type="http://schemas.openxmlformats.org/officeDocument/2006/relationships/hyperlink" Id="rId289" Target="https://docs.google.com/document/d/1q84UCsn_DVL9aaO_n5T_LCjwLy96FPPB" TargetMode="External" /><Relationship Type="http://schemas.openxmlformats.org/officeDocument/2006/relationships/hyperlink" Id="rId298" Target="https://docs.google.com/document/d/1rbED1r0fGAk5CREslc8qQ5378EBV5759eSqdQbp4fHc" TargetMode="External" /><Relationship Type="http://schemas.openxmlformats.org/officeDocument/2006/relationships/hyperlink" Id="rId634" Target="https://docs.google.com/document/d/1u8o5jnWk0Iqp_J06PTu5NjBfVsdoPbBhstht6W0fFp0/edit?usp=embed_facebook" TargetMode="External" /><Relationship Type="http://schemas.openxmlformats.org/officeDocument/2006/relationships/hyperlink" Id="rId262" Target="https://docs.google.com/document/d/1wOLFFurs0t2rANxyD6rQ7xoFbg5LPmeA" TargetMode="External" /><Relationship Type="http://schemas.openxmlformats.org/officeDocument/2006/relationships/hyperlink" Id="rId535" Target="https://docs.google.com/presentation/d/1LpyVOj8oJPr3SVkRM2GfCFnl2Qeo10YbbqcqwtwrVUM" TargetMode="External" /><Relationship Type="http://schemas.openxmlformats.org/officeDocument/2006/relationships/hyperlink" Id="rId318" Target="https://docs.google.com/spreadsheets/d/1R-5TIUvAhJRDucVhq4dNg00RR1CG7uQ6MRhje0BBC20" TargetMode="External" /><Relationship Type="http://schemas.openxmlformats.org/officeDocument/2006/relationships/hyperlink" Id="rId220" Target="https://docs.google.com/spreadsheets/d/1kn4A0nR4loUOSDn9Qysd3MqFJ9cGU91dCDM6x9aga-8" TargetMode="External" /><Relationship Type="http://schemas.openxmlformats.org/officeDocument/2006/relationships/hyperlink" Id="rId268" Target="https://docs.research.missouri.edu/human_subjects/templates/Social_Behavioral_Educational_Protocol_Template.docx" TargetMode="External" /><Relationship Type="http://schemas.openxmlformats.org/officeDocument/2006/relationships/hyperlink" Id="rId486" Target="https://doi.org/10.1002/bes2.1801" TargetMode="External" /><Relationship Type="http://schemas.openxmlformats.org/officeDocument/2006/relationships/hyperlink" Id="rId709" Target="https://doi.org/10.1002/ped4.12023" TargetMode="External" /><Relationship Type="http://schemas.openxmlformats.org/officeDocument/2006/relationships/hyperlink" Id="rId531" Target="https://doi.org/10.1016/j.gaceta.2018.01.009" TargetMode="External" /><Relationship Type="http://schemas.openxmlformats.org/officeDocument/2006/relationships/hyperlink" Id="rId494" Target="https://doi.org/10.1038/533452a" TargetMode="External" /><Relationship Type="http://schemas.openxmlformats.org/officeDocument/2006/relationships/hyperlink" Id="rId775" Target="https://doi.org/10.1038/sdata.2016.18" TargetMode="External" /><Relationship Type="http://schemas.openxmlformats.org/officeDocument/2006/relationships/hyperlink" Id="rId519" Target="https://doi.org/10.1080/00031305.2017.1375989" TargetMode="External" /><Relationship Type="http://schemas.openxmlformats.org/officeDocument/2006/relationships/hyperlink" Id="rId525" Target="https://doi.org/10.1093/ije/dyaa087" TargetMode="External" /><Relationship Type="http://schemas.openxmlformats.org/officeDocument/2006/relationships/hyperlink" Id="rId725" Target="https://doi.org/10.1136/bmj.c332" TargetMode="External" /><Relationship Type="http://schemas.openxmlformats.org/officeDocument/2006/relationships/hyperlink" Id="rId508" Target="https://doi.org/10.1162/99608f92.9497f68e" TargetMode="External" /><Relationship Type="http://schemas.openxmlformats.org/officeDocument/2006/relationships/hyperlink" Id="rId569" Target="https://doi.org/10.1177/0022219420945267" TargetMode="External" /><Relationship Type="http://schemas.openxmlformats.org/officeDocument/2006/relationships/hyperlink" Id="rId671" Target="https://doi.org/10.1177/10883576221133495" TargetMode="External" /><Relationship Type="http://schemas.openxmlformats.org/officeDocument/2006/relationships/hyperlink" Id="rId656" Target="https://doi.org/10.1177/23328584211006475" TargetMode="External" /><Relationship Type="http://schemas.openxmlformats.org/officeDocument/2006/relationships/hyperlink" Id="rId595" Target="https://doi.org/10.1177/2515245917746500" TargetMode="External" /><Relationship Type="http://schemas.openxmlformats.org/officeDocument/2006/relationships/hyperlink" Id="rId663" Target="https://doi.org/10.1177/2515245917747656" TargetMode="External" /><Relationship Type="http://schemas.openxmlformats.org/officeDocument/2006/relationships/hyperlink" Id="rId615" Target="https://doi.org/10.1177/2515245917751886" TargetMode="External" /><Relationship Type="http://schemas.openxmlformats.org/officeDocument/2006/relationships/hyperlink" Id="rId521" Target="https://doi.org/10.1177/2515245920928007" TargetMode="External" /><Relationship Type="http://schemas.openxmlformats.org/officeDocument/2006/relationships/hyperlink" Id="rId638" Target="https://doi.org/10.1177/25152459211045930" TargetMode="External" /><Relationship Type="http://schemas.openxmlformats.org/officeDocument/2006/relationships/hyperlink" Id="rId658" Target="https://doi.org/10.1186/s13059-015-0850-7" TargetMode="External" /><Relationship Type="http://schemas.openxmlformats.org/officeDocument/2006/relationships/hyperlink" Id="rId665" Target="https://doi.org/10.1371/journal.pcbi.1004525" TargetMode="External" /><Relationship Type="http://schemas.openxmlformats.org/officeDocument/2006/relationships/hyperlink" Id="rId777" Target="https://doi.org/10.1371/journal.pcbi.1005510" TargetMode="External" /><Relationship Type="http://schemas.openxmlformats.org/officeDocument/2006/relationships/hyperlink" Id="rId613" Target="https://doi.org/10.1371/journal.pcbi.1008095" TargetMode="External" /><Relationship Type="http://schemas.openxmlformats.org/officeDocument/2006/relationships/hyperlink" Id="rId599" Target="https://doi.org/10.1371/journal.pcbi.1010397" TargetMode="External" /><Relationship Type="http://schemas.openxmlformats.org/officeDocument/2006/relationships/hyperlink" Id="rId506" Target="https://doi.org/10.1371/journal.pone.0252047" TargetMode="External" /><Relationship Type="http://schemas.openxmlformats.org/officeDocument/2006/relationships/hyperlink" Id="rId781" Target="https://doi.org/10.1371/journal.pone.0282152" TargetMode="External" /><Relationship Type="http://schemas.openxmlformats.org/officeDocument/2006/relationships/hyperlink" Id="rId769" Target="https://doi.org/10.18637/jss.v059.i10" TargetMode="External" /><Relationship Type="http://schemas.openxmlformats.org/officeDocument/2006/relationships/hyperlink" Id="rId733" Target="https://doi.org/10.2218/ijdc.v11i1.389" TargetMode="External" /><Relationship Type="http://schemas.openxmlformats.org/officeDocument/2006/relationships/hyperlink" Id="rId490" Target="https://doi.org/10.31234/osf.io/5qc6h" TargetMode="External" /><Relationship Type="http://schemas.openxmlformats.org/officeDocument/2006/relationships/hyperlink" Id="rId713" Target="https://doi.org/10.35542/osf.io/xqfwb" TargetMode="External" /><Relationship Type="http://schemas.openxmlformats.org/officeDocument/2006/relationships/hyperlink" Id="rId707" Target="https://doi.org/10.3886/E121381V1" TargetMode="External" /><Relationship Type="http://schemas.openxmlformats.org/officeDocument/2006/relationships/hyperlink" Id="rId754" Target="https://doi.org/10.3886/ICPSR38290.V1" TargetMode="External" /><Relationship Type="http://schemas.openxmlformats.org/officeDocument/2006/relationships/hyperlink" Id="rId517" Target="https://doi.org/10.3897/rio.6.e56508" TargetMode="External" /><Relationship Type="http://schemas.openxmlformats.org/officeDocument/2006/relationships/hyperlink" Id="rId523" Target="https://doi.org/10.4000/books.oep.426" TargetMode="External" /><Relationship Type="http://schemas.openxmlformats.org/officeDocument/2006/relationships/hyperlink" Id="rId587" Target="https://doi.org/10.5195/jmla.2017.88" TargetMode="External" /><Relationship Type="http://schemas.openxmlformats.org/officeDocument/2006/relationships/hyperlink" Id="rId605" Target="https://doi.org/10.5278/16k4-4n24" TargetMode="External" /><Relationship Type="http://schemas.openxmlformats.org/officeDocument/2006/relationships/hyperlink" Id="rId551" Target="https://doi.org/10.5281/ZENODO.3233853" TargetMode="External" /><Relationship Type="http://schemas.openxmlformats.org/officeDocument/2006/relationships/hyperlink" Id="rId498" Target="https://doi.org/10.5281/ZENODO.3686061" TargetMode="External" /><Relationship Type="http://schemas.openxmlformats.org/officeDocument/2006/relationships/hyperlink" Id="rId589" Target="https://doi.org/10.5281/zenodo.1914401" TargetMode="External" /><Relationship Type="http://schemas.openxmlformats.org/officeDocument/2006/relationships/hyperlink" Id="rId510" Target="https://doi.org/10.5334/dsj-2021-009" TargetMode="External" /><Relationship Type="http://schemas.openxmlformats.org/officeDocument/2006/relationships/hyperlink" Id="rId715" Target="https://doi.org/10.6084/m9.figshare.13215350.v2" TargetMode="External" /><Relationship Type="http://schemas.openxmlformats.org/officeDocument/2006/relationships/hyperlink" Id="rId543" Target="https://doi.org/10.6084/m9.figshare.19514368.v1" TargetMode="External" /><Relationship Type="http://schemas.openxmlformats.org/officeDocument/2006/relationships/hyperlink" Id="rId256" Target="https://drive.google.com/drive/folders/1nhDgOVfESrZLYfvcrTU_I2dnsOtq3TkV" TargetMode="External" /><Relationship Type="http://schemas.openxmlformats.org/officeDocument/2006/relationships/hyperlink" Id="rId717" Target="https://emilyriederer.netlify.app/post/column-name-contracts/" TargetMode="External" /><Relationship Type="http://schemas.openxmlformats.org/officeDocument/2006/relationships/hyperlink" Id="rId731" Target="https://en.wikipedia.org/w/index.php?title=Style_guide&amp;oldid=1131556370" TargetMode="External" /><Relationship Type="http://schemas.openxmlformats.org/officeDocument/2006/relationships/hyperlink" Id="rId529" Target="https://enterprise-knowledge.com/folders-v-metadata-sharepoint-document-libraries/" TargetMode="External" /><Relationship Type="http://schemas.openxmlformats.org/officeDocument/2006/relationships/hyperlink" Id="rId617" Target="https://eric.ed.gov/?id=ED583982" TargetMode="External" /><Relationship Type="http://schemas.openxmlformats.org/officeDocument/2006/relationships/hyperlink" Id="rId232" Target="https://eur-synclab.github.io/" TargetMode="External" /><Relationship Type="http://schemas.openxmlformats.org/officeDocument/2006/relationships/hyperlink" Id="rId727" Target="https://ezspss.com/rules-for-naming-variables-in-spss/" TargetMode="External" /><Relationship Type="http://schemas.openxmlformats.org/officeDocument/2006/relationships/hyperlink" Id="rId334" Target="https://figshare.com/" TargetMode="External" /><Relationship Type="http://schemas.openxmlformats.org/officeDocument/2006/relationships/hyperlink" Id="rId446" Target="https://figshare.com/articles/preprint/Example_Data_Sharing_Agreement/14576049" TargetMode="External" /><Relationship Type="http://schemas.openxmlformats.org/officeDocument/2006/relationships/hyperlink" Id="rId127" Target="https://figshare.com/articles/preprint/Example_of_a_Data_Management_Plan/13218743" TargetMode="External" /><Relationship Type="http://schemas.openxmlformats.org/officeDocument/2006/relationships/hyperlink" Id="rId264" Target="https://figshare.com/articles/preprint/IRB_Protocol_Template/13218797" TargetMode="External" /><Relationship Type="http://schemas.openxmlformats.org/officeDocument/2006/relationships/hyperlink" Id="rId432" Target="https://figshare.com/articles/preprint/Informed_Consent_Template/13218773" TargetMode="External" /><Relationship Type="http://schemas.openxmlformats.org/officeDocument/2006/relationships/hyperlink" Id="rId330" Target="https://ftp.cdc.gov/pub/Health_Statistics/NCHS/Dataset_Documentation/NHIS/2020/adult-codebook.pdf" TargetMode="External" /><Relationship Type="http://schemas.openxmlformats.org/officeDocument/2006/relationships/hyperlink" Id="rId652" Target="https://github.com/Cghlewis/codebook-pkg-comparison" TargetMode="External" /><Relationship Type="http://schemas.openxmlformats.org/officeDocument/2006/relationships/hyperlink" Id="rId559" Target="https://guides.lib.uci.edu/datamanagement/describe" TargetMode="External" /><Relationship Type="http://schemas.openxmlformats.org/officeDocument/2006/relationships/hyperlink" Id="rId607" Target="https://guides.lib.unc.edu/metadata/basic-elements" TargetMode="External" /><Relationship Type="http://schemas.openxmlformats.org/officeDocument/2006/relationships/hyperlink" Id="rId547" Target="https://guides.lib.utexas.edu/metadata-basics/key-concepts" TargetMode="External" /><Relationship Type="http://schemas.openxmlformats.org/officeDocument/2006/relationships/hyperlink" Id="rId636" Target="https://guides.library.stonybrook.edu/research-data/collection" TargetMode="External" /><Relationship Type="http://schemas.openxmlformats.org/officeDocument/2006/relationships/hyperlink" Id="rId117" Target="https://help.figshare.com/article/how-to-write-a-data-management-plan-dmp-and-include-figshare-in-your-data-sharing-plans" TargetMode="External" /><Relationship Type="http://schemas.openxmlformats.org/officeDocument/2006/relationships/hyperlink" Id="rId537" Target="https://help.osf.io/article/144-creating-a-data-management-plan-dmp-document" TargetMode="External" /><Relationship Type="http://schemas.openxmlformats.org/officeDocument/2006/relationships/hyperlink" Id="rId561" Target="https://howtofair.dk/how-to-fair/metadata/" TargetMode="External" /><Relationship Type="http://schemas.openxmlformats.org/officeDocument/2006/relationships/hyperlink" Id="rId250" Target="https://hwpi.harvard.edu/files/sdp/files/sdp-toolkit-coding-style-guide.pdf" TargetMode="External" /><Relationship Type="http://schemas.openxmlformats.org/officeDocument/2006/relationships/hyperlink" Id="rId632" Target="https://ictrweb.johnshopkins.edu/ictr/dmig/Best_Practice/a8376318-ebd6-421f-be63-acf8c88376a1_6342a1c3-1a5d-4287-a46e-374824e3780e.html?v=65849&amp;ip=hpdkvlttuiyioooqhw" TargetMode="External" /><Relationship Type="http://schemas.openxmlformats.org/officeDocument/2006/relationships/hyperlink" Id="rId628" Target="https://ies.ed.gov/funding/23rfas.asp" TargetMode="External" /><Relationship Type="http://schemas.openxmlformats.org/officeDocument/2006/relationships/hyperlink" Id="rId626" Target="https://ies.ed.gov/funding/datasharing_faq.asp" TargetMode="External" /><Relationship Type="http://schemas.openxmlformats.org/officeDocument/2006/relationships/hyperlink" Id="rId108" Target="https://ies.ed.gov/funding/datasharing_implementation.asp" TargetMode="External" /><Relationship Type="http://schemas.openxmlformats.org/officeDocument/2006/relationships/hyperlink" Id="rId683" Target="https://ies.ed.gov/ncee/pubs/2022004/pdf/2022004.pdf" TargetMode="External" /><Relationship Type="http://schemas.openxmlformats.org/officeDocument/2006/relationships/hyperlink" Id="rId442" Target="https://ies.ed.gov/ncee/rel/regions/west/relwestFiles/pdf/CRP_Data_Sharing_Agreements_and_MOUs.pdf" TargetMode="External" /><Relationship Type="http://schemas.openxmlformats.org/officeDocument/2006/relationships/hyperlink" Id="rId630" Target="https://ies.ed.gov/seer/index.asp" TargetMode="External" /><Relationship Type="http://schemas.openxmlformats.org/officeDocument/2006/relationships/hyperlink" Id="rId619" Target="https://indeed.design/article/three-basic-principles-of-ethical-research-that-ux-can-take-from-academia" TargetMode="External" /><Relationship Type="http://schemas.openxmlformats.org/officeDocument/2006/relationships/hyperlink" Id="rId642" Target="https://irb.lafayette.edu/the-three-types-of-irb-review/" TargetMode="External" /><Relationship Type="http://schemas.openxmlformats.org/officeDocument/2006/relationships/hyperlink" Id="rId693" Target="https://irb.northwestern.edu/submitting-to-the-irb/types-of-reviews/exempt-review.html" TargetMode="External" /><Relationship Type="http://schemas.openxmlformats.org/officeDocument/2006/relationships/hyperlink" Id="rId34" Target="https://journals.plos.org/plosone/" TargetMode="External" /><Relationship Type="http://schemas.openxmlformats.org/officeDocument/2006/relationships/hyperlink" Id="rId644" Target="https://ldbase.org/resources/best-practices/data-use-vs-data-sharing" TargetMode="External" /><Relationship Type="http://schemas.openxmlformats.org/officeDocument/2006/relationships/hyperlink" Id="rId545" Target="https://learn.microsoft.com/en-us/office/troubleshoot/access/database-normalization-description" TargetMode="External" /><Relationship Type="http://schemas.openxmlformats.org/officeDocument/2006/relationships/hyperlink" Id="rId492" Target="https://learn.microsoft.com/en-us/windows/win32/fileio/naming-a-file" TargetMode="External" /><Relationship Type="http://schemas.openxmlformats.org/officeDocument/2006/relationships/hyperlink" Id="rId549" Target="https://libguides.mines.edu/ld.php?content_id=49061255" TargetMode="External" /><Relationship Type="http://schemas.openxmlformats.org/officeDocument/2006/relationships/hyperlink" Id="rId555" Target="https://libguides.princeton.edu/c.php?g=102546&amp;p=665862" TargetMode="External" /><Relationship Type="http://schemas.openxmlformats.org/officeDocument/2006/relationships/hyperlink" Id="rId557" Target="https://library.csp.edu/Zotero/workflow" TargetMode="External" /><Relationship Type="http://schemas.openxmlformats.org/officeDocument/2006/relationships/hyperlink" Id="rId743" Target="https://library.ucmerced.edu/data-dictionaries" TargetMode="External" /><Relationship Type="http://schemas.openxmlformats.org/officeDocument/2006/relationships/hyperlink" Id="rId719" Target="https://library.weill.cornell.edu/research-support/research-data-management-retention-and-sharing" TargetMode="External" /><Relationship Type="http://schemas.openxmlformats.org/officeDocument/2006/relationships/hyperlink" Id="rId687" Target="https://medium.com/@kimtnguyen/relational-database-schema-design-overview-70e447ff66f9" TargetMode="External" /><Relationship Type="http://schemas.openxmlformats.org/officeDocument/2006/relationships/hyperlink" Id="rId735" Target="https://medium.com/swlh/normalization-of-database-the-easy-way-98f96a7a6863" TargetMode="External" /><Relationship Type="http://schemas.openxmlformats.org/officeDocument/2006/relationships/hyperlink" Id="rId673" Target="https://nces.ed.gov/forum/dataethicscourse/additional-materials/memoranda-of-understanding.pdf" TargetMode="External" /><Relationship Type="http://schemas.openxmlformats.org/officeDocument/2006/relationships/hyperlink" Id="rId739" Target="https://nces.ed.gov/pubs2015/2015074.pdf" TargetMode="External" /><Relationship Type="http://schemas.openxmlformats.org/officeDocument/2006/relationships/hyperlink" Id="rId677" Target="https://nij.ojp.gov/funding/common-rule" TargetMode="External" /><Relationship Type="http://schemas.openxmlformats.org/officeDocument/2006/relationships/hyperlink" Id="rId110" Target="https://nij.ojp.gov/funding/data-archiving" TargetMode="External" /><Relationship Type="http://schemas.openxmlformats.org/officeDocument/2006/relationships/hyperlink" Id="rId611" Target="https://obamawhitehouse.archives.gov/sites/default/files/microsites/ostp/ostp_public_access_memo_2013.pdf" TargetMode="External" /><Relationship Type="http://schemas.openxmlformats.org/officeDocument/2006/relationships/hyperlink" Id="rId737" Target="https://obamawhitehouse.archives.gov/the-press-office/2013/05/09/executive-order-making-open-and-machine-readable-new-default-government-" TargetMode="External" /><Relationship Type="http://schemas.openxmlformats.org/officeDocument/2006/relationships/hyperlink" Id="rId691" Target="https://ori.hhs.gov/education/products/n_illinois_u/datamanagement/dctopic.html" TargetMode="External" /><Relationship Type="http://schemas.openxmlformats.org/officeDocument/2006/relationships/hyperlink" Id="rId119" Target="https://osf.io/awypt/" TargetMode="External" /><Relationship Type="http://schemas.openxmlformats.org/officeDocument/2006/relationships/hyperlink" Id="rId228" Target="https://osf.io/mdh87/wiki/home/" TargetMode="External" /><Relationship Type="http://schemas.openxmlformats.org/officeDocument/2006/relationships/hyperlink" Id="rId121" Target="https://osf.io/ztjf2" TargetMode="External" /><Relationship Type="http://schemas.openxmlformats.org/officeDocument/2006/relationships/hyperlink" Id="rId689" Target="https://our.oakland.edu/handle/10323/6893" TargetMode="External" /><Relationship Type="http://schemas.openxmlformats.org/officeDocument/2006/relationships/hyperlink" Id="rId563" Target="https://ourcodingclub.github.io/tutorials/etiquette/" TargetMode="External" /><Relationship Type="http://schemas.openxmlformats.org/officeDocument/2006/relationships/hyperlink" Id="rId502" Target="https://pitt.libguides.com/managedata/describingdata" TargetMode="External" /><Relationship Type="http://schemas.openxmlformats.org/officeDocument/2006/relationships/hyperlink" Id="rId504" Target="https://pitt.libguides.com/managedata/understanding" TargetMode="External" /><Relationship Type="http://schemas.openxmlformats.org/officeDocument/2006/relationships/hyperlink" Id="rId500" Target="https://pitt.libguides.com/metadatadiscovery/metadata-standards" TargetMode="External" /><Relationship Type="http://schemas.openxmlformats.org/officeDocument/2006/relationships/hyperlink" Id="rId514" Target="https://pressbooks.pub/bus206/" TargetMode="External" /><Relationship Type="http://schemas.openxmlformats.org/officeDocument/2006/relationships/hyperlink" Id="rId512" Target="https://pressbooks.pub/bus206/chapter/chapter-4-data-and-databases/" TargetMode="External" /><Relationship Type="http://schemas.openxmlformats.org/officeDocument/2006/relationships/hyperlink" Id="rId729" Target="https://psyarxiv.com/rsn5y/" TargetMode="External" /><Relationship Type="http://schemas.openxmlformats.org/officeDocument/2006/relationships/hyperlink" Id="rId773" Target="https://r4ds.had.co.nz/workflow-projects.html" TargetMode="External" /><Relationship Type="http://schemas.openxmlformats.org/officeDocument/2006/relationships/hyperlink" Id="rId444" Target="https://research.unc.edu/wp-content/uploads/sites/61/2013/04/CCM3_039360.pdf" TargetMode="External" /><Relationship Type="http://schemas.openxmlformats.org/officeDocument/2006/relationships/hyperlink" Id="rId436" Target="https://research.virginia.edu/irb-sbs/consent-templates" TargetMode="External" /><Relationship Type="http://schemas.openxmlformats.org/officeDocument/2006/relationships/hyperlink" Id="rId37" Target="https://retractionwatch.com/" TargetMode="External" /><Relationship Type="http://schemas.openxmlformats.org/officeDocument/2006/relationships/hyperlink" Id="rId681" Target="https://sharing.nih.gov/data-management-and-sharing-policy/about-data-management-and-sharing-policies/data-management-and-sharing-policy-overview" TargetMode="External" /><Relationship Type="http://schemas.openxmlformats.org/officeDocument/2006/relationships/hyperlink" Id="rId109" Target="https://sharing.nih.gov/data-management-and-sharing-policy/planning-and-budgeting-DMS/writing-a-data-management-and-sharing-plan" TargetMode="External" /><Relationship Type="http://schemas.openxmlformats.org/officeDocument/2006/relationships/hyperlink" Id="rId679" Target="https://sharing.nih.gov/data-management-and-sharing-policy/planning-and-budgeting-for-data-management-and-sharing/budgeting-for-data-management-sharing#after" TargetMode="External" /><Relationship Type="http://schemas.openxmlformats.org/officeDocument/2006/relationships/hyperlink" Id="rId711" Target="https://stat.ethz.ch/R-manual/R-devel/library/base/html/00Index.html" TargetMode="External" /><Relationship Type="http://schemas.openxmlformats.org/officeDocument/2006/relationships/hyperlink" Id="rId248" Target="https://style.tidyverse.org/" TargetMode="External" /><Relationship Type="http://schemas.openxmlformats.org/officeDocument/2006/relationships/hyperlink" Id="rId771" Target="https://style.tidyverse.org/index.html" TargetMode="External" /><Relationship Type="http://schemas.openxmlformats.org/officeDocument/2006/relationships/hyperlink" Id="rId667" Target="https://support.microsoft.com/en-us/office/restrictions-and-limitations-in-onedrive-and-sharepoint-64883a5d-228e-48f5-b3d2-eb39e07630fa" TargetMode="External" /><Relationship Type="http://schemas.openxmlformats.org/officeDocument/2006/relationships/hyperlink" Id="rId484" Target="https://tellingstorieswithdata.com/" TargetMode="External" /><Relationship Type="http://schemas.openxmlformats.org/officeDocument/2006/relationships/hyperlink" Id="rId580" Target="https://timfarewell.co.uk/my-r-script-header-template/" TargetMode="External" /><Relationship Type="http://schemas.openxmlformats.org/officeDocument/2006/relationships/hyperlink" Id="rId741" Target="https://tinyurl.com/nhba9mhc" TargetMode="External" /><Relationship Type="http://schemas.openxmlformats.org/officeDocument/2006/relationships/hyperlink" Id="rId578" Target="https://trace.tennessee.edu/cgi/viewcontent.cgi?article=1023&amp;context=utk_libpub" TargetMode="External" /><Relationship Type="http://schemas.openxmlformats.org/officeDocument/2006/relationships/hyperlink" Id="rId132" Target="https://ukdataservice.ac.uk//app/uploads/costingtool.pdf" TargetMode="External" /><Relationship Type="http://schemas.openxmlformats.org/officeDocument/2006/relationships/hyperlink" Id="rId746" Target="https://ukdataservice.ac.uk/learning-hub/research-data-management/document-your-data/metadata/" TargetMode="External" /><Relationship Type="http://schemas.openxmlformats.org/officeDocument/2006/relationships/hyperlink" Id="rId748" Target="https://ukdataservice.ac.uk/learning-hub/research-data-management/format-your-data/quality/" TargetMode="External" /><Relationship Type="http://schemas.openxmlformats.org/officeDocument/2006/relationships/hyperlink" Id="rId752" Target="https://ukdataservice.ac.uk/learning-hub/research-data-management/format-your-data/versioning/" TargetMode="External" /><Relationship Type="http://schemas.openxmlformats.org/officeDocument/2006/relationships/hyperlink" Id="rId750" Target="https://ukdataservice.ac.uk/learning-hub/research-data-management/plan-to-share/roles-and-responsibilities/" TargetMode="External" /><Relationship Type="http://schemas.openxmlformats.org/officeDocument/2006/relationships/hyperlink" Id="rId591" Target="https://web.stanford.edu/~gentzkow/research/CodeAndData.pdf" TargetMode="External" /><Relationship Type="http://schemas.openxmlformats.org/officeDocument/2006/relationships/hyperlink" Id="rId496" Target="https://www.bellevuecollege.edu/wp-content/uploads/sites/38/2016/03/Elements_of_Informed_Consent.doc" TargetMode="External" /><Relationship Type="http://schemas.openxmlformats.org/officeDocument/2006/relationships/hyperlink" Id="rId527" Target="https://www.cabrini.edu/about/departments/academic-affairs/institutional-review-board/submissions-for-research-protocol" TargetMode="External" /><Relationship Type="http://schemas.openxmlformats.org/officeDocument/2006/relationships/hyperlink" Id="rId533" Target="https://www.cdisc.org/standards" TargetMode="External" /><Relationship Type="http://schemas.openxmlformats.org/officeDocument/2006/relationships/hyperlink" Id="rId42" Target="https://www.cos.io/" TargetMode="External" /><Relationship Type="http://schemas.openxmlformats.org/officeDocument/2006/relationships/hyperlink" Id="rId603" Target="https://www.cos.io/blog/new-osf-metadata-to-support-data-sharing-policy-compliance" TargetMode="External" /><Relationship Type="http://schemas.openxmlformats.org/officeDocument/2006/relationships/hyperlink" Id="rId585" Target="https://www.fordham.edu/academics/research/institutional-review-board/revised-common-rule/" TargetMode="External" /><Relationship Type="http://schemas.openxmlformats.org/officeDocument/2006/relationships/hyperlink" Id="rId597" Target="https://www.go-fair.org/fair-principles/" TargetMode="External" /><Relationship Type="http://schemas.openxmlformats.org/officeDocument/2006/relationships/hyperlink" Id="rId553" Target="https://www.google.com/url?sa=t&amp;rct=j&amp;q=&amp;esrc=s&amp;source=web&amp;cd=&amp;ved=2ahUKEwi23o272_r2AhXjpFsKHb26BkAQFnoECDcQAQ&amp;url=https%3A%2F%2Fwww.mdpi.com%2Fdata%2Fconsort-2010-flow-diagram.doc&amp;usg=AOvVaw1vkBi-6QPcbnv9k40nfXfs" TargetMode="External" /><Relationship Type="http://schemas.openxmlformats.org/officeDocument/2006/relationships/hyperlink" Id="rId699" Target="https://www.hhs.gov/ohrp/education-and-outreach/revised-common-rule/revised-common-rule-q-and-a/index.html" TargetMode="External" /><Relationship Type="http://schemas.openxmlformats.org/officeDocument/2006/relationships/hyperlink" Id="rId701" Target="https://www.hhs.gov/ohrp/regulations-and-policy/belmont-report/read-the-belmont-report/index.html" TargetMode="External" /><Relationship Type="http://schemas.openxmlformats.org/officeDocument/2006/relationships/hyperlink" Id="rId703" Target="https://www.hhs.gov/ohrp/regulations-and-policy/regulations/45-cfr-46/index.html" TargetMode="External" /><Relationship Type="http://schemas.openxmlformats.org/officeDocument/2006/relationships/hyperlink" Id="rId697" Target="https://www.hhs.gov/ohrp/regulations-and-policy/regulations/common-rule/index.html" TargetMode="External" /><Relationship Type="http://schemas.openxmlformats.org/officeDocument/2006/relationships/hyperlink" Id="rId123" Target="https://www.icpsr.umich.edu/files/ICPSR/nih/FINAL_ICPSR-NIH-DMS-Plan-Template_2023.docx" TargetMode="External" /><Relationship Type="http://schemas.openxmlformats.org/officeDocument/2006/relationships/hyperlink" Id="rId328" Target="https://www.icpsr.umich.edu/files/deposit/Guide-to-Codebooks_v1.pdf" TargetMode="External" /><Relationship Type="http://schemas.openxmlformats.org/officeDocument/2006/relationships/hyperlink" Id="rId624" Target="https://www.icpsr.umich.edu/web/pages/datamanagement/lifecycle/metadata.html" TargetMode="External" /><Relationship Type="http://schemas.openxmlformats.org/officeDocument/2006/relationships/hyperlink" Id="rId622" Target="https://www.icpsr.umich.edu/web/pages/deposit/guide/" TargetMode="External" /><Relationship Type="http://schemas.openxmlformats.org/officeDocument/2006/relationships/hyperlink" Id="rId646" Target="https://www.ldbase.org/resources/user-guide/information-to-gather" TargetMode="External" /><Relationship Type="http://schemas.openxmlformats.org/officeDocument/2006/relationships/hyperlink" Id="rId430" Target="https://www.ldbase.org/system/files/documents/2021-04/HS-ParentConsent.txt" TargetMode="External" /><Relationship Type="http://schemas.openxmlformats.org/officeDocument/2006/relationships/hyperlink" Id="rId758" Target="https://www.lib.uiowa.edu/data/share/metadata/" TargetMode="External" /><Relationship Type="http://schemas.openxmlformats.org/officeDocument/2006/relationships/hyperlink" Id="rId129" Target="https://www.lib.umn.edu/services/data/dmp-examples" TargetMode="External" /><Relationship Type="http://schemas.openxmlformats.org/officeDocument/2006/relationships/hyperlink" Id="rId640" Target="https://www.maketecheasier.com/tag-files-in-windows/" TargetMode="External" /><Relationship Type="http://schemas.openxmlformats.org/officeDocument/2006/relationships/hyperlink" Id="rId675" Target="https://www.neh.gov/sites/default/files/2018-06/data_management_plans_2018.pdf" TargetMode="External" /><Relationship Type="http://schemas.openxmlformats.org/officeDocument/2006/relationships/hyperlink" Id="rId125" Target="https://www.nichd.nih.gov/sites/default/files/inline-files/Example_DMS_Plan-Human-Survey-NIH_Format_Page_V2.pdf" TargetMode="External" /><Relationship Type="http://schemas.openxmlformats.org/officeDocument/2006/relationships/hyperlink" Id="rId230" Target="https://www.notion.so/Company-home-240047f7526c4b0091681dc6c95b7e76" TargetMode="External" /><Relationship Type="http://schemas.openxmlformats.org/officeDocument/2006/relationships/hyperlink" Id="rId111" Target="https://www.nsf.gov/bfa/dias/policy/dmpdocs/ehr.pdf" TargetMode="External" /><Relationship Type="http://schemas.openxmlformats.org/officeDocument/2006/relationships/hyperlink" Id="rId695" Target="https://www.nucats.northwestern.edu/docs/cecd/overview-of-sops.pdf" TargetMode="External" /><Relationship Type="http://schemas.openxmlformats.org/officeDocument/2006/relationships/hyperlink" Id="rId705"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648" Target="https://www.povertyactionlab.org/blog/6-30-20/considerations-collecting-electronic-signatures" TargetMode="External" /><Relationship Type="http://schemas.openxmlformats.org/officeDocument/2006/relationships/hyperlink" Id="rId593" Target="https://www.povertyactionlab.org/resource/formalize-research-partnership-and-establish-roles-and-expectations" TargetMode="External" /><Relationship Type="http://schemas.openxmlformats.org/officeDocument/2006/relationships/hyperlink" Id="rId139" Target="https://www.povertyactionlab.org/resource/grant-proposals" TargetMode="External" /><Relationship Type="http://schemas.openxmlformats.org/officeDocument/2006/relationships/hyperlink" Id="rId576" Target="https://www.povertyactionlab.org/resource/institutional-review-board-irb-proposals" TargetMode="External" /><Relationship Type="http://schemas.openxmlformats.org/officeDocument/2006/relationships/hyperlink" Id="rId573" Target="https://www.povertyactionlab.org/sites/default/files/research-resources/rr_grantprop_Template_Gantt_Chart.pdf" TargetMode="External" /><Relationship Type="http://schemas.openxmlformats.org/officeDocument/2006/relationships/hyperlink" Id="rId434" Target="https://www.povertyactionlab.org/sites/default/files/research-resources/rr_irb_annotated-informed-consent-checklist_0.pdf" TargetMode="External" /><Relationship Type="http://schemas.openxmlformats.org/officeDocument/2006/relationships/hyperlink" Id="rId35" Target="https://www.psychologicalscience.org/publications/ampps" TargetMode="External" /><Relationship Type="http://schemas.openxmlformats.org/officeDocument/2006/relationships/hyperlink" Id="rId661" Target="https://www.rsb.org.uk//biologist-features/how-to-write-a-lab-handbook" TargetMode="External" /><Relationship Type="http://schemas.openxmlformats.org/officeDocument/2006/relationships/hyperlink" Id="rId222" Target="https://www.rsb.org.uk/images/biologist/2020/Apr_May_2020_67-2/67.2_Handbook.pdf" TargetMode="External" /><Relationship Type="http://schemas.openxmlformats.org/officeDocument/2006/relationships/hyperlink" Id="rId723" Target="https://www.schema.org/" TargetMode="External" /><Relationship Type="http://schemas.openxmlformats.org/officeDocument/2006/relationships/hyperlink" Id="rId583" Target="https://www.sjsu.edu/research/docs/irb-data-management-handbook.pdf" TargetMode="External" /><Relationship Type="http://schemas.openxmlformats.org/officeDocument/2006/relationships/hyperlink" Id="rId601" Target="https://www.theanalysisfactor.com/wide-and-long-data/" TargetMode="External" /><Relationship Type="http://schemas.openxmlformats.org/officeDocument/2006/relationships/hyperlink" Id="rId762" Target="https://www.usgs.gov/data-management/metadata-creation#tools" TargetMode="External" /><Relationship Type="http://schemas.openxmlformats.org/officeDocument/2006/relationships/hyperlink" Id="rId764" Target="https://www.usgs.gov/faqs/what-are-differences-between-data-dataset-and-database" TargetMode="External" /><Relationship Type="http://schemas.openxmlformats.org/officeDocument/2006/relationships/hyperlink" Id="rId134" Target="https://www.utwente.nl/en/service-portal/services/lisa/resources/files/library-public/dcc-rdm-costs-estimation.pdf" TargetMode="External" /><Relationship Type="http://schemas.openxmlformats.org/officeDocument/2006/relationships/hyperlink" Id="rId760" Target="https://www.washington.edu/research/myresearch-lifecycle/setup/collaborations/sharing-information-and-data/" TargetMode="External" /><Relationship Type="http://schemas.openxmlformats.org/officeDocument/2006/relationships/hyperlink" Id="rId685" Target="https://www.whitehouse.gov/wp-content/uploads/2022/08/08-2022-OSTP-Public-Access-Memo.pdf" TargetMode="External" /><Relationship Type="http://schemas.openxmlformats.org/officeDocument/2006/relationships/hyperlink" Id="rId609" Target="https://www.youtube.com/watch?v=zDsUUs9j3sQ" TargetMode="External" /><Relationship Type="http://schemas.openxmlformats.org/officeDocument/2006/relationships/hyperlink" Id="rId779"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2023-05-03T13:12:31Z</dcterms:created>
  <dcterms:modified xsi:type="dcterms:W3CDTF">2023-05-03T13:12:31Z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cover-image">
    <vt:lpwstr>book_featured.PNG</vt:lpwstr>
  </property>
  <property fmtid="{D5CDD505-2E9C-101B-9397-08002B2CF9AE}" pid="6" name="date">
    <vt:lpwstr>2023-05-03</vt:lpwstr>
  </property>
  <property fmtid="{D5CDD505-2E9C-101B-9397-08002B2CF9AE}" pid="7" name="documentclass">
    <vt:lpwstr>book</vt:lpwstr>
  </property>
  <property fmtid="{D5CDD505-2E9C-101B-9397-08002B2CF9AE}" pid="8" name="link-citations">
    <vt:lpwstr>True</vt:lpwstr>
  </property>
  <property fmtid="{D5CDD505-2E9C-101B-9397-08002B2CF9AE}" pid="9" name="site">
    <vt:lpwstr>bookdown::bookdown_site</vt:lpwstr>
  </property>
</Properties>
</file>