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78.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2022-10-27</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requirements of the IRB and funders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proposals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aka metadata.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bost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2"/>
          <w:numId w:val="1006"/>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2"/>
          <w:numId w:val="1006"/>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it’s importatnt to return back to this chart frequently to remind yourself where that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7"/>
        </w:numPr>
        <w:pStyle w:val="Compact"/>
      </w:pPr>
      <w:r>
        <w:t xml:space="preserve">Variables you collect (from an instrument or from an external source)</w:t>
      </w:r>
    </w:p>
    <w:p>
      <w:pPr>
        <w:numPr>
          <w:ilvl w:val="0"/>
          <w:numId w:val="1007"/>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8"/>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8"/>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9"/>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9"/>
        </w:numPr>
        <w:pStyle w:val="Compact"/>
      </w:pPr>
      <w:r>
        <w:t xml:space="preserve">A measurement type (ex: numeric, character, date) which can also be more narrowly defined as needed (ex: continuous, categorical)</w:t>
      </w:r>
    </w:p>
    <w:p>
      <w:pPr>
        <w:numPr>
          <w:ilvl w:val="0"/>
          <w:numId w:val="1009"/>
        </w:numPr>
        <w:pStyle w:val="Compact"/>
      </w:pPr>
      <w:r>
        <w:t xml:space="preserve">Acceptable values (ex: yes/no) or expected ranges (ex: 1-25 or 2021-08-01 to 2021-12-15). Anything outside of those acceptable values or ranges is considered an error.</w:t>
      </w:r>
    </w:p>
    <w:p>
      <w:pPr>
        <w:numPr>
          <w:ilvl w:val="0"/>
          <w:numId w:val="1009"/>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10"/>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1"/>
        </w:numPr>
        <w:pStyle w:val="Compact"/>
      </w:pPr>
      <w:r>
        <w:t xml:space="preserve">Your columns should adhere to your variable type.</w:t>
      </w:r>
    </w:p>
    <w:p>
      <w:pPr>
        <w:numPr>
          <w:ilvl w:val="1"/>
          <w:numId w:val="1012"/>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3"/>
        </w:numPr>
        <w:pStyle w:val="Compact"/>
      </w:pPr>
      <w:r>
        <w:t xml:space="preserve">A variable should only collect one piece of information. If a variable contains more than one piece of information you may have the following issues:</w:t>
      </w:r>
    </w:p>
    <w:p>
      <w:pPr>
        <w:numPr>
          <w:ilvl w:val="1"/>
          <w:numId w:val="1014"/>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4"/>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4"/>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5"/>
        </w:numPr>
        <w:pStyle w:val="Compact"/>
      </w:pPr>
      <w:r>
        <w:t xml:space="preserve">All cell values should be explicit. This means all cells should be filled in with a physical value.</w:t>
      </w:r>
    </w:p>
    <w:p>
      <w:pPr>
        <w:numPr>
          <w:ilvl w:val="1"/>
          <w:numId w:val="1016"/>
        </w:numPr>
        <w:pStyle w:val="Compact"/>
      </w:pPr>
      <w:r>
        <w:t xml:space="preserve">No cells should be empty</w:t>
      </w:r>
    </w:p>
    <w:p>
      <w:pPr>
        <w:numPr>
          <w:ilvl w:val="2"/>
          <w:numId w:val="1017"/>
        </w:numPr>
        <w:pStyle w:val="Compact"/>
      </w:pPr>
      <w:r>
        <w:t xml:space="preserve">If a value is actually missing, make sure it contains a value to denote the missing data (ex: NA) to show that the cell was not left blank unintentionally</w:t>
      </w:r>
      <w:r>
        <w:br/>
      </w:r>
    </w:p>
    <w:p>
      <w:pPr>
        <w:numPr>
          <w:ilvl w:val="2"/>
          <w:numId w:val="1017"/>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7"/>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8"/>
        </w:numPr>
        <w:pStyle w:val="Compact"/>
      </w:pPr>
      <w:r>
        <w:t xml:space="preserve">No values should be implied using color coding</w:t>
      </w:r>
    </w:p>
    <w:p>
      <w:pPr>
        <w:numPr>
          <w:ilvl w:val="1"/>
          <w:numId w:val="1019"/>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20"/>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1"/>
        </w:numPr>
        <w:pStyle w:val="Compact"/>
      </w:pPr>
      <w:r>
        <w:t xml:space="preserve">A true duplicate row where an entire row is duplicated (the row values are the same for every variable). This may happen if someone enters the same form twice.</w:t>
      </w:r>
    </w:p>
    <w:p>
      <w:pPr>
        <w:numPr>
          <w:ilvl w:val="1"/>
          <w:numId w:val="1021"/>
        </w:numPr>
        <w:pStyle w:val="Compact"/>
      </w:pPr>
      <w:r>
        <w:t xml:space="preserve">A unique identifier is duplicated but the row values may or may not be the same across all of the variables. This could happen because one of three reasons:</w:t>
      </w:r>
    </w:p>
    <w:p>
      <w:pPr>
        <w:numPr>
          <w:ilvl w:val="2"/>
          <w:numId w:val="1022"/>
        </w:numPr>
        <w:pStyle w:val="Compact"/>
      </w:pPr>
      <w:r>
        <w:t xml:space="preserve">An instrument is accidentally collected more than once on the same participant in a collection period. This type of duplicate would need to be remedied.</w:t>
      </w:r>
    </w:p>
    <w:p>
      <w:pPr>
        <w:numPr>
          <w:ilvl w:val="2"/>
          <w:numId w:val="1022"/>
        </w:numPr>
        <w:pStyle w:val="Compact"/>
      </w:pPr>
      <w:r>
        <w:t xml:space="preserve">A unique identifier was entered incorrectly. In this case you don’t actually have a duplicate, you just have an incorrect unique identifier. This error would need to be remedied.</w:t>
      </w:r>
    </w:p>
    <w:p>
      <w:pPr>
        <w:numPr>
          <w:ilvl w:val="2"/>
          <w:numId w:val="1022"/>
        </w:numPr>
        <w:pStyle w:val="Compact"/>
      </w:pPr>
      <w:r>
        <w:t xml:space="preserve">More than one variable is used to identify unique participants and the row is not actually a duplicate.</w:t>
      </w:r>
    </w:p>
    <w:p>
      <w:pPr>
        <w:numPr>
          <w:ilvl w:val="3"/>
          <w:numId w:val="1023"/>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3"/>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4"/>
        </w:numPr>
        <w:pStyle w:val="Compact"/>
      </w:pPr>
      <w:r>
        <w:t xml:space="preserve">To link forms within time</w:t>
      </w:r>
      <w:r>
        <w:br/>
      </w:r>
    </w:p>
    <w:p>
      <w:pPr>
        <w:numPr>
          <w:ilvl w:val="0"/>
          <w:numId w:val="1024"/>
        </w:numPr>
        <w:pStyle w:val="Compact"/>
      </w:pPr>
      <w:r>
        <w:t xml:space="preserve">To link forms across time</w:t>
      </w:r>
      <w:r>
        <w:br/>
      </w:r>
    </w:p>
    <w:p>
      <w:pPr>
        <w:numPr>
          <w:ilvl w:val="0"/>
          <w:numId w:val="1024"/>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208" w:name="data-management-plan"/>
    <w:p>
      <w:pPr>
        <w:pStyle w:val="Heading1"/>
      </w:pPr>
      <w:r>
        <w:rPr>
          <w:rStyle w:val="SectionNumber"/>
        </w:rPr>
        <w:t xml:space="preserve">4</w:t>
      </w:r>
      <w:r>
        <w:tab/>
      </w:r>
      <w:r>
        <w:t xml:space="preserve">Data Management Plan</w:t>
      </w:r>
    </w:p>
    <w:p>
      <w:pPr>
        <w:pStyle w:val="CaptionedFigure"/>
      </w:pPr>
      <w:r>
        <w:drawing>
          <wp:inline>
            <wp:extent cx="5334000" cy="2909454"/>
            <wp:effectExtent b="0" l="0" r="0" t="0"/>
            <wp:docPr descr="Figure 3.1: Data management plan in the research project life cycle" title="" id="179" name="Picture"/>
            <a:graphic>
              <a:graphicData uri="http://schemas.openxmlformats.org/drawingml/2006/picture">
                <pic:pic>
                  <pic:nvPicPr>
                    <pic:cNvPr descr="img/lifecycle_dmp.PNG" id="180" name="Picture"/>
                    <pic:cNvPicPr>
                      <a:picLocks noChangeArrowheads="1" noChangeAspect="1"/>
                    </pic:cNvPicPr>
                  </pic:nvPicPr>
                  <pic:blipFill>
                    <a:blip r:embed="rId178"/>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185"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81"/>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83"/>
      </w:r>
    </w:p>
    <w:bookmarkStart w:id="184"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p>
    <w:bookmarkEnd w:id="184"/>
    <w:bookmarkEnd w:id="185"/>
    <w:bookmarkStart w:id="195"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94"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5"/>
        </w:numPr>
        <w:pStyle w:val="Compact"/>
      </w:pPr>
      <w:r>
        <w:t xml:space="preserve">Roles and responsibilities</w:t>
      </w:r>
    </w:p>
    <w:p>
      <w:pPr>
        <w:numPr>
          <w:ilvl w:val="1"/>
          <w:numId w:val="1026"/>
        </w:numPr>
        <w:pStyle w:val="Compact"/>
      </w:pPr>
      <w:r>
        <w:t xml:space="preserve">What are the staff roles in management and long-term preservation of data?</w:t>
      </w:r>
    </w:p>
    <w:p>
      <w:pPr>
        <w:numPr>
          <w:ilvl w:val="1"/>
          <w:numId w:val="1026"/>
        </w:numPr>
        <w:pStyle w:val="Compact"/>
      </w:pPr>
      <w:r>
        <w:t xml:space="preserve">Who ensures accessibility, reliability, and quality of data?</w:t>
      </w:r>
    </w:p>
    <w:p>
      <w:pPr>
        <w:numPr>
          <w:ilvl w:val="1"/>
          <w:numId w:val="1026"/>
        </w:numPr>
        <w:pStyle w:val="Compact"/>
      </w:pPr>
      <w:r>
        <w:t xml:space="preserve">Is there a plan if a core team member leaves the project or institution?</w:t>
      </w:r>
    </w:p>
    <w:p>
      <w:pPr>
        <w:numPr>
          <w:ilvl w:val="0"/>
          <w:numId w:val="1025"/>
        </w:numPr>
        <w:pStyle w:val="Compact"/>
      </w:pPr>
      <w:r>
        <w:t xml:space="preserve">Types of data</w:t>
      </w:r>
    </w:p>
    <w:p>
      <w:pPr>
        <w:numPr>
          <w:ilvl w:val="1"/>
          <w:numId w:val="1027"/>
        </w:numPr>
        <w:pStyle w:val="Compact"/>
      </w:pPr>
      <w:r>
        <w:t xml:space="preserve">How is data captured? (Ex: surveys, assessments, observations)</w:t>
      </w:r>
    </w:p>
    <w:p>
      <w:pPr>
        <w:numPr>
          <w:ilvl w:val="1"/>
          <w:numId w:val="1027"/>
        </w:numPr>
        <w:pStyle w:val="Compact"/>
      </w:pPr>
      <w:r>
        <w:t xml:space="preserve">Will data be item-level and summary scores?</w:t>
      </w:r>
    </w:p>
    <w:p>
      <w:pPr>
        <w:numPr>
          <w:ilvl w:val="1"/>
          <w:numId w:val="1027"/>
        </w:numPr>
        <w:pStyle w:val="Compact"/>
      </w:pPr>
      <w:r>
        <w:t xml:space="preserve">Will you share raw data and clean data?</w:t>
      </w:r>
    </w:p>
    <w:p>
      <w:pPr>
        <w:numPr>
          <w:ilvl w:val="1"/>
          <w:numId w:val="1027"/>
        </w:numPr>
        <w:pStyle w:val="Compact"/>
      </w:pPr>
      <w:r>
        <w:t xml:space="preserve">What are the expected number of files? Expected number of rows in each file?</w:t>
      </w:r>
    </w:p>
    <w:p>
      <w:pPr>
        <w:numPr>
          <w:ilvl w:val="0"/>
          <w:numId w:val="1025"/>
        </w:numPr>
        <w:pStyle w:val="Compact"/>
      </w:pPr>
      <w:r>
        <w:t xml:space="preserve">Format of data</w:t>
      </w:r>
    </w:p>
    <w:p>
      <w:pPr>
        <w:numPr>
          <w:ilvl w:val="1"/>
          <w:numId w:val="1028"/>
        </w:numPr>
        <w:pStyle w:val="Compact"/>
      </w:pPr>
      <w:r>
        <w:t xml:space="preserve">Will data be in an electronic format?</w:t>
      </w:r>
    </w:p>
    <w:p>
      <w:pPr>
        <w:numPr>
          <w:ilvl w:val="1"/>
          <w:numId w:val="1028"/>
        </w:numPr>
        <w:pStyle w:val="Compact"/>
      </w:pPr>
      <w:r>
        <w:t xml:space="preserve">Will it be provided in a non-proprietary format? (Ex: csv)</w:t>
      </w:r>
    </w:p>
    <w:p>
      <w:pPr>
        <w:numPr>
          <w:ilvl w:val="1"/>
          <w:numId w:val="1028"/>
        </w:numPr>
        <w:pStyle w:val="Compact"/>
      </w:pPr>
      <w:r>
        <w:t xml:space="preserve">Will more than one format be provided? (Ex: sav and csv)</w:t>
      </w:r>
    </w:p>
    <w:p>
      <w:pPr>
        <w:numPr>
          <w:ilvl w:val="1"/>
          <w:numId w:val="1028"/>
        </w:numPr>
        <w:pStyle w:val="Compact"/>
      </w:pPr>
      <w:r>
        <w:t xml:space="preserve">Are there any tools needed to manipulate shared data?</w:t>
      </w:r>
    </w:p>
    <w:p>
      <w:pPr>
        <w:numPr>
          <w:ilvl w:val="0"/>
          <w:numId w:val="1025"/>
        </w:numPr>
        <w:pStyle w:val="Compact"/>
      </w:pPr>
      <w:r>
        <w:t xml:space="preserve">Documentation</w:t>
      </w:r>
    </w:p>
    <w:p>
      <w:pPr>
        <w:numPr>
          <w:ilvl w:val="1"/>
          <w:numId w:val="1029"/>
        </w:numPr>
        <w:pStyle w:val="Compact"/>
      </w:pPr>
      <w:r>
        <w:t xml:space="preserve">What metadata will you create? (Consider project level, dataset level and variable level metadata)</w:t>
      </w:r>
    </w:p>
    <w:p>
      <w:pPr>
        <w:numPr>
          <w:ilvl w:val="1"/>
          <w:numId w:val="1029"/>
        </w:numPr>
        <w:pStyle w:val="Compact"/>
      </w:pPr>
      <w:r>
        <w:t xml:space="preserve">What format will your documentation be in? (Ex: xml, csv, pdf)</w:t>
      </w:r>
    </w:p>
    <w:p>
      <w:pPr>
        <w:numPr>
          <w:ilvl w:val="1"/>
          <w:numId w:val="1029"/>
        </w:numPr>
        <w:pStyle w:val="Compact"/>
      </w:pPr>
      <w:r>
        <w:t xml:space="preserve">What other documentation do you plan to include when sharing data? (Ex: code, data collection instruments, protocols)</w:t>
      </w:r>
    </w:p>
    <w:p>
      <w:pPr>
        <w:numPr>
          <w:ilvl w:val="0"/>
          <w:numId w:val="1025"/>
        </w:numPr>
        <w:pStyle w:val="Compact"/>
      </w:pPr>
      <w:r>
        <w:t xml:space="preserve">Standards</w:t>
      </w:r>
    </w:p>
    <w:p>
      <w:pPr>
        <w:numPr>
          <w:ilvl w:val="1"/>
          <w:numId w:val="1030"/>
        </w:numPr>
        <w:pStyle w:val="Compact"/>
      </w:pPr>
      <w:r>
        <w:t xml:space="preserve">Are there any data or documentation standards being used? (Ex: DDI)</w:t>
      </w:r>
    </w:p>
    <w:p>
      <w:pPr>
        <w:numPr>
          <w:ilvl w:val="0"/>
          <w:numId w:val="1025"/>
        </w:numPr>
        <w:pStyle w:val="Compact"/>
      </w:pPr>
      <w:r>
        <w:t xml:space="preserve">Method of data sharing</w:t>
      </w:r>
    </w:p>
    <w:p>
      <w:pPr>
        <w:numPr>
          <w:ilvl w:val="1"/>
          <w:numId w:val="1031"/>
        </w:numPr>
        <w:pStyle w:val="Compact"/>
      </w:pPr>
      <w:r>
        <w:t xml:space="preserve">How will you share your data? (Ex: Institutional archive, data repository, PI website)</w:t>
      </w:r>
    </w:p>
    <w:p>
      <w:pPr>
        <w:numPr>
          <w:ilvl w:val="1"/>
          <w:numId w:val="1031"/>
        </w:numPr>
        <w:pStyle w:val="Compact"/>
      </w:pPr>
      <w:r>
        <w:t xml:space="preserve">Will data be restricted and is a data enclave required?</w:t>
      </w:r>
    </w:p>
    <w:p>
      <w:pPr>
        <w:numPr>
          <w:ilvl w:val="1"/>
          <w:numId w:val="1031"/>
        </w:numPr>
        <w:pStyle w:val="Compact"/>
      </w:pPr>
      <w:r>
        <w:t xml:space="preserve">Is a data agreement required?</w:t>
      </w:r>
    </w:p>
    <w:p>
      <w:pPr>
        <w:numPr>
          <w:ilvl w:val="1"/>
          <w:numId w:val="1031"/>
        </w:numPr>
        <w:pStyle w:val="Compact"/>
      </w:pPr>
      <w:r>
        <w:t xml:space="preserve">How will you license your data?</w:t>
      </w:r>
    </w:p>
    <w:p>
      <w:pPr>
        <w:numPr>
          <w:ilvl w:val="1"/>
          <w:numId w:val="1031"/>
        </w:numPr>
        <w:pStyle w:val="Compact"/>
      </w:pPr>
      <w:r>
        <w:t xml:space="preserve">Will your data have persistent unique identifiers?</w:t>
      </w:r>
    </w:p>
    <w:p>
      <w:pPr>
        <w:numPr>
          <w:ilvl w:val="0"/>
          <w:numId w:val="1025"/>
        </w:numPr>
        <w:pStyle w:val="Compact"/>
      </w:pPr>
      <w:r>
        <w:t xml:space="preserve">Circumstances preventing data sharing</w:t>
      </w:r>
    </w:p>
    <w:p>
      <w:pPr>
        <w:numPr>
          <w:ilvl w:val="1"/>
          <w:numId w:val="1032"/>
        </w:numPr>
        <w:pStyle w:val="Compact"/>
      </w:pPr>
      <w:r>
        <w:t xml:space="preserve">Do you have any data covered by FERPA/HIPAA that doesn’t allow data sharing?</w:t>
      </w:r>
    </w:p>
    <w:p>
      <w:pPr>
        <w:numPr>
          <w:ilvl w:val="1"/>
          <w:numId w:val="1032"/>
        </w:numPr>
        <w:pStyle w:val="Compact"/>
      </w:pPr>
      <w:r>
        <w:t xml:space="preserve">Do you work with any partners that do not allow you to share data? (Ex: School districts, tribal regulations)</w:t>
      </w:r>
    </w:p>
    <w:p>
      <w:pPr>
        <w:numPr>
          <w:ilvl w:val="1"/>
          <w:numId w:val="1032"/>
        </w:numPr>
        <w:pStyle w:val="Compact"/>
      </w:pPr>
      <w:r>
        <w:t xml:space="preserve">Are you working with proprietary data?</w:t>
      </w:r>
    </w:p>
    <w:p>
      <w:pPr>
        <w:numPr>
          <w:ilvl w:val="0"/>
          <w:numId w:val="1025"/>
        </w:numPr>
        <w:pStyle w:val="Compact"/>
      </w:pPr>
      <w:r>
        <w:t xml:space="preserve">Privacy and rights of participants</w:t>
      </w:r>
    </w:p>
    <w:p>
      <w:pPr>
        <w:numPr>
          <w:ilvl w:val="1"/>
          <w:numId w:val="1033"/>
        </w:numPr>
        <w:pStyle w:val="Compact"/>
      </w:pPr>
      <w:r>
        <w:t xml:space="preserve">How will you prevent disclosure of personally identifiable information when you share data? How will you anonymize data (if applicable)?</w:t>
      </w:r>
    </w:p>
    <w:p>
      <w:pPr>
        <w:numPr>
          <w:ilvl w:val="1"/>
          <w:numId w:val="1033"/>
        </w:numPr>
        <w:pStyle w:val="Compact"/>
      </w:pPr>
      <w:r>
        <w:t xml:space="preserve">Do participants sign informed consent agreements? Does the consent communicate how participant data are expected to be used and shared?</w:t>
      </w:r>
    </w:p>
    <w:p>
      <w:pPr>
        <w:numPr>
          <w:ilvl w:val="0"/>
          <w:numId w:val="1025"/>
        </w:numPr>
        <w:pStyle w:val="Compact"/>
      </w:pPr>
      <w:r>
        <w:t xml:space="preserve">Data security</w:t>
      </w:r>
    </w:p>
    <w:p>
      <w:pPr>
        <w:numPr>
          <w:ilvl w:val="1"/>
          <w:numId w:val="1034"/>
        </w:numPr>
        <w:pStyle w:val="Compact"/>
      </w:pPr>
      <w:r>
        <w:t xml:space="preserve">How will you maintain participant privacy and confidentiality during your project?</w:t>
      </w:r>
    </w:p>
    <w:p>
      <w:pPr>
        <w:numPr>
          <w:ilvl w:val="1"/>
          <w:numId w:val="1034"/>
        </w:numPr>
        <w:pStyle w:val="Compact"/>
      </w:pPr>
      <w:r>
        <w:t xml:space="preserve">How will you prevent unauthorized access of data?</w:t>
      </w:r>
    </w:p>
    <w:p>
      <w:pPr>
        <w:numPr>
          <w:ilvl w:val="1"/>
          <w:numId w:val="1034"/>
        </w:numPr>
        <w:pStyle w:val="Compact"/>
      </w:pPr>
      <w:r>
        <w:t xml:space="preserve">Consider IRB requirements here.</w:t>
      </w:r>
    </w:p>
    <w:p>
      <w:pPr>
        <w:numPr>
          <w:ilvl w:val="0"/>
          <w:numId w:val="1025"/>
        </w:numPr>
        <w:pStyle w:val="Compact"/>
      </w:pPr>
      <w:r>
        <w:t xml:space="preserve">Schedule for data sharing</w:t>
      </w:r>
    </w:p>
    <w:p>
      <w:pPr>
        <w:numPr>
          <w:ilvl w:val="1"/>
          <w:numId w:val="1035"/>
        </w:numPr>
        <w:pStyle w:val="Compact"/>
      </w:pPr>
      <w:r>
        <w:t xml:space="preserve">When will you share your study data and for how long?</w:t>
      </w:r>
    </w:p>
    <w:p>
      <w:pPr>
        <w:numPr>
          <w:ilvl w:val="0"/>
          <w:numId w:val="1025"/>
        </w:numPr>
        <w:pStyle w:val="Compact"/>
      </w:pPr>
      <w:r>
        <w:t xml:space="preserve">Pre-registration (less commonly required)</w:t>
      </w:r>
    </w:p>
    <w:p>
      <w:pPr>
        <w:numPr>
          <w:ilvl w:val="1"/>
          <w:numId w:val="1036"/>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7"/>
        </w:numPr>
        <w:pStyle w:val="Compact"/>
      </w:pPr>
      <w:r>
        <w:t xml:space="preserve">Institute of Education Sciences</w:t>
      </w:r>
      <w:r>
        <w:rPr>
          <w:rStyle w:val="FootnoteReference"/>
        </w:rPr>
        <w:footnoteReference w:id="186"/>
      </w:r>
    </w:p>
    <w:p>
      <w:pPr>
        <w:numPr>
          <w:ilvl w:val="0"/>
          <w:numId w:val="1037"/>
        </w:numPr>
        <w:pStyle w:val="Compact"/>
      </w:pPr>
      <w:r>
        <w:t xml:space="preserve">National Institutes of Health</w:t>
      </w:r>
      <w:r>
        <w:rPr>
          <w:rStyle w:val="FootnoteReference"/>
        </w:rPr>
        <w:footnoteReference w:id="188"/>
      </w:r>
    </w:p>
    <w:p>
      <w:pPr>
        <w:numPr>
          <w:ilvl w:val="0"/>
          <w:numId w:val="1037"/>
        </w:numPr>
        <w:pStyle w:val="Compact"/>
      </w:pPr>
      <w:r>
        <w:t xml:space="preserve">National Institute of Justice</w:t>
      </w:r>
      <w:r>
        <w:rPr>
          <w:rStyle w:val="FootnoteReference"/>
        </w:rPr>
        <w:footnoteReference w:id="190"/>
      </w:r>
    </w:p>
    <w:p>
      <w:pPr>
        <w:numPr>
          <w:ilvl w:val="0"/>
          <w:numId w:val="1037"/>
        </w:numPr>
        <w:pStyle w:val="Compact"/>
      </w:pPr>
      <w:r>
        <w:t xml:space="preserve">National Science Foundation</w:t>
      </w:r>
      <w:r>
        <w:rPr>
          <w:rStyle w:val="FootnoteReference"/>
        </w:rPr>
        <w:footnoteReference w:id="192"/>
      </w:r>
    </w:p>
    <w:bookmarkEnd w:id="194"/>
    <w:bookmarkEnd w:id="195"/>
    <w:bookmarkStart w:id="200"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96"/>
      </w:r>
      <w:r>
        <w:t xml:space="preserve">. There is also a well-known free online application called the DMPTool</w:t>
      </w:r>
      <w:r>
        <w:rPr>
          <w:rStyle w:val="FootnoteReference"/>
        </w:rPr>
        <w:footnoteReference w:id="198"/>
      </w:r>
      <w:r>
        <w:t xml:space="preserve"> </w:t>
      </w:r>
      <w:r>
        <w:t xml:space="preserve">that guides you in constructing a data management plan for many of the large funding agencies you might work with. Their site also has many searchable public DMPs that you can review for inspiration.</w:t>
      </w:r>
    </w:p>
    <w:bookmarkEnd w:id="200"/>
    <w:bookmarkStart w:id="207"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201"/>
      </w:r>
      <w:r>
        <w:t xml:space="preserve">, the University of Twente</w:t>
      </w:r>
      <w:r>
        <w:rPr>
          <w:rStyle w:val="FootnoteReference"/>
        </w:rPr>
        <w:footnoteReference w:id="203"/>
      </w:r>
      <w:r>
        <w:t xml:space="preserve">, and Utrecht University</w:t>
      </w:r>
      <w:r>
        <w:rPr>
          <w:rStyle w:val="FootnoteReference"/>
        </w:rPr>
        <w:footnoteReference w:id="205"/>
      </w:r>
      <w:r>
        <w:t xml:space="preserve"> </w:t>
      </w:r>
      <w:r>
        <w:t xml:space="preserve">(among others), have put together checklists to help you think through your various potential data management costs.</w:t>
      </w:r>
    </w:p>
    <w:bookmarkEnd w:id="207"/>
    <w:bookmarkEnd w:id="208"/>
    <w:bookmarkStart w:id="212" w:name="planning-data-management"/>
    <w:p>
      <w:pPr>
        <w:pStyle w:val="Heading1"/>
      </w:pPr>
      <w:r>
        <w:rPr>
          <w:rStyle w:val="SectionNumber"/>
        </w:rPr>
        <w:t xml:space="preserve">5</w:t>
      </w:r>
      <w:r>
        <w:tab/>
      </w:r>
      <w:r>
        <w:t xml:space="preserve">Planning Data Management</w:t>
      </w:r>
    </w:p>
    <w:bookmarkStart w:id="209" w:name="why-spend-time-on-planning"/>
    <w:p>
      <w:pPr>
        <w:pStyle w:val="Heading2"/>
      </w:pPr>
      <w:r>
        <w:rPr>
          <w:rStyle w:val="SectionNumber"/>
        </w:rPr>
        <w:t xml:space="preserve">5.1</w:t>
      </w:r>
      <w:r>
        <w:tab/>
      </w:r>
      <w:r>
        <w:t xml:space="preserve">Why spend time on planning?</w:t>
      </w:r>
    </w:p>
    <w:bookmarkEnd w:id="209"/>
    <w:bookmarkStart w:id="210" w:name="planning-checklists"/>
    <w:p>
      <w:pPr>
        <w:pStyle w:val="Heading2"/>
      </w:pPr>
      <w:r>
        <w:rPr>
          <w:rStyle w:val="SectionNumber"/>
        </w:rPr>
        <w:t xml:space="preserve">5.2</w:t>
      </w:r>
      <w:r>
        <w:tab/>
      </w:r>
      <w:r>
        <w:t xml:space="preserve">Planning checklists</w:t>
      </w:r>
    </w:p>
    <w:bookmarkEnd w:id="210"/>
    <w:bookmarkStart w:id="211" w:name="Xa9919daac3eba710de2b00f4002d97e0f65480e"/>
    <w:p>
      <w:pPr>
        <w:pStyle w:val="Heading2"/>
      </w:pPr>
      <w:r>
        <w:rPr>
          <w:rStyle w:val="SectionNumber"/>
        </w:rPr>
        <w:t xml:space="preserve">5.3</w:t>
      </w:r>
      <w:r>
        <w:tab/>
      </w:r>
      <w:r>
        <w:t xml:space="preserve">How to move from a planning checklist to a workflow</w:t>
      </w:r>
    </w:p>
    <w:bookmarkEnd w:id="211"/>
    <w:bookmarkEnd w:id="212"/>
    <w:bookmarkStart w:id="215" w:name="project-roles-and-responsibilities"/>
    <w:p>
      <w:pPr>
        <w:pStyle w:val="Heading1"/>
      </w:pPr>
      <w:r>
        <w:rPr>
          <w:rStyle w:val="SectionNumber"/>
        </w:rPr>
        <w:t xml:space="preserve">6</w:t>
      </w:r>
      <w:r>
        <w:tab/>
      </w:r>
      <w:r>
        <w:t xml:space="preserve">Project Roles and Responsibilities</w:t>
      </w:r>
    </w:p>
    <w:bookmarkStart w:id="213" w:name="why-its-important-to-assign-roles"/>
    <w:p>
      <w:pPr>
        <w:pStyle w:val="Heading2"/>
      </w:pPr>
      <w:r>
        <w:rPr>
          <w:rStyle w:val="SectionNumber"/>
        </w:rPr>
        <w:t xml:space="preserve">6.1</w:t>
      </w:r>
      <w:r>
        <w:tab/>
      </w:r>
      <w:r>
        <w:t xml:space="preserve">Why it’s important to assign roles</w:t>
      </w:r>
    </w:p>
    <w:bookmarkEnd w:id="213"/>
    <w:bookmarkStart w:id="214" w:name="typical-roles-in-a-research-project"/>
    <w:p>
      <w:pPr>
        <w:pStyle w:val="Heading2"/>
      </w:pPr>
      <w:r>
        <w:rPr>
          <w:rStyle w:val="SectionNumber"/>
        </w:rPr>
        <w:t xml:space="preserve">6.2</w:t>
      </w:r>
      <w:r>
        <w:tab/>
      </w:r>
      <w:r>
        <w:t xml:space="preserve">Typical roles in a research project</w:t>
      </w:r>
    </w:p>
    <w:bookmarkEnd w:id="214"/>
    <w:bookmarkEnd w:id="215"/>
    <w:bookmarkStart w:id="222" w:name="documentation"/>
    <w:p>
      <w:pPr>
        <w:pStyle w:val="Heading1"/>
      </w:pPr>
      <w:r>
        <w:rPr>
          <w:rStyle w:val="SectionNumber"/>
        </w:rPr>
        <w:t xml:space="preserve">7</w:t>
      </w:r>
      <w:r>
        <w:tab/>
      </w:r>
      <w:r>
        <w:t xml:space="preserve">Documentation</w:t>
      </w:r>
    </w:p>
    <w:bookmarkStart w:id="216" w:name="what-is-documentation"/>
    <w:p>
      <w:pPr>
        <w:pStyle w:val="Heading2"/>
      </w:pPr>
      <w:r>
        <w:rPr>
          <w:rStyle w:val="SectionNumber"/>
        </w:rPr>
        <w:t xml:space="preserve">7.1</w:t>
      </w:r>
      <w:r>
        <w:tab/>
      </w:r>
      <w:r>
        <w:t xml:space="preserve">What is documentation?</w:t>
      </w:r>
    </w:p>
    <w:bookmarkEnd w:id="216"/>
    <w:bookmarkStart w:id="217" w:name="why-is-documentation-important"/>
    <w:p>
      <w:pPr>
        <w:pStyle w:val="Heading2"/>
      </w:pPr>
      <w:r>
        <w:rPr>
          <w:rStyle w:val="SectionNumber"/>
        </w:rPr>
        <w:t xml:space="preserve">7.2</w:t>
      </w:r>
      <w:r>
        <w:tab/>
      </w:r>
      <w:r>
        <w:t xml:space="preserve">Why is documentation important?</w:t>
      </w:r>
    </w:p>
    <w:bookmarkEnd w:id="217"/>
    <w:bookmarkStart w:id="218" w:name="team-level"/>
    <w:p>
      <w:pPr>
        <w:pStyle w:val="Heading2"/>
      </w:pPr>
      <w:r>
        <w:rPr>
          <w:rStyle w:val="SectionNumber"/>
        </w:rPr>
        <w:t xml:space="preserve">7.3</w:t>
      </w:r>
      <w:r>
        <w:tab/>
      </w:r>
      <w:r>
        <w:t xml:space="preserve">Team Level</w:t>
      </w:r>
    </w:p>
    <w:bookmarkEnd w:id="218"/>
    <w:bookmarkStart w:id="219" w:name="project-level"/>
    <w:p>
      <w:pPr>
        <w:pStyle w:val="Heading2"/>
      </w:pPr>
      <w:r>
        <w:rPr>
          <w:rStyle w:val="SectionNumber"/>
        </w:rPr>
        <w:t xml:space="preserve">7.4</w:t>
      </w:r>
      <w:r>
        <w:tab/>
      </w:r>
      <w:r>
        <w:t xml:space="preserve">Project Level</w:t>
      </w:r>
    </w:p>
    <w:bookmarkEnd w:id="219"/>
    <w:bookmarkStart w:id="220" w:name="dataset-level"/>
    <w:p>
      <w:pPr>
        <w:pStyle w:val="Heading2"/>
      </w:pPr>
      <w:r>
        <w:rPr>
          <w:rStyle w:val="SectionNumber"/>
        </w:rPr>
        <w:t xml:space="preserve">7.5</w:t>
      </w:r>
      <w:r>
        <w:tab/>
      </w:r>
      <w:r>
        <w:t xml:space="preserve">Dataset Level</w:t>
      </w:r>
    </w:p>
    <w:bookmarkEnd w:id="220"/>
    <w:bookmarkStart w:id="221" w:name="variable-level"/>
    <w:p>
      <w:pPr>
        <w:pStyle w:val="Heading2"/>
      </w:pPr>
      <w:r>
        <w:rPr>
          <w:rStyle w:val="SectionNumber"/>
        </w:rPr>
        <w:t xml:space="preserve">7.6</w:t>
      </w:r>
      <w:r>
        <w:tab/>
      </w:r>
      <w:r>
        <w:t xml:space="preserve">Variable Level</w:t>
      </w:r>
    </w:p>
    <w:bookmarkEnd w:id="221"/>
    <w:bookmarkEnd w:id="222"/>
    <w:bookmarkStart w:id="227" w:name="data-tracking"/>
    <w:p>
      <w:pPr>
        <w:pStyle w:val="Heading1"/>
      </w:pPr>
      <w:r>
        <w:rPr>
          <w:rStyle w:val="SectionNumber"/>
        </w:rPr>
        <w:t xml:space="preserve">8</w:t>
      </w:r>
      <w:r>
        <w:tab/>
      </w:r>
      <w:r>
        <w:t xml:space="preserve">Data Tracking</w:t>
      </w:r>
    </w:p>
    <w:bookmarkStart w:id="223" w:name="why-track-data"/>
    <w:p>
      <w:pPr>
        <w:pStyle w:val="Heading2"/>
      </w:pPr>
      <w:r>
        <w:rPr>
          <w:rStyle w:val="SectionNumber"/>
        </w:rPr>
        <w:t xml:space="preserve">8.1</w:t>
      </w:r>
      <w:r>
        <w:tab/>
      </w:r>
      <w:r>
        <w:t xml:space="preserve">Why track data?</w:t>
      </w:r>
    </w:p>
    <w:bookmarkEnd w:id="223"/>
    <w:bookmarkStart w:id="224" w:name="build-a-system"/>
    <w:p>
      <w:pPr>
        <w:pStyle w:val="Heading2"/>
      </w:pPr>
      <w:r>
        <w:rPr>
          <w:rStyle w:val="SectionNumber"/>
        </w:rPr>
        <w:t xml:space="preserve">8.2</w:t>
      </w:r>
      <w:r>
        <w:tab/>
      </w:r>
      <w:r>
        <w:t xml:space="preserve">Build a system</w:t>
      </w:r>
    </w:p>
    <w:bookmarkEnd w:id="224"/>
    <w:bookmarkStart w:id="225" w:name="ids"/>
    <w:p>
      <w:pPr>
        <w:pStyle w:val="Heading2"/>
      </w:pPr>
      <w:r>
        <w:rPr>
          <w:rStyle w:val="SectionNumber"/>
        </w:rPr>
        <w:t xml:space="preserve">8.3</w:t>
      </w:r>
      <w:r>
        <w:tab/>
      </w:r>
      <w:r>
        <w:t xml:space="preserve">Creating participant IDs</w:t>
      </w:r>
    </w:p>
    <w:bookmarkEnd w:id="225"/>
    <w:bookmarkStart w:id="226" w:name="X462b02df8aa0aa2236c799bbb92a45c26a99304"/>
    <w:p>
      <w:pPr>
        <w:pStyle w:val="Heading2"/>
      </w:pPr>
      <w:r>
        <w:rPr>
          <w:rStyle w:val="SectionNumber"/>
        </w:rPr>
        <w:t xml:space="preserve">8.4</w:t>
      </w:r>
      <w:r>
        <w:tab/>
      </w:r>
      <w:r>
        <w:t xml:space="preserve">When to build it, who builds it, tools to build it in</w:t>
      </w:r>
    </w:p>
    <w:bookmarkEnd w:id="226"/>
    <w:bookmarkEnd w:id="227"/>
    <w:bookmarkStart w:id="233" w:name="data-collection"/>
    <w:p>
      <w:pPr>
        <w:pStyle w:val="Heading1"/>
      </w:pPr>
      <w:r>
        <w:rPr>
          <w:rStyle w:val="SectionNumber"/>
        </w:rPr>
        <w:t xml:space="preserve">9</w:t>
      </w:r>
      <w:r>
        <w:tab/>
      </w:r>
      <w:r>
        <w:t xml:space="preserve">Data Collection</w:t>
      </w:r>
    </w:p>
    <w:bookmarkStart w:id="228" w:name="Xbc8506d1182cf1426d832e6ab42eeb02f5268c0"/>
    <w:p>
      <w:pPr>
        <w:pStyle w:val="Heading2"/>
      </w:pPr>
      <w:r>
        <w:rPr>
          <w:rStyle w:val="SectionNumber"/>
        </w:rPr>
        <w:t xml:space="preserve">9.1</w:t>
      </w:r>
      <w:r>
        <w:tab/>
      </w:r>
      <w:r>
        <w:t xml:space="preserve">Why consider data management in data collection?</w:t>
      </w:r>
    </w:p>
    <w:bookmarkEnd w:id="228"/>
    <w:bookmarkStart w:id="229" w:name="consents"/>
    <w:p>
      <w:pPr>
        <w:pStyle w:val="Heading2"/>
      </w:pPr>
      <w:r>
        <w:rPr>
          <w:rStyle w:val="SectionNumber"/>
        </w:rPr>
        <w:t xml:space="preserve">9.2</w:t>
      </w:r>
      <w:r>
        <w:tab/>
      </w:r>
      <w:r>
        <w:t xml:space="preserve">Consents</w:t>
      </w:r>
    </w:p>
    <w:bookmarkEnd w:id="229"/>
    <w:bookmarkStart w:id="230" w:name="electronic-data-collection-instruments"/>
    <w:p>
      <w:pPr>
        <w:pStyle w:val="Heading2"/>
      </w:pPr>
      <w:r>
        <w:rPr>
          <w:rStyle w:val="SectionNumber"/>
        </w:rPr>
        <w:t xml:space="preserve">9.3</w:t>
      </w:r>
      <w:r>
        <w:tab/>
      </w:r>
      <w:r>
        <w:t xml:space="preserve">Electronic data collection instruments</w:t>
      </w:r>
    </w:p>
    <w:bookmarkEnd w:id="230"/>
    <w:bookmarkStart w:id="231" w:name="paper-data-collection-instruments"/>
    <w:p>
      <w:pPr>
        <w:pStyle w:val="Heading2"/>
      </w:pPr>
      <w:r>
        <w:rPr>
          <w:rStyle w:val="SectionNumber"/>
        </w:rPr>
        <w:t xml:space="preserve">9.4</w:t>
      </w:r>
      <w:r>
        <w:tab/>
      </w:r>
      <w:r>
        <w:t xml:space="preserve">Paper data collection instruments</w:t>
      </w:r>
    </w:p>
    <w:bookmarkEnd w:id="231"/>
    <w:bookmarkStart w:id="232" w:name="interviewscocus-groups"/>
    <w:p>
      <w:pPr>
        <w:pStyle w:val="Heading2"/>
      </w:pPr>
      <w:r>
        <w:rPr>
          <w:rStyle w:val="SectionNumber"/>
        </w:rPr>
        <w:t xml:space="preserve">9.5</w:t>
      </w:r>
      <w:r>
        <w:tab/>
      </w:r>
      <w:r>
        <w:t xml:space="preserve">Interviews/cocus groups</w:t>
      </w:r>
    </w:p>
    <w:bookmarkEnd w:id="232"/>
    <w:bookmarkEnd w:id="233"/>
    <w:bookmarkStart w:id="237" w:name="data-capture"/>
    <w:p>
      <w:pPr>
        <w:pStyle w:val="Heading1"/>
      </w:pPr>
      <w:r>
        <w:rPr>
          <w:rStyle w:val="SectionNumber"/>
        </w:rPr>
        <w:t xml:space="preserve">10</w:t>
      </w:r>
      <w:r>
        <w:tab/>
      </w:r>
      <w:r>
        <w:t xml:space="preserve">Data Capture</w:t>
      </w:r>
    </w:p>
    <w:bookmarkStart w:id="234" w:name="electronic-data-capture"/>
    <w:p>
      <w:pPr>
        <w:pStyle w:val="Heading2"/>
      </w:pPr>
      <w:r>
        <w:rPr>
          <w:rStyle w:val="SectionNumber"/>
        </w:rPr>
        <w:t xml:space="preserve">10.1</w:t>
      </w:r>
      <w:r>
        <w:tab/>
      </w:r>
      <w:r>
        <w:t xml:space="preserve">Electronic data capture</w:t>
      </w:r>
    </w:p>
    <w:bookmarkEnd w:id="234"/>
    <w:bookmarkStart w:id="235" w:name="paper-data-capture"/>
    <w:p>
      <w:pPr>
        <w:pStyle w:val="Heading2"/>
      </w:pPr>
      <w:r>
        <w:rPr>
          <w:rStyle w:val="SectionNumber"/>
        </w:rPr>
        <w:t xml:space="preserve">10.2</w:t>
      </w:r>
      <w:r>
        <w:tab/>
      </w:r>
      <w:r>
        <w:t xml:space="preserve">Paper data capture</w:t>
      </w:r>
    </w:p>
    <w:bookmarkEnd w:id="235"/>
    <w:bookmarkStart w:id="236" w:name="extant-data"/>
    <w:p>
      <w:pPr>
        <w:pStyle w:val="Heading2"/>
      </w:pPr>
      <w:r>
        <w:rPr>
          <w:rStyle w:val="SectionNumber"/>
        </w:rPr>
        <w:t xml:space="preserve">10.3</w:t>
      </w:r>
      <w:r>
        <w:tab/>
      </w:r>
      <w:r>
        <w:t xml:space="preserve">Extant data</w:t>
      </w:r>
    </w:p>
    <w:bookmarkEnd w:id="236"/>
    <w:bookmarkEnd w:id="237"/>
    <w:bookmarkStart w:id="246" w:name="data-storage-and-security"/>
    <w:p>
      <w:pPr>
        <w:pStyle w:val="Heading1"/>
      </w:pPr>
      <w:r>
        <w:rPr>
          <w:rStyle w:val="SectionNumber"/>
        </w:rPr>
        <w:t xml:space="preserve">11</w:t>
      </w:r>
      <w:r>
        <w:tab/>
      </w:r>
      <w:r>
        <w:t xml:space="preserve">Data Storage and Security</w:t>
      </w:r>
    </w:p>
    <w:bookmarkStart w:id="238" w:name="types-of-data-youll-be-storing"/>
    <w:p>
      <w:pPr>
        <w:pStyle w:val="Heading2"/>
      </w:pPr>
      <w:r>
        <w:rPr>
          <w:rStyle w:val="SectionNumber"/>
        </w:rPr>
        <w:t xml:space="preserve">11.1</w:t>
      </w:r>
      <w:r>
        <w:tab/>
      </w:r>
      <w:r>
        <w:t xml:space="preserve">Types of data you’ll be storing</w:t>
      </w:r>
    </w:p>
    <w:bookmarkEnd w:id="238"/>
    <w:bookmarkStart w:id="239" w:name="general-security-rules"/>
    <w:p>
      <w:pPr>
        <w:pStyle w:val="Heading2"/>
      </w:pPr>
      <w:r>
        <w:rPr>
          <w:rStyle w:val="SectionNumber"/>
        </w:rPr>
        <w:t xml:space="preserve">11.2</w:t>
      </w:r>
      <w:r>
        <w:tab/>
      </w:r>
      <w:r>
        <w:t xml:space="preserve">General security rules</w:t>
      </w:r>
    </w:p>
    <w:bookmarkEnd w:id="239"/>
    <w:bookmarkStart w:id="240" w:name="participant-tracking-database"/>
    <w:p>
      <w:pPr>
        <w:pStyle w:val="Heading2"/>
      </w:pPr>
      <w:r>
        <w:rPr>
          <w:rStyle w:val="SectionNumber"/>
        </w:rPr>
        <w:t xml:space="preserve">11.3</w:t>
      </w:r>
      <w:r>
        <w:tab/>
      </w:r>
      <w:r>
        <w:t xml:space="preserve">Participant tracking database</w:t>
      </w:r>
    </w:p>
    <w:bookmarkEnd w:id="240"/>
    <w:bookmarkStart w:id="241" w:name="electronic-data"/>
    <w:p>
      <w:pPr>
        <w:pStyle w:val="Heading2"/>
      </w:pPr>
      <w:r>
        <w:rPr>
          <w:rStyle w:val="SectionNumber"/>
        </w:rPr>
        <w:t xml:space="preserve">11.4</w:t>
      </w:r>
      <w:r>
        <w:tab/>
      </w:r>
      <w:r>
        <w:t xml:space="preserve">Electronic data</w:t>
      </w:r>
    </w:p>
    <w:bookmarkEnd w:id="241"/>
    <w:bookmarkStart w:id="242" w:name="detachable-media"/>
    <w:p>
      <w:pPr>
        <w:pStyle w:val="Heading2"/>
      </w:pPr>
      <w:r>
        <w:rPr>
          <w:rStyle w:val="SectionNumber"/>
        </w:rPr>
        <w:t xml:space="preserve">11.5</w:t>
      </w:r>
      <w:r>
        <w:tab/>
      </w:r>
      <w:r>
        <w:t xml:space="preserve">Detachable media</w:t>
      </w:r>
    </w:p>
    <w:bookmarkEnd w:id="242"/>
    <w:bookmarkStart w:id="243" w:name="audiovisual-data"/>
    <w:p>
      <w:pPr>
        <w:pStyle w:val="Heading2"/>
      </w:pPr>
      <w:r>
        <w:rPr>
          <w:rStyle w:val="SectionNumber"/>
        </w:rPr>
        <w:t xml:space="preserve">11.6</w:t>
      </w:r>
      <w:r>
        <w:tab/>
      </w:r>
      <w:r>
        <w:t xml:space="preserve">Audio/visual data</w:t>
      </w:r>
    </w:p>
    <w:bookmarkEnd w:id="243"/>
    <w:bookmarkStart w:id="244" w:name="paper-data"/>
    <w:p>
      <w:pPr>
        <w:pStyle w:val="Heading2"/>
      </w:pPr>
      <w:r>
        <w:rPr>
          <w:rStyle w:val="SectionNumber"/>
        </w:rPr>
        <w:t xml:space="preserve">11.7</w:t>
      </w:r>
      <w:r>
        <w:tab/>
      </w:r>
      <w:r>
        <w:t xml:space="preserve">Paper data</w:t>
      </w:r>
    </w:p>
    <w:bookmarkEnd w:id="244"/>
    <w:bookmarkStart w:id="245" w:name="sharing-data"/>
    <w:p>
      <w:pPr>
        <w:pStyle w:val="Heading2"/>
      </w:pPr>
      <w:r>
        <w:rPr>
          <w:rStyle w:val="SectionNumber"/>
        </w:rPr>
        <w:t xml:space="preserve">11.8</w:t>
      </w:r>
      <w:r>
        <w:tab/>
      </w:r>
      <w:r>
        <w:t xml:space="preserve">Sharing data</w:t>
      </w:r>
    </w:p>
    <w:bookmarkEnd w:id="245"/>
    <w:bookmarkEnd w:id="246"/>
    <w:bookmarkStart w:id="252" w:name="data-cleaning"/>
    <w:p>
      <w:pPr>
        <w:pStyle w:val="Heading1"/>
      </w:pPr>
      <w:r>
        <w:rPr>
          <w:rStyle w:val="SectionNumber"/>
        </w:rPr>
        <w:t xml:space="preserve">12</w:t>
      </w:r>
      <w:r>
        <w:tab/>
      </w:r>
      <w:r>
        <w:t xml:space="preserve">Data Cleaning</w:t>
      </w:r>
    </w:p>
    <w:bookmarkStart w:id="247" w:name="foundational-knowledge"/>
    <w:p>
      <w:pPr>
        <w:pStyle w:val="Heading2"/>
      </w:pPr>
      <w:r>
        <w:rPr>
          <w:rStyle w:val="SectionNumber"/>
        </w:rPr>
        <w:t xml:space="preserve">12.1</w:t>
      </w:r>
      <w:r>
        <w:tab/>
      </w:r>
      <w:r>
        <w:t xml:space="preserve">Foundational knowledge</w:t>
      </w:r>
    </w:p>
    <w:bookmarkEnd w:id="247"/>
    <w:bookmarkStart w:id="248" w:name="data-structure-1"/>
    <w:p>
      <w:pPr>
        <w:pStyle w:val="Heading2"/>
      </w:pPr>
      <w:r>
        <w:rPr>
          <w:rStyle w:val="SectionNumber"/>
        </w:rPr>
        <w:t xml:space="preserve">12.2</w:t>
      </w:r>
      <w:r>
        <w:tab/>
      </w:r>
      <w:r>
        <w:t xml:space="preserve">Data structure</w:t>
      </w:r>
    </w:p>
    <w:bookmarkEnd w:id="248"/>
    <w:bookmarkStart w:id="249" w:name="data-cleaning-plan"/>
    <w:p>
      <w:pPr>
        <w:pStyle w:val="Heading2"/>
      </w:pPr>
      <w:r>
        <w:rPr>
          <w:rStyle w:val="SectionNumber"/>
        </w:rPr>
        <w:t xml:space="preserve">12.3</w:t>
      </w:r>
      <w:r>
        <w:tab/>
      </w:r>
      <w:r>
        <w:t xml:space="preserve">Data cleaning plan</w:t>
      </w:r>
    </w:p>
    <w:bookmarkEnd w:id="249"/>
    <w:bookmarkStart w:id="250" w:name="data-validation"/>
    <w:p>
      <w:pPr>
        <w:pStyle w:val="Heading2"/>
      </w:pPr>
      <w:r>
        <w:rPr>
          <w:rStyle w:val="SectionNumber"/>
        </w:rPr>
        <w:t xml:space="preserve">12.4</w:t>
      </w:r>
      <w:r>
        <w:tab/>
      </w:r>
      <w:r>
        <w:t xml:space="preserve">Data validation</w:t>
      </w:r>
    </w:p>
    <w:bookmarkEnd w:id="250"/>
    <w:bookmarkStart w:id="251" w:name="why-use-code"/>
    <w:p>
      <w:pPr>
        <w:pStyle w:val="Heading2"/>
      </w:pPr>
      <w:r>
        <w:rPr>
          <w:rStyle w:val="SectionNumber"/>
        </w:rPr>
        <w:t xml:space="preserve">12.5</w:t>
      </w:r>
      <w:r>
        <w:tab/>
      </w:r>
      <w:r>
        <w:t xml:space="preserve">Why use code?</w:t>
      </w:r>
    </w:p>
    <w:bookmarkEnd w:id="251"/>
    <w:bookmarkEnd w:id="252"/>
    <w:bookmarkStart w:id="257" w:name="data-sharing"/>
    <w:p>
      <w:pPr>
        <w:pStyle w:val="Heading1"/>
      </w:pPr>
      <w:r>
        <w:rPr>
          <w:rStyle w:val="SectionNumber"/>
        </w:rPr>
        <w:t xml:space="preserve">13</w:t>
      </w:r>
      <w:r>
        <w:tab/>
      </w:r>
      <w:r>
        <w:t xml:space="preserve">Data Sharing</w:t>
      </w:r>
    </w:p>
    <w:bookmarkStart w:id="253" w:name="why-share-your-data"/>
    <w:p>
      <w:pPr>
        <w:pStyle w:val="Heading2"/>
      </w:pPr>
      <w:r>
        <w:rPr>
          <w:rStyle w:val="SectionNumber"/>
        </w:rPr>
        <w:t xml:space="preserve">13.1</w:t>
      </w:r>
      <w:r>
        <w:tab/>
      </w:r>
      <w:r>
        <w:t xml:space="preserve">Why share your data?</w:t>
      </w:r>
    </w:p>
    <w:bookmarkEnd w:id="253"/>
    <w:bookmarkStart w:id="254" w:name="considering-fair-principles"/>
    <w:p>
      <w:pPr>
        <w:pStyle w:val="Heading2"/>
      </w:pPr>
      <w:r>
        <w:rPr>
          <w:rStyle w:val="SectionNumber"/>
        </w:rPr>
        <w:t xml:space="preserve">13.2</w:t>
      </w:r>
      <w:r>
        <w:tab/>
      </w:r>
      <w:r>
        <w:t xml:space="preserve">Considering FAIR principles</w:t>
      </w:r>
    </w:p>
    <w:bookmarkEnd w:id="254"/>
    <w:bookmarkStart w:id="255" w:name="best-practices"/>
    <w:p>
      <w:pPr>
        <w:pStyle w:val="Heading2"/>
      </w:pPr>
      <w:r>
        <w:rPr>
          <w:rStyle w:val="SectionNumber"/>
        </w:rPr>
        <w:t xml:space="preserve">13.3</w:t>
      </w:r>
      <w:r>
        <w:tab/>
      </w:r>
      <w:r>
        <w:t xml:space="preserve">Best practices</w:t>
      </w:r>
    </w:p>
    <w:bookmarkEnd w:id="255"/>
    <w:bookmarkStart w:id="256" w:name="retractions-and-revisions"/>
    <w:p>
      <w:pPr>
        <w:pStyle w:val="Heading2"/>
      </w:pPr>
      <w:r>
        <w:rPr>
          <w:rStyle w:val="SectionNumber"/>
        </w:rPr>
        <w:t xml:space="preserve">13.4</w:t>
      </w:r>
      <w:r>
        <w:tab/>
      </w:r>
      <w:r>
        <w:t xml:space="preserve">Retractions and revisions</w:t>
      </w:r>
    </w:p>
    <w:bookmarkEnd w:id="256"/>
    <w:bookmarkEnd w:id="257"/>
    <w:bookmarkStart w:id="260" w:name="wrapping-it-up"/>
    <w:p>
      <w:pPr>
        <w:pStyle w:val="Heading1"/>
      </w:pPr>
      <w:r>
        <w:rPr>
          <w:rStyle w:val="SectionNumber"/>
        </w:rPr>
        <w:t xml:space="preserve">14</w:t>
      </w:r>
      <w:r>
        <w:tab/>
      </w:r>
      <w:r>
        <w:t xml:space="preserve">Wrapping It Up</w:t>
      </w:r>
    </w:p>
    <w:bookmarkStart w:id="258" w:name="connecting-practices-to-outcomes"/>
    <w:p>
      <w:pPr>
        <w:pStyle w:val="Heading2"/>
      </w:pPr>
      <w:r>
        <w:rPr>
          <w:rStyle w:val="SectionNumber"/>
        </w:rPr>
        <w:t xml:space="preserve">14.1</w:t>
      </w:r>
      <w:r>
        <w:tab/>
      </w:r>
      <w:r>
        <w:t xml:space="preserve">Connecting practices to outcomes</w:t>
      </w:r>
    </w:p>
    <w:bookmarkEnd w:id="258"/>
    <w:bookmarkStart w:id="259" w:name="putting-in-the-work"/>
    <w:p>
      <w:pPr>
        <w:pStyle w:val="Heading2"/>
      </w:pPr>
      <w:r>
        <w:rPr>
          <w:rStyle w:val="SectionNumber"/>
        </w:rPr>
        <w:t xml:space="preserve">14.2</w:t>
      </w:r>
      <w:r>
        <w:tab/>
      </w:r>
      <w:r>
        <w:t xml:space="preserve">Putting in the work</w:t>
      </w:r>
    </w:p>
    <w:bookmarkEnd w:id="259"/>
    <w:bookmarkEnd w:id="260"/>
    <w:bookmarkStart w:id="264" w:name="call-to-action"/>
    <w:p>
      <w:pPr>
        <w:pStyle w:val="Heading1"/>
      </w:pPr>
      <w:r>
        <w:rPr>
          <w:rStyle w:val="SectionNumber"/>
        </w:rPr>
        <w:t xml:space="preserve">15</w:t>
      </w:r>
      <w:r>
        <w:tab/>
      </w:r>
      <w:r>
        <w:t xml:space="preserve">Call to Action</w:t>
      </w:r>
    </w:p>
    <w:bookmarkStart w:id="261" w:name="last-thoughts"/>
    <w:p>
      <w:pPr>
        <w:pStyle w:val="Heading2"/>
      </w:pPr>
      <w:r>
        <w:rPr>
          <w:rStyle w:val="SectionNumber"/>
        </w:rPr>
        <w:t xml:space="preserve">15.1</w:t>
      </w:r>
      <w:r>
        <w:tab/>
      </w:r>
      <w:r>
        <w:t xml:space="preserve">Last thoughts</w:t>
      </w:r>
    </w:p>
    <w:bookmarkEnd w:id="261"/>
    <w:bookmarkStart w:id="262" w:name="training-for-future-researchers"/>
    <w:p>
      <w:pPr>
        <w:pStyle w:val="Heading2"/>
      </w:pPr>
      <w:r>
        <w:rPr>
          <w:rStyle w:val="SectionNumber"/>
        </w:rPr>
        <w:t xml:space="preserve">15.2</w:t>
      </w:r>
      <w:r>
        <w:tab/>
      </w:r>
      <w:r>
        <w:t xml:space="preserve">Training for future researchers</w:t>
      </w:r>
    </w:p>
    <w:bookmarkEnd w:id="262"/>
    <w:bookmarkStart w:id="263" w:name="X77f9e2dc88081311896fe5c0fa48604f4a8018c"/>
    <w:p>
      <w:pPr>
        <w:pStyle w:val="Heading2"/>
      </w:pPr>
      <w:r>
        <w:rPr>
          <w:rStyle w:val="SectionNumber"/>
        </w:rPr>
        <w:t xml:space="preserve">15.3</w:t>
      </w:r>
      <w:r>
        <w:tab/>
      </w:r>
      <w:r>
        <w:t xml:space="preserve">Investing in data management and data managers</w:t>
      </w:r>
    </w:p>
    <w:bookmarkEnd w:id="263"/>
    <w:bookmarkEnd w:id="264"/>
    <w:bookmarkStart w:id="314" w:name="appendices"/>
    <w:p>
      <w:pPr>
        <w:pStyle w:val="Heading1"/>
      </w:pPr>
      <w:r>
        <w:rPr>
          <w:rStyle w:val="SectionNumber"/>
        </w:rPr>
        <w:t xml:space="preserve">16</w:t>
      </w:r>
      <w:r>
        <w:tab/>
      </w:r>
      <w:r>
        <w:t xml:space="preserve">Appendices</w:t>
      </w:r>
    </w:p>
    <w:bookmarkStart w:id="313" w:name="refs"/>
    <w:bookmarkStart w:id="265"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65"/>
    <w:bookmarkStart w:id="266"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66"/>
    <w:bookmarkStart w:id="267"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67"/>
    <w:bookmarkStart w:id="268"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68"/>
    <w:bookmarkStart w:id="269"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69"/>
    <w:bookmarkStart w:id="270"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70"/>
    <w:bookmarkStart w:id="271"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71"/>
    <w:bookmarkStart w:id="272"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72"/>
    <w:bookmarkStart w:id="273"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73"/>
    <w:bookmarkStart w:id="274"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74"/>
    <w:bookmarkStart w:id="275"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75"/>
    <w:bookmarkStart w:id="276"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76"/>
    <w:bookmarkStart w:id="277"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77"/>
    <w:bookmarkStart w:id="278"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78"/>
    <w:bookmarkStart w:id="279"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199">
        <w:r>
          <w:rPr>
            <w:rStyle w:val="Hyperlink"/>
          </w:rPr>
          <w:t xml:space="preserve">https://dmptool.org/</w:t>
        </w:r>
      </w:hyperlink>
      <w:r>
        <w:t xml:space="preserve">.</w:t>
      </w:r>
    </w:p>
    <w:bookmarkEnd w:id="279"/>
    <w:bookmarkStart w:id="280"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80"/>
    <w:bookmarkStart w:id="281"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81"/>
    <w:bookmarkStart w:id="282"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87">
        <w:r>
          <w:rPr>
            <w:rStyle w:val="Hyperlink"/>
          </w:rPr>
          <w:t xml:space="preserve">https://ies.ed.gov/funding/datasharing_implementation.asp</w:t>
        </w:r>
      </w:hyperlink>
      <w:r>
        <w:t xml:space="preserve">.</w:t>
      </w:r>
    </w:p>
    <w:bookmarkEnd w:id="282"/>
    <w:bookmarkStart w:id="283"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83"/>
    <w:bookmarkStart w:id="284"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84"/>
    <w:bookmarkStart w:id="285"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3">
        <w:r>
          <w:rPr>
            <w:rStyle w:val="Hyperlink"/>
          </w:rPr>
          <w:t xml:space="preserve">https://www.nsf.gov/bfa/dias/policy/dmpdocs/ehr.pdf</w:t>
        </w:r>
      </w:hyperlink>
      <w:r>
        <w:t xml:space="preserve">.</w:t>
      </w:r>
    </w:p>
    <w:bookmarkEnd w:id="285"/>
    <w:bookmarkStart w:id="286"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86"/>
    <w:bookmarkStart w:id="287"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287"/>
    <w:bookmarkStart w:id="288"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89">
        <w:r>
          <w:rPr>
            <w:rStyle w:val="Hyperlink"/>
          </w:rPr>
          <w:t xml:space="preserve">https://sharing.nih.gov/data-management-and-sharing-policy/planning-and-budgeting-DMS/writing-a-data-management-and-sharing-plan</w:t>
        </w:r>
      </w:hyperlink>
      <w:r>
        <w:t xml:space="preserve">.</w:t>
      </w:r>
    </w:p>
    <w:bookmarkEnd w:id="288"/>
    <w:bookmarkStart w:id="289"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bookmarkEnd w:id="289"/>
    <w:bookmarkStart w:id="290"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290"/>
    <w:bookmarkStart w:id="291"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291"/>
    <w:bookmarkStart w:id="292" w:name="ref-ies_frequently_nodate"/>
    <w:p>
      <w:pPr>
        <w:pStyle w:val="Bibliography"/>
      </w:pP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2"/>
    <w:bookmarkStart w:id="293"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91">
        <w:r>
          <w:rPr>
            <w:rStyle w:val="Hyperlink"/>
          </w:rPr>
          <w:t xml:space="preserve">https://nij.ojp.gov/funding/data-archiving</w:t>
        </w:r>
      </w:hyperlink>
      <w:r>
        <w:t xml:space="preserve">.</w:t>
      </w:r>
    </w:p>
    <w:bookmarkEnd w:id="293"/>
    <w:bookmarkStart w:id="294"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294"/>
    <w:bookmarkStart w:id="295"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295"/>
    <w:bookmarkStart w:id="296"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296"/>
    <w:bookmarkStart w:id="297"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297"/>
    <w:bookmarkStart w:id="298"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298"/>
    <w:bookmarkStart w:id="299"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299"/>
    <w:bookmarkStart w:id="300"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00"/>
    <w:bookmarkStart w:id="301"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01"/>
    <w:bookmarkStart w:id="302"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202">
        <w:r>
          <w:rPr>
            <w:rStyle w:val="Hyperlink"/>
          </w:rPr>
          <w:t xml:space="preserve">https://ukdataservice.ac.uk//app/uploads/costingtool.pdf</w:t>
        </w:r>
      </w:hyperlink>
      <w:r>
        <w:t xml:space="preserve">.</w:t>
      </w:r>
    </w:p>
    <w:bookmarkEnd w:id="302"/>
    <w:bookmarkStart w:id="303"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03"/>
    <w:bookmarkStart w:id="304"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04"/>
    <w:bookmarkStart w:id="305"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05"/>
    <w:bookmarkStart w:id="306"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204">
        <w:r>
          <w:rPr>
            <w:rStyle w:val="Hyperlink"/>
          </w:rPr>
          <w:t xml:space="preserve">https://www.utwente.nl/en/service-portal/services/lisa/resources/files/library-public/dcc-rdm-costs-estimation.pdf</w:t>
        </w:r>
      </w:hyperlink>
      <w:r>
        <w:t xml:space="preserve">.</w:t>
      </w:r>
    </w:p>
    <w:bookmarkEnd w:id="306"/>
    <w:bookmarkStart w:id="307"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206">
        <w:r>
          <w:rPr>
            <w:rStyle w:val="Hyperlink"/>
          </w:rPr>
          <w:t xml:space="preserve">https://www.uu.nl/en/research/research-data-management/guides/costs-of-data-management</w:t>
        </w:r>
      </w:hyperlink>
      <w:r>
        <w:t xml:space="preserve">.</w:t>
      </w:r>
    </w:p>
    <w:bookmarkEnd w:id="307"/>
    <w:bookmarkStart w:id="308"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08"/>
    <w:bookmarkStart w:id="309"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7">
        <w:r>
          <w:rPr>
            <w:rStyle w:val="Hyperlink"/>
          </w:rPr>
          <w:t xml:space="preserve">https://data.library.virginia.edu/data-management-plan-templates/</w:t>
        </w:r>
      </w:hyperlink>
      <w:r>
        <w:t xml:space="preserve">.</w:t>
      </w:r>
    </w:p>
    <w:bookmarkEnd w:id="309"/>
    <w:bookmarkStart w:id="310"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10"/>
    <w:bookmarkStart w:id="311"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311"/>
    <w:bookmarkStart w:id="312"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12"/>
    <w:bookmarkEnd w:id="313"/>
    <w:bookmarkEnd w:id="3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 w:id="181">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footnote>
  <w:footnote w:id="183">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86">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87">
        <w:r>
          <w:rPr>
            <w:rStyle w:val="Hyperlink"/>
          </w:rPr>
          <w:t xml:space="preserve">https://ies.ed.gov/funding/datasharing_implementation.asp</w:t>
        </w:r>
      </w:hyperlink>
      <w:r>
        <w:t xml:space="preserve">.</w:t>
      </w:r>
    </w:p>
  </w:footnote>
  <w:footnote w:id="188">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89">
        <w:r>
          <w:rPr>
            <w:rStyle w:val="Hyperlink"/>
          </w:rPr>
          <w:t xml:space="preserve">https://sharing.nih.gov/data-management-and-sharing-policy/planning-and-budgeting-DMS/writing-a-data-management-and-sharing-plan</w:t>
        </w:r>
      </w:hyperlink>
      <w:r>
        <w:t xml:space="preserve">.</w:t>
      </w:r>
    </w:p>
  </w:footnote>
  <w:footnote w:id="190">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91">
        <w:r>
          <w:rPr>
            <w:rStyle w:val="Hyperlink"/>
          </w:rPr>
          <w:t xml:space="preserve">https://nij.ojp.gov/funding/data-archiving</w:t>
        </w:r>
      </w:hyperlink>
      <w:r>
        <w:t xml:space="preserve">.</w:t>
      </w:r>
    </w:p>
  </w:footnote>
  <w:footnote w:id="192">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3">
        <w:r>
          <w:rPr>
            <w:rStyle w:val="Hyperlink"/>
          </w:rPr>
          <w:t xml:space="preserve">https://www.nsf.gov/bfa/dias/policy/dmpdocs/ehr.pdf</w:t>
        </w:r>
      </w:hyperlink>
      <w:r>
        <w:t xml:space="preserve">.</w:t>
      </w:r>
    </w:p>
  </w:footnote>
  <w:footnote w:id="196">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7">
        <w:r>
          <w:rPr>
            <w:rStyle w:val="Hyperlink"/>
          </w:rPr>
          <w:t xml:space="preserve">https://data.library.virginia.edu/data-management-plan-templates/</w:t>
        </w:r>
      </w:hyperlink>
      <w:r>
        <w:t xml:space="preserve">.</w:t>
      </w:r>
    </w:p>
  </w:footnote>
  <w:footnote w:id="198">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199">
        <w:r>
          <w:rPr>
            <w:rStyle w:val="Hyperlink"/>
          </w:rPr>
          <w:t xml:space="preserve">https://dmptool.org/</w:t>
        </w:r>
      </w:hyperlink>
      <w:r>
        <w:t xml:space="preserve">.</w:t>
      </w:r>
    </w:p>
  </w:footnote>
  <w:footnote w:id="201">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202">
        <w:r>
          <w:rPr>
            <w:rStyle w:val="Hyperlink"/>
          </w:rPr>
          <w:t xml:space="preserve">https://ukdataservice.ac.uk//app/uploads/costingtool.pdf</w:t>
        </w:r>
      </w:hyperlink>
      <w:r>
        <w:t xml:space="preserve">.</w:t>
      </w:r>
    </w:p>
  </w:footnote>
  <w:footnote w:id="203">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204">
        <w:r>
          <w:rPr>
            <w:rStyle w:val="Hyperlink"/>
          </w:rPr>
          <w:t xml:space="preserve">https://www.utwente.nl/en/service-portal/services/lisa/resources/files/library-public/dcc-rdm-costs-estimation.pdf</w:t>
        </w:r>
      </w:hyperlink>
      <w:r>
        <w:t xml:space="preserve">.</w:t>
      </w:r>
    </w:p>
  </w:footnote>
  <w:footnote w:id="205">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206">
        <w:r>
          <w:rPr>
            <w:rStyle w:val="Hyperlink"/>
          </w:rPr>
          <w:t xml:space="preserve">https://www.uu.nl/en/research/research-data-management/guides/costs-of-data-management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78" Target="media/rId178.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19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9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69" Target="https://ies.ed.gov/funding/datasharing_faq.asp" TargetMode="External" /><Relationship Type="http://schemas.openxmlformats.org/officeDocument/2006/relationships/hyperlink" Id="rId18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1"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8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2"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3"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4" Target="https://www.utwente.nl/en/service-portal/services/lisa/resources/files/library-public/dcc-rdm-costs-estimation.pdf" TargetMode="External" /><Relationship Type="http://schemas.openxmlformats.org/officeDocument/2006/relationships/hyperlink" Id="rId20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97"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199"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69" Target="https://ies.ed.gov/funding/datasharing_faq.asp" TargetMode="External" /><Relationship Type="http://schemas.openxmlformats.org/officeDocument/2006/relationships/hyperlink" Id="rId187"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1"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89"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2"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3"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4" Target="https://www.utwente.nl/en/service-portal/services/lisa/resources/files/library-public/dcc-rdm-costs-estimation.pdf" TargetMode="External" /><Relationship Type="http://schemas.openxmlformats.org/officeDocument/2006/relationships/hyperlink" Id="rId206"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2022-10-27T23:40:19Z</dcterms:created>
  <dcterms:modified xsi:type="dcterms:W3CDTF">2022-10-27T23:40:19Z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2022-10-27</vt:lpwstr>
  </property>
  <property fmtid="{D5CDD505-2E9C-101B-9397-08002B2CF9AE}" pid="8" name="documentclass">
    <vt:lpwstr>book</vt:lpwstr>
  </property>
  <property fmtid="{D5CDD505-2E9C-101B-9397-08002B2CF9AE}" pid="9" name="site">
    <vt:lpwstr>bookdown::bookdown_site</vt:lpwstr>
  </property>
</Properties>
</file>