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png" ContentType="image/png"/>
  <Override PartName="/word/media/rId134.png" ContentType="image/png"/>
  <Override PartName="/word/media/rId121.png" ContentType="image/png"/>
  <Override PartName="/word/media/rId378.png" ContentType="image/png"/>
  <Override PartName="/word/media/rId256.png" ContentType="image/png"/>
  <Override PartName="/word/media/rId352.png" ContentType="image/png"/>
  <Override PartName="/word/media/rId157.png" ContentType="image/png"/>
  <Override PartName="/word/media/rId151.png" ContentType="image/png"/>
  <Override PartName="/word/media/rId383.png" ContentType="image/png"/>
  <Override PartName="/word/media/rId275.png" ContentType="image/png"/>
  <Override PartName="/word/media/rId184.png" ContentType="image/png"/>
  <Override PartName="/word/media/rId318.png" ContentType="image/png"/>
  <Override PartName="/word/media/rId299.png" ContentType="image/png"/>
  <Override PartName="/word/media/rId226.png" ContentType="image/png"/>
  <Override PartName="/word/media/rId290.png" ContentType="image/png"/>
  <Override PartName="/word/media/rId321.png" ContentType="image/png"/>
  <Override PartName="/word/media/rId162.png" ContentType="image/png"/>
  <Override PartName="/word/media/rId165.png" ContentType="image/png"/>
  <Override PartName="/word/media/rId168.png" ContentType="image/png"/>
  <Override PartName="/word/media/rId175.png" ContentType="image/png"/>
  <Override PartName="/word/media/rId344.png" ContentType="image/png"/>
  <Override PartName="/word/media/rId363.png" ContentType="image/png"/>
  <Override PartName="/word/media/rId404.png" ContentType="image/png"/>
  <Override PartName="/word/media/rId128.png" ContentType="image/png"/>
  <Override PartName="/word/media/rId142.png" ContentType="image/png"/>
  <Override PartName="/word/media/rId309.png" ContentType="image/png"/>
  <Override PartName="/word/media/rId312.png" ContentType="image/png"/>
  <Override PartName="/word/media/rId389.png" ContentType="image/png"/>
  <Override PartName="/word/media/rId271.png" ContentType="image/png"/>
  <Override PartName="/word/media/rId373.png" ContentType="image/png"/>
  <Override PartName="/word/media/rId148.png" ContentType="image/png"/>
  <Override PartName="/word/media/rId145.png" ContentType="image/png"/>
  <Override PartName="/word/media/rId172.png" ContentType="image/png"/>
  <Override PartName="/word/media/rId336.png" ContentType="image/png"/>
  <Override PartName="/word/media/rId265.png" ContentType="image/png"/>
  <Override PartName="/word/media/rId2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2023-01-13</w:t>
      </w:r>
    </w:p>
    <w:bookmarkStart w:id="55"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prevention science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ECKLS-K,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8"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6"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5"/>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7"/>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29"/>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2"/>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4"/>
      </w:r>
    </w:p>
    <w:bookmarkEnd w:id="36"/>
    <w:bookmarkStart w:id="47"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7"/>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39"/>
      </w:r>
      <w:r>
        <w:t xml:space="preserve"> In their 2021 study of 488 researchers who had published in a psychology journal between 2010 and 2018, Kovacs et al.</w:t>
      </w:r>
      <w:r>
        <w:rPr>
          <w:rStyle w:val="FootnoteReference"/>
        </w:rPr>
        <w:footnoteReference w:id="41"/>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3"/>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5"/>
      </w:r>
    </w:p>
    <w:bookmarkEnd w:id="47"/>
    <w:bookmarkEnd w:id="48"/>
    <w:bookmarkStart w:id="51"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49"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49"/>
    <w:bookmarkStart w:id="50"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0"/>
    <w:bookmarkEnd w:id="51"/>
    <w:bookmarkStart w:id="52"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2"/>
    <w:bookmarkStart w:id="53"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3"/>
    <w:bookmarkStart w:id="54"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4"/>
    <w:bookmarkEnd w:id="55"/>
    <w:bookmarkStart w:id="125" w:name="research-data-management"/>
    <w:p>
      <w:pPr>
        <w:pStyle w:val="Heading1"/>
      </w:pPr>
      <w:r>
        <w:rPr>
          <w:rStyle w:val="SectionNumber"/>
        </w:rPr>
        <w:t xml:space="preserve">2</w:t>
      </w:r>
      <w:r>
        <w:tab/>
      </w:r>
      <w:r>
        <w:t xml:space="preserve">Research Data Management</w:t>
      </w:r>
    </w:p>
    <w:bookmarkStart w:id="60"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6"/>
      </w:r>
      <w:r>
        <w:t xml:space="preserve"> Research study data includes materials generated or collected throughout a research process.</w:t>
      </w:r>
      <w:r>
        <w:rPr>
          <w:rStyle w:val="FootnoteReference"/>
        </w:rPr>
        <w:footnoteReference w:id="58"/>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0"/>
    <w:bookmarkStart w:id="74"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1"/>
      </w:r>
      <w:r>
        <w:t xml:space="preserve"> Some fields have adopted standards across the research life cycle, such as CDISC standards used by clinical researchers,</w:t>
      </w:r>
      <w:r>
        <w:rPr>
          <w:rStyle w:val="FootnoteReference"/>
        </w:rPr>
        <w:footnoteReference w:id="62"/>
      </w:r>
      <w:r>
        <w:t xml:space="preserve"> other fields have adopted standards specifically around metadata, such as the TEI standards used in digital humanities,</w:t>
      </w:r>
      <w:r>
        <w:rPr>
          <w:rStyle w:val="FootnoteReference"/>
        </w:rPr>
        <w:footnoteReference w:id="64"/>
      </w:r>
      <w:r>
        <w:t xml:space="preserve"> and through grassroots efforts, other fields other such as psychology are developing their own standards for things such as data structure and documentation based on the FAIR principles.</w:t>
      </w:r>
      <w:r>
        <w:rPr>
          <w:rStyle w:val="FootnoteReference"/>
        </w:rPr>
        <w:footnoteReference w:id="66"/>
      </w:r>
      <w:r>
        <w:t xml:space="preserve"> Yet, it is common knowledge that there are currently no agreed-upon norms for how to structure and share data in the field of education.</w:t>
      </w:r>
      <w:r>
        <w:rPr>
          <w:rStyle w:val="FootnoteReference"/>
        </w:rPr>
        <w:footnoteReference w:id="67"/>
      </w:r>
      <w:r>
        <w:t xml:space="preserve"> The rules for what data should be produced and how it should be documented is often left up to each individual team, as long as external compliance requirements are met.</w:t>
      </w:r>
      <w:r>
        <w:rPr>
          <w:rStyle w:val="FootnoteReference"/>
        </w:rPr>
        <w:footnoteReference w:id="69"/>
      </w:r>
      <w:r>
        <w:t xml:space="preserve"> However, with a growing interest in open science practices and expanding requirements for federally funded research to make data publicly available,</w:t>
      </w:r>
      <w:r>
        <w:rPr>
          <w:rStyle w:val="FootnoteReference"/>
        </w:rPr>
        <w:footnoteReference w:id="71"/>
      </w:r>
      <w:r>
        <w:t xml:space="preserve"> data repositories will most likely begin to play a stronger role in promoting standards around data formats and documentation.</w:t>
      </w:r>
      <w:r>
        <w:rPr>
          <w:rStyle w:val="FootnoteReference"/>
        </w:rPr>
        <w:footnoteReference w:id="73"/>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4"/>
    <w:bookmarkStart w:id="101"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89"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5"/>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6"/>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7"/>
      </w:r>
      <w:r>
        <w:t xml:space="preserve"> </w:t>
      </w:r>
      <w:r>
        <w:t xml:space="preserve">as an example).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79"/>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1"/>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3"/>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5"/>
      </w:r>
      <w:r>
        <w:t xml:space="preserve"> Well-managed data with sufficient documentation can also lead to more collaboration and greater impact as collaborators are able to access and understand your data with ease.</w:t>
      </w:r>
      <w:r>
        <w:rPr>
          <w:rStyle w:val="FootnoteReference"/>
        </w:rPr>
        <w:footnoteReference w:id="86"/>
      </w:r>
    </w:p>
    <w:bookmarkEnd w:id="89"/>
    <w:bookmarkStart w:id="100"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Facilitates use of your data</w:t>
      </w:r>
      <w:r>
        <w:t xml:space="preserve">: Every member of your research team being able to able to find and understand your project data and documentation is a huge benefit. It allows for the easy use and re-use of your data, and hastens efforts like the publication process.</w:t>
      </w:r>
      <w:r>
        <w:rPr>
          <w:rStyle w:val="FootnoteReference"/>
        </w:rPr>
        <w:footnoteReference w:id="90"/>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2"/>
      </w:r>
      <w:r>
        <w:t xml:space="preserve"> Furthermore, good data management enables continuity when handing off projects to collaborators or when picking up your own projects after a long hiatus.</w:t>
      </w:r>
      <w:r>
        <w:rPr>
          <w:rStyle w:val="FootnoteReference"/>
        </w:rPr>
        <w:footnoteReference w:id="93"/>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Reduces data curation debt</w:t>
      </w:r>
      <w:r>
        <w:t xml:space="preserve">: Taking the time to implement quality data management through the entire research study reduces data curation debt caused by suboptimal data management practices.</w:t>
      </w:r>
      <w:r>
        <w:rPr>
          <w:rStyle w:val="FootnoteReference"/>
        </w:rPr>
        <w:footnoteReference w:id="94"/>
      </w:r>
      <w:r>
        <w:t xml:space="preserve"> Having poorly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6"/>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98"/>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0"/>
    <w:bookmarkEnd w:id="101"/>
    <w:bookmarkStart w:id="119"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6"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2"/>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4"/>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can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06"/>
    <w:bookmarkStart w:id="109"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7"/>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09"/>
    <w:bookmarkStart w:id="118"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0"/>
      </w:r>
      <w:r>
        <w:t xml:space="preserve"> Organizations such as the Center for Open Science,</w:t>
      </w:r>
      <w:r>
        <w:rPr>
          <w:rStyle w:val="FootnoteReference"/>
        </w:rPr>
        <w:footnoteReference w:id="112"/>
      </w:r>
      <w:r>
        <w:t xml:space="preserve"> have become a well-known proponents of open science, offering the open science framework (OSF)</w:t>
      </w:r>
      <w:r>
        <w:rPr>
          <w:rStyle w:val="FootnoteReference"/>
        </w:rPr>
        <w:footnoteReference w:id="114"/>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6"/>
      </w:r>
    </w:p>
    <w:bookmarkEnd w:id="118"/>
    <w:bookmarkEnd w:id="119"/>
    <w:bookmarkStart w:id="120"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0"/>
    <w:bookmarkStart w:id="124"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the image below how throughout the project, data management and project coordination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2" name="Picture"/>
            <a:graphic>
              <a:graphicData uri="http://schemas.openxmlformats.org/drawingml/2006/picture">
                <pic:pic>
                  <pic:nvPicPr>
                    <pic:cNvPr descr="img/cl_lifecycle2.PNG" id="123" name="Picture"/>
                    <pic:cNvPicPr>
                      <a:picLocks noChangeArrowheads="1" noChangeAspect="1"/>
                    </pic:cNvPicPr>
                  </pic:nvPicPr>
                  <pic:blipFill>
                    <a:blip r:embed="rId121"/>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4"/>
    <w:bookmarkEnd w:id="125"/>
    <w:bookmarkStart w:id="183"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38"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6"/>
      </w:r>
      <w:r>
        <w:t xml:space="preserve"> In the world of quantitative education research, we are often working with digital data in the form of a dataset, a structured collection of data. These datasets are organized in a rectangular format which allow the data to be machine 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29" name="Picture"/>
            <a:graphic>
              <a:graphicData uri="http://schemas.openxmlformats.org/drawingml/2006/picture">
                <pic:pic>
                  <pic:nvPicPr>
                    <pic:cNvPr descr="img/rectangle.PNG" id="130" name="Picture"/>
                    <pic:cNvPicPr>
                      <a:picLocks noChangeArrowheads="1" noChangeAspect="1"/>
                    </pic:cNvPicPr>
                  </pic:nvPicPr>
                  <pic:blipFill>
                    <a:blip r:embed="rId128"/>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2"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 data tracking section</w:t>
      </w:r>
      <w:r>
        <w:t xml:space="preserve"> </w:t>
      </w:r>
      <w:r>
        <w:t xml:space="preserve">8.3</w:t>
      </w:r>
      <w:r>
        <w:t xml:space="preserve">.</w:t>
      </w:r>
    </w:p>
    <w:bookmarkStart w:id="131" w:name="column-attributes"/>
    <w:p>
      <w:pPr>
        <w:pStyle w:val="Heading4"/>
      </w:pPr>
      <w:r>
        <w:rPr>
          <w:rStyle w:val="SectionNumber"/>
        </w:rPr>
        <w:t xml:space="preserve">3.1.1.1</w:t>
      </w:r>
      <w:r>
        <w:tab/>
      </w:r>
      <w:r>
        <w:t xml:space="preserve">Column attributes</w:t>
      </w:r>
    </w:p>
    <w:p>
      <w:pPr>
        <w:pStyle w:val="FirstParagraph"/>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 Style Guides [</w:t>
      </w:r>
      <w:r>
        <w:rPr>
          <w:bCs/>
          <w:b/>
        </w:rPr>
        <w:t xml:space="preserve">see style guides</w:t>
      </w:r>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1"/>
    <w:bookmarkEnd w:id="132"/>
    <w:bookmarkStart w:id="133"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3"/>
    <w:bookmarkStart w:id="137"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the fall of 2022.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2.1: Representation of a cell value" title="" id="135" name="Picture"/>
            <a:graphic>
              <a:graphicData uri="http://schemas.openxmlformats.org/drawingml/2006/picture">
                <pic:pic>
                  <pic:nvPicPr>
                    <pic:cNvPr descr="img/cell_value.PNG" id="136" name="Picture"/>
                    <pic:cNvPicPr>
                      <a:picLocks noChangeArrowheads="1" noChangeAspect="1"/>
                    </pic:cNvPicPr>
                  </pic:nvPicPr>
                  <pic:blipFill>
                    <a:blip r:embed="rId134"/>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2.1: Representation of a cell value</w:t>
      </w:r>
    </w:p>
    <w:bookmarkEnd w:id="137"/>
    <w:bookmarkEnd w:id="138"/>
    <w:bookmarkStart w:id="160"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39"/>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2: A comparison of non-rectangular and rectangular data" title="" id="143" name="Picture"/>
            <a:graphic>
              <a:graphicData uri="http://schemas.openxmlformats.org/drawingml/2006/picture">
                <pic:pic>
                  <pic:nvPicPr>
                    <pic:cNvPr descr="img/rectangle2.PNG" id="144" name="Picture"/>
                    <pic:cNvPicPr>
                      <a:picLocks noChangeArrowheads="1" noChangeAspect="1"/>
                    </pic:cNvPicPr>
                  </pic:nvPicPr>
                  <pic:blipFill>
                    <a:blip r:embed="rId142"/>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3.2: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3: A comparison of variables adhering and not adhering to a data type" title="" id="146" name="Picture"/>
            <a:graphic>
              <a:graphicData uri="http://schemas.openxmlformats.org/drawingml/2006/picture">
                <pic:pic>
                  <pic:nvPicPr>
                    <pic:cNvPr descr="img/var_type.PNG" id="147" name="Picture"/>
                    <pic:cNvPicPr>
                      <a:picLocks noChangeArrowheads="1" noChangeAspect="1"/>
                    </pic:cNvPicPr>
                  </pic:nvPicPr>
                  <pic:blipFill>
                    <a:blip r:embed="rId145"/>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3.3: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4: A comparison of two things being measured in one variable and two things being measured across two variables" title="" id="149" name="Picture"/>
            <a:graphic>
              <a:graphicData uri="http://schemas.openxmlformats.org/drawingml/2006/picture">
                <pic:pic>
                  <pic:nvPicPr>
                    <pic:cNvPr descr="img/two_things.PNG" id="150" name="Picture"/>
                    <pic:cNvPicPr>
                      <a:picLocks noChangeArrowheads="1" noChangeAspect="1"/>
                    </pic:cNvPicPr>
                  </pic:nvPicPr>
                  <pic:blipFill>
                    <a:blip r:embed="rId148"/>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3.4: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5: A comparison of of variables with empty cells and variables with not empty cells" title="" id="152" name="Picture"/>
            <a:graphic>
              <a:graphicData uri="http://schemas.openxmlformats.org/drawingml/2006/picture">
                <pic:pic>
                  <pic:nvPicPr>
                    <pic:cNvPr descr="img/explicit.PNG" id="153" name="Picture"/>
                    <pic:cNvPicPr>
                      <a:picLocks noChangeArrowheads="1" noChangeAspect="1"/>
                    </pic:cNvPicPr>
                  </pic:nvPicPr>
                  <pic:blipFill>
                    <a:blip r:embed="rId151"/>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3.5: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6: A comparison of variables with implicit values and variables with explicit values" title="" id="155" name="Picture"/>
            <a:graphic>
              <a:graphicData uri="http://schemas.openxmlformats.org/drawingml/2006/picture">
                <pic:pic>
                  <pic:nvPicPr>
                    <pic:cNvPr descr="img/cell_color.PNG" id="156" name="Picture"/>
                    <pic:cNvPicPr>
                      <a:picLocks noChangeArrowheads="1" noChangeAspect="1"/>
                    </pic:cNvPicPr>
                  </pic:nvPicPr>
                  <pic:blipFill>
                    <a:blip r:embed="rId154"/>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3.6: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below</w:t>
      </w:r>
      <w:r>
        <w:t xml:space="preserve"> </w:t>
      </w:r>
      <w:r>
        <w:t xml:space="preserve">3.3.2</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7: A comparison of data with duplicate cases and data with no duplicate cases" title="" id="158" name="Picture"/>
            <a:graphic>
              <a:graphicData uri="http://schemas.openxmlformats.org/drawingml/2006/picture">
                <pic:pic>
                  <pic:nvPicPr>
                    <pic:cNvPr descr="img/duplicate.PNG" id="159" name="Picture"/>
                    <pic:cNvPicPr>
                      <a:picLocks noChangeArrowheads="1" noChangeAspect="1"/>
                    </pic:cNvPicPr>
                  </pic:nvPicPr>
                  <pic:blipFill>
                    <a:blip r:embed="rId157"/>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3.7: A comparison of data with duplicate cases and data with no duplicate cases</w:t>
      </w:r>
    </w:p>
    <w:bookmarkEnd w:id="160"/>
    <w:bookmarkStart w:id="181"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1"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1"/>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And each table has a primary key that identifies unique entries within a table and each table can be connected through both primary and foreign keys. This linking of tables creates a relational database and we will talk more about this structure when we discuss participant data tracking</w:t>
      </w:r>
      <w:r>
        <w:t xml:space="preserve"> </w:t>
      </w:r>
      <w:r>
        <w:t xml:space="preserve">??</w:t>
      </w:r>
      <w:r>
        <w:t xml:space="preserve">.</w:t>
      </w:r>
    </w:p>
    <w:p>
      <w:pPr>
        <w:pStyle w:val="BodyText"/>
      </w:pPr>
      <w:r>
        <w:t xml:space="preserve">Let’s take the simplest example, where we only have primary keys in our data. Here we collected two pieces of data from students (a survey and an assessment) in one time period. The image below 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8: Linking data through primary keys" title="" id="163" name="Picture"/>
            <a:graphic>
              <a:graphicData uri="http://schemas.openxmlformats.org/drawingml/2006/picture">
                <pic:pic>
                  <pic:nvPicPr>
                    <pic:cNvPr descr="img/link0.PNG" id="164" name="Picture"/>
                    <pic:cNvPicPr>
                      <a:picLocks noChangeArrowheads="1" noChangeAspect="1"/>
                    </pic:cNvPicPr>
                  </pic:nvPicPr>
                  <pic:blipFill>
                    <a:blip r:embed="rId162"/>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3.8: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The image below 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9: Linking data through foreign keys" title="" id="166" name="Picture"/>
            <a:graphic>
              <a:graphicData uri="http://schemas.openxmlformats.org/drawingml/2006/picture">
                <pic:pic>
                  <pic:nvPicPr>
                    <pic:cNvPr descr="img/link1.PNG" id="167" name="Picture"/>
                    <pic:cNvPicPr>
                      <a:picLocks noChangeArrowheads="1" noChangeAspect="1"/>
                    </pic:cNvPicPr>
                  </pic:nvPicPr>
                  <pic:blipFill>
                    <a:blip r:embed="rId165"/>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3.9: Linking data through foreign keys</w:t>
      </w:r>
    </w:p>
    <w:p>
      <w:pPr>
        <w:pStyle w:val="BodyText"/>
      </w:pPr>
      <w:r>
        <w:t xml:space="preserve">And as you can imagine, as we add more forms, or begin to collect data across time, the database structure begins to become even more complex. Here 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0: Linking data through primary and foreign keys" title="" id="169" name="Picture"/>
            <a:graphic>
              <a:graphicData uri="http://schemas.openxmlformats.org/drawingml/2006/picture">
                <pic:pic>
                  <pic:nvPicPr>
                    <pic:cNvPr descr="img/link2.PNG" id="170" name="Picture"/>
                    <pic:cNvPicPr>
                      <a:picLocks noChangeArrowheads="1" noChangeAspect="1"/>
                    </pic:cNvPicPr>
                  </pic:nvPicPr>
                  <pic:blipFill>
                    <a:blip r:embed="rId168"/>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3.10: Linking data through primary and foreign keys</w:t>
      </w:r>
    </w:p>
    <w:bookmarkEnd w:id="171"/>
    <w:bookmarkStart w:id="180"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 data cleaning section [</w:t>
      </w:r>
      <w:r>
        <w:rPr>
          <w:bCs/>
          <w:b/>
        </w:rPr>
        <w:t xml:space="preserve">see cleaning</w:t>
      </w:r>
      <w:r>
        <w:t xml:space="preserve">].</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1: Data structured in wide format" title="" id="173" name="Picture"/>
            <a:graphic>
              <a:graphicData uri="http://schemas.openxmlformats.org/drawingml/2006/picture">
                <pic:pic>
                  <pic:nvPicPr>
                    <pic:cNvPr descr="img/wide.PNG" id="174" name="Picture"/>
                    <pic:cNvPicPr>
                      <a:picLocks noChangeArrowheads="1" noChangeAspect="1"/>
                    </pic:cNvPicPr>
                  </pic:nvPicPr>
                  <pic:blipFill>
                    <a:blip r:embed="rId172"/>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3.11: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2: Data structured in long format" title="" id="176" name="Picture"/>
            <a:graphic>
              <a:graphicData uri="http://schemas.openxmlformats.org/drawingml/2006/picture">
                <pic:pic>
                  <pic:nvPicPr>
                    <pic:cNvPr descr="img/long.PNG" id="177" name="Picture"/>
                    <pic:cNvPicPr>
                      <a:picLocks noChangeArrowheads="1" noChangeAspect="1"/>
                    </pic:cNvPicPr>
                  </pic:nvPicPr>
                  <pic:blipFill>
                    <a:blip r:embed="rId175"/>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3.12: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78"/>
      </w:r>
      <w:r>
        <w:t xml:space="preserve"> We will further review decision making around data structure in our data cleaning chapter [</w:t>
      </w:r>
      <w:r>
        <w:rPr>
          <w:bCs/>
          <w:b/>
        </w:rPr>
        <w:t xml:space="preserve">see data cleaning</w:t>
      </w:r>
      <w:r>
        <w:t xml:space="preserve">].</w:t>
      </w:r>
    </w:p>
    <w:bookmarkEnd w:id="180"/>
    <w:bookmarkEnd w:id="181"/>
    <w:bookmarkStart w:id="182"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 data sharing [</w:t>
      </w:r>
      <w:r>
        <w:rPr>
          <w:bCs/>
          <w:b/>
        </w:rPr>
        <w:t xml:space="preserve">see data sharing</w:t>
      </w:r>
      <w:r>
        <w:t xml:space="preserve">].</w:t>
      </w:r>
    </w:p>
    <w:bookmarkEnd w:id="182"/>
    <w:bookmarkEnd w:id="183"/>
    <w:bookmarkStart w:id="225"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3.1: Data management plan in the research project life cycle" title="" id="185" name="Picture"/>
            <a:graphic>
              <a:graphicData uri="http://schemas.openxmlformats.org/drawingml/2006/picture">
                <pic:pic>
                  <pic:nvPicPr>
                    <pic:cNvPr descr="img/lifecycle_dmp2.PNG" id="186" name="Picture"/>
                    <pic:cNvPicPr>
                      <a:picLocks noChangeArrowheads="1" noChangeAspect="1"/>
                    </pic:cNvPicPr>
                  </pic:nvPicPr>
                  <pic:blipFill>
                    <a:blip r:embed="rId184"/>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bookmarkStart w:id="195"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7"/>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89"/>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0"/>
      </w:r>
      <w:r>
        <w:t xml:space="preserve">.</w:t>
      </w:r>
    </w:p>
    <w:bookmarkStart w:id="194"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2"/>
      </w:r>
      <w:r>
        <w:t xml:space="preserve">.</w:t>
      </w:r>
    </w:p>
    <w:bookmarkEnd w:id="194"/>
    <w:bookmarkEnd w:id="195"/>
    <w:bookmarkStart w:id="206"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5"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6"/>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 metadata will you create? (Consider project level, dataset level and variable level metadata)</w:t>
      </w:r>
    </w:p>
    <w:p>
      <w:pPr>
        <w:numPr>
          <w:ilvl w:val="1"/>
          <w:numId w:val="1028"/>
        </w:numPr>
        <w:pStyle w:val="Compact"/>
      </w:pPr>
      <w:r>
        <w:t xml:space="preserve">What format will your documentation be in? (Ex: xml, csv, pdf)</w:t>
      </w:r>
    </w:p>
    <w:p>
      <w:pPr>
        <w:numPr>
          <w:ilvl w:val="1"/>
          <w:numId w:val="1028"/>
        </w:numPr>
        <w:pStyle w:val="Compact"/>
      </w:pPr>
      <w:r>
        <w:t xml:space="preserve">What other documentation do you plan to include when sharing data? (Ex: code, data collection instruments, protocols)</w:t>
      </w:r>
    </w:p>
    <w:p>
      <w:pPr>
        <w:numPr>
          <w:ilvl w:val="0"/>
          <w:numId w:val="1024"/>
        </w:numPr>
        <w:pStyle w:val="Compact"/>
      </w:pPr>
      <w:r>
        <w:t xml:space="preserve">Standards</w:t>
      </w:r>
    </w:p>
    <w:p>
      <w:pPr>
        <w:numPr>
          <w:ilvl w:val="1"/>
          <w:numId w:val="1029"/>
        </w:numPr>
        <w:pStyle w:val="Compact"/>
      </w:pPr>
      <w:r>
        <w:t xml:space="preserve">Are there any data or documentation standards being used? (Ex: DDI)</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199"/>
      </w:r>
    </w:p>
    <w:p>
      <w:pPr>
        <w:numPr>
          <w:ilvl w:val="0"/>
          <w:numId w:val="1036"/>
        </w:numPr>
        <w:pStyle w:val="Compact"/>
      </w:pPr>
      <w:r>
        <w:t xml:space="preserve">National Institutes of Health</w:t>
      </w:r>
      <w:r>
        <w:rPr>
          <w:rStyle w:val="FootnoteReference"/>
        </w:rPr>
        <w:footnoteReference w:id="200"/>
      </w:r>
    </w:p>
    <w:p>
      <w:pPr>
        <w:numPr>
          <w:ilvl w:val="0"/>
          <w:numId w:val="1036"/>
        </w:numPr>
        <w:pStyle w:val="Compact"/>
      </w:pPr>
      <w:r>
        <w:t xml:space="preserve">National Institute of Justice</w:t>
      </w:r>
      <w:r>
        <w:rPr>
          <w:rStyle w:val="FootnoteReference"/>
        </w:rPr>
        <w:footnoteReference w:id="201"/>
      </w:r>
    </w:p>
    <w:p>
      <w:pPr>
        <w:numPr>
          <w:ilvl w:val="0"/>
          <w:numId w:val="1036"/>
        </w:numPr>
        <w:pStyle w:val="Compact"/>
      </w:pPr>
      <w:r>
        <w:t xml:space="preserve">National Science Foundation</w:t>
      </w:r>
      <w:r>
        <w:rPr>
          <w:rStyle w:val="FootnoteReference"/>
        </w:rPr>
        <w:footnoteReference w:id="203"/>
      </w:r>
    </w:p>
    <w:bookmarkEnd w:id="205"/>
    <w:bookmarkEnd w:id="206"/>
    <w:bookmarkStart w:id="211" w:name="getting-help"/>
    <w:p>
      <w:pPr>
        <w:pStyle w:val="Heading2"/>
      </w:pPr>
      <w:r>
        <w:rPr>
          <w:rStyle w:val="SectionNumber"/>
        </w:rPr>
        <w:t xml:space="preserve">4.3</w:t>
      </w:r>
      <w:r>
        <w:tab/>
      </w:r>
      <w:r>
        <w:t xml:space="preserve">Getting help</w:t>
      </w:r>
    </w:p>
    <w:p>
      <w:pPr>
        <w:pStyle w:val="FirstParagraph"/>
      </w:pPr>
      <w:r>
        <w:t xml:space="preserve">When constructing your DMP it may be important to enlist help. If you have a data manager or data team, you will most certainly want to consult with them when writing your plan.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from the University of Virginia Library</w:t>
      </w:r>
      <w:r>
        <w:rPr>
          <w:rStyle w:val="FootnoteReference"/>
        </w:rPr>
        <w:footnoteReference w:id="207"/>
      </w:r>
      <w:r>
        <w:t xml:space="preserve">. There is also a well-known free online application called the DMPTool</w:t>
      </w:r>
      <w:r>
        <w:rPr>
          <w:rStyle w:val="FootnoteReference"/>
        </w:rPr>
        <w:footnoteReference w:id="209"/>
      </w:r>
      <w:r>
        <w:t xml:space="preserve"> </w:t>
      </w:r>
      <w:r>
        <w:t xml:space="preserve">that guides you in constructing a data management plan for many of the large funding agencies you might work with. Their site also has many searchable public DMPs that you can review for inspiration.</w:t>
      </w:r>
    </w:p>
    <w:bookmarkEnd w:id="211"/>
    <w:bookmarkStart w:id="224"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12"/>
      </w:r>
      <w:r>
        <w:t xml:space="preserve"> Make sure to review your funder’s documentation for information about allowable costs. Examples of potential allowable costs include:</w:t>
      </w:r>
      <w:r>
        <w:rPr>
          <w:rStyle w:val="FootnoteReference"/>
        </w:rPr>
        <w:footnoteReference w:id="214"/>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16"/>
      </w:r>
      <w:r>
        <w:t xml:space="preserve">, the University of Twente</w:t>
      </w:r>
      <w:r>
        <w:rPr>
          <w:rStyle w:val="FootnoteReference"/>
        </w:rPr>
        <w:footnoteReference w:id="218"/>
      </w:r>
      <w:r>
        <w:t xml:space="preserve">, Utrecht University</w:t>
      </w:r>
      <w:r>
        <w:rPr>
          <w:rStyle w:val="FootnoteReference"/>
        </w:rPr>
        <w:footnoteReference w:id="220"/>
      </w:r>
      <w:r>
        <w:t xml:space="preserve">, and DataOne</w:t>
      </w:r>
      <w:r>
        <w:rPr>
          <w:rStyle w:val="FootnoteReference"/>
        </w:rPr>
        <w:footnoteReference w:id="222"/>
      </w:r>
      <w:r>
        <w:t xml:space="preserve"> </w:t>
      </w:r>
      <w:r>
        <w:t xml:space="preserve">have put together checklists to help you think through your various potential data management costs.</w:t>
      </w:r>
    </w:p>
    <w:bookmarkEnd w:id="224"/>
    <w:bookmarkEnd w:id="225"/>
    <w:bookmarkStart w:id="289"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3.1: Planning in the research project life cycle" title="" id="227" name="Picture"/>
            <a:graphic>
              <a:graphicData uri="http://schemas.openxmlformats.org/drawingml/2006/picture">
                <pic:pic>
                  <pic:nvPicPr>
                    <pic:cNvPr descr="img/lifecycle_plan2.PNG" id="228" name="Picture"/>
                    <pic:cNvPicPr>
                      <a:picLocks noChangeArrowheads="1" noChangeAspect="1"/>
                    </pic:cNvPicPr>
                  </pic:nvPicPr>
                  <pic:blipFill>
                    <a:blip r:embed="rId226"/>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34"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29"/>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31"/>
      </w:r>
      <w:r>
        <w:t xml:space="preserve">. While data management planning can not remove all chances of errors creeping into your data</w:t>
      </w:r>
      <w:r>
        <w:rPr>
          <w:rStyle w:val="FootnoteReference"/>
        </w:rPr>
        <w:footnoteReference w:id="232"/>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33"/>
      </w:r>
    </w:p>
    <w:bookmarkEnd w:id="234"/>
    <w:bookmarkStart w:id="235"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35"/>
    <w:bookmarkStart w:id="261" w:name="planning-checklists"/>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36"/>
      </w:r>
    </w:p>
    <w:p>
      <w:pPr>
        <w:numPr>
          <w:ilvl w:val="0"/>
          <w:numId w:val="1039"/>
        </w:numPr>
        <w:pStyle w:val="Compact"/>
      </w:pPr>
      <w:r>
        <w:t xml:space="preserve">Task Management</w:t>
      </w:r>
      <w:r>
        <w:rPr>
          <w:rStyle w:val="FootnoteReference"/>
        </w:rPr>
        <w:footnoteReference w:id="238"/>
      </w:r>
    </w:p>
    <w:p>
      <w:pPr>
        <w:numPr>
          <w:ilvl w:val="0"/>
          <w:numId w:val="1039"/>
        </w:numPr>
        <w:pStyle w:val="Compact"/>
      </w:pPr>
      <w:r>
        <w:t xml:space="preserve">Documentation</w:t>
      </w:r>
      <w:r>
        <w:rPr>
          <w:rStyle w:val="FootnoteReference"/>
        </w:rPr>
        <w:footnoteReference w:id="240"/>
      </w:r>
    </w:p>
    <w:p>
      <w:pPr>
        <w:numPr>
          <w:ilvl w:val="0"/>
          <w:numId w:val="1039"/>
        </w:numPr>
        <w:pStyle w:val="Compact"/>
      </w:pPr>
      <w:r>
        <w:t xml:space="preserve">Data Collection</w:t>
      </w:r>
      <w:r>
        <w:rPr>
          <w:rStyle w:val="FootnoteReference"/>
        </w:rPr>
        <w:footnoteReference w:id="242"/>
      </w:r>
    </w:p>
    <w:p>
      <w:pPr>
        <w:numPr>
          <w:ilvl w:val="0"/>
          <w:numId w:val="1039"/>
        </w:numPr>
        <w:pStyle w:val="Compact"/>
      </w:pPr>
      <w:r>
        <w:t xml:space="preserve">Data Tracking</w:t>
      </w:r>
      <w:r>
        <w:rPr>
          <w:rStyle w:val="FootnoteReference"/>
        </w:rPr>
        <w:footnoteReference w:id="244"/>
      </w:r>
    </w:p>
    <w:p>
      <w:pPr>
        <w:numPr>
          <w:ilvl w:val="0"/>
          <w:numId w:val="1039"/>
        </w:numPr>
        <w:pStyle w:val="Compact"/>
      </w:pPr>
      <w:r>
        <w:t xml:space="preserve">Data Capture</w:t>
      </w:r>
      <w:r>
        <w:rPr>
          <w:rStyle w:val="FootnoteReference"/>
        </w:rPr>
        <w:footnoteReference w:id="246"/>
      </w:r>
    </w:p>
    <w:p>
      <w:pPr>
        <w:numPr>
          <w:ilvl w:val="0"/>
          <w:numId w:val="1039"/>
        </w:numPr>
        <w:pStyle w:val="Compact"/>
      </w:pPr>
      <w:r>
        <w:t xml:space="preserve">Data Storage and Security</w:t>
      </w:r>
      <w:r>
        <w:rPr>
          <w:rStyle w:val="FootnoteReference"/>
        </w:rPr>
        <w:footnoteReference w:id="248"/>
      </w:r>
    </w:p>
    <w:p>
      <w:pPr>
        <w:numPr>
          <w:ilvl w:val="0"/>
          <w:numId w:val="1039"/>
        </w:numPr>
        <w:pStyle w:val="Compact"/>
      </w:pPr>
      <w:r>
        <w:t xml:space="preserve">Data Cleaning</w:t>
      </w:r>
      <w:r>
        <w:rPr>
          <w:rStyle w:val="FootnoteReference"/>
        </w:rPr>
        <w:footnoteReference w:id="250"/>
      </w:r>
    </w:p>
    <w:p>
      <w:pPr>
        <w:numPr>
          <w:ilvl w:val="0"/>
          <w:numId w:val="1039"/>
        </w:numPr>
        <w:pStyle w:val="Compact"/>
      </w:pPr>
      <w:r>
        <w:t xml:space="preserve">Data Sharing</w:t>
      </w:r>
      <w:r>
        <w:rPr>
          <w:rStyle w:val="FootnoteReference"/>
        </w:rPr>
        <w:footnoteReference w:id="252"/>
      </w:r>
    </w:p>
    <w:bookmarkStart w:id="259"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54"/>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Below is a very simplified example of the decision making process, based on the Borghi and Van Gulick</w:t>
      </w:r>
      <w:r>
        <w:rPr>
          <w:rStyle w:val="FootnoteReference"/>
        </w:rPr>
        <w:footnoteReference w:id="255"/>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2.1: A simplified decision-making process" title="" id="257" name="Picture"/>
            <a:graphic>
              <a:graphicData uri="http://schemas.openxmlformats.org/drawingml/2006/picture">
                <pic:pic>
                  <pic:nvPicPr>
                    <pic:cNvPr descr="img/decision-diagram.PNG" id="258" name="Picture"/>
                    <pic:cNvPicPr>
                      <a:picLocks noChangeArrowheads="1" noChangeAspect="1"/>
                    </pic:cNvPicPr>
                  </pic:nvPicPr>
                  <pic:blipFill>
                    <a:blip r:embed="rId256"/>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2.1: A simplified decision-making process</w:t>
      </w:r>
    </w:p>
    <w:bookmarkEnd w:id="259"/>
    <w:bookmarkStart w:id="260"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60"/>
    <w:bookmarkEnd w:id="261"/>
    <w:bookmarkStart w:id="285"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62"/>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64"/>
      </w:r>
      <w:r>
        <w:t xml:space="preserve"> Your diagram can be displayed in any format that works for you and it can be as simple or as detailed as you want it to be. A template like this one below 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3.2: A simple workflow template" title="" id="266" name="Picture"/>
            <a:graphic>
              <a:graphicData uri="http://schemas.openxmlformats.org/drawingml/2006/picture">
                <pic:pic>
                  <pic:nvPicPr>
                    <pic:cNvPr descr="img/workflow1.PNG" id="267" name="Picture"/>
                    <pic:cNvPicPr>
                      <a:picLocks noChangeArrowheads="1" noChangeAspect="1"/>
                    </pic:cNvPicPr>
                  </pic:nvPicPr>
                  <pic:blipFill>
                    <a:blip r:embed="rId265"/>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3.2: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3.3: Example student survey workflow" title="" id="269" name="Picture"/>
            <a:graphic>
              <a:graphicData uri="http://schemas.openxmlformats.org/drawingml/2006/picture">
                <pic:pic>
                  <pic:nvPicPr>
                    <pic:cNvPr descr="img/workflow2.PNG" id="270" name="Picture"/>
                    <pic:cNvPicPr>
                      <a:picLocks noChangeArrowheads="1" noChangeAspect="1"/>
                    </pic:cNvPicPr>
                  </pic:nvPicPr>
                  <pic:blipFill>
                    <a:blip r:embed="rId268"/>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3.3: Example student survey workflow</w:t>
      </w:r>
    </w:p>
    <w:p>
      <w:pPr>
        <w:pStyle w:val="BodyText"/>
      </w:pPr>
      <w:r>
        <w:t xml:space="preserve">But the format truly does not matter. Here 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3.4: Example student survey workflow using a swimlane template" title="" id="272" name="Picture"/>
            <a:graphic>
              <a:graphicData uri="http://schemas.openxmlformats.org/drawingml/2006/picture">
                <pic:pic>
                  <pic:nvPicPr>
                    <pic:cNvPr descr="img/swimlane2.PNG" id="273" name="Picture"/>
                    <pic:cNvPicPr>
                      <a:picLocks noChangeArrowheads="1" noChangeAspect="1"/>
                    </pic:cNvPicPr>
                  </pic:nvPicPr>
                  <pic:blipFill>
                    <a:blip r:embed="rId271"/>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3.4: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Here is another example of the same survey workflow again, this time displayed using a Gantt chart</w:t>
      </w:r>
      <w:r>
        <w:rPr>
          <w:rStyle w:val="FootnoteReference"/>
        </w:rPr>
        <w:footnoteReference w:id="274"/>
      </w:r>
      <w:r>
        <w:t xml:space="preserve"> </w:t>
      </w:r>
      <w:r>
        <w:t xml:space="preserve">in order to better capture the expected timeline.</w:t>
      </w:r>
    </w:p>
    <w:p>
      <w:pPr>
        <w:pStyle w:val="BodyText"/>
      </w:pPr>
      <w:r>
        <w:drawing>
          <wp:inline>
            <wp:extent cx="5334000" cy="2557089"/>
            <wp:effectExtent b="0" l="0" r="0" t="0"/>
            <wp:docPr descr="" title="" id="276" name="Picture"/>
            <a:graphic>
              <a:graphicData uri="http://schemas.openxmlformats.org/drawingml/2006/picture">
                <pic:pic>
                  <pic:nvPicPr>
                    <pic:cNvPr descr="img/gantt.PNG" id="277" name="Picture"/>
                    <pic:cNvPicPr>
                      <a:picLocks noChangeArrowheads="1" noChangeAspect="1"/>
                    </pic:cNvPicPr>
                  </pic:nvPicPr>
                  <pic:blipFill>
                    <a:blip r:embed="rId275"/>
                    <a:stretch>
                      <a:fillRect/>
                    </a:stretch>
                  </pic:blipFill>
                  <pic:spPr bwMode="auto">
                    <a:xfrm>
                      <a:off x="0" y="0"/>
                      <a:ext cx="5334000" cy="2557089"/>
                    </a:xfrm>
                    <a:prstGeom prst="rect">
                      <a:avLst/>
                    </a:prstGeom>
                    <a:noFill/>
                    <a:ln w="9525">
                      <a:noFill/>
                      <a:headEnd/>
                      <a:tailEnd/>
                    </a:ln>
                  </pic:spPr>
                </pic:pic>
              </a:graphicData>
            </a:graphic>
          </wp:inline>
        </w:drawing>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w:t>
      </w:r>
      <w:r>
        <w:t xml:space="preserve"> </w:t>
      </w:r>
      <w:hyperlink w:anchor="sop">
        <w:r>
          <w:rPr>
            <w:rStyle w:val="Hyperlink"/>
          </w:rPr>
          <w:t xml:space="preserve">SOPs</w:t>
        </w:r>
      </w:hyperlink>
      <w:r>
        <w:t xml:space="preserve"> </w:t>
      </w:r>
      <w:r>
        <w:t xml:space="preserve">in our chapter on documentation.</w:t>
      </w:r>
    </w:p>
    <w:bookmarkStart w:id="281"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as well as the timing at which their tasks occur, and any dependencies associated with those tasks. It also allows your team to see how their roles and responsibilities fit into the larger research process</w:t>
      </w:r>
      <w:r>
        <w:rPr>
          <w:rStyle w:val="FootnoteReference"/>
        </w:rPr>
        <w:footnoteReference w:id="278"/>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80"/>
      </w:r>
      <w:r>
        <w:t xml:space="preserve">. And last, reviewing workflows as a team and allowing members to provide feedback may help create buy-in for data management processes, potentially leading to better adherence to practices.</w:t>
      </w:r>
    </w:p>
    <w:bookmarkEnd w:id="281"/>
    <w:bookmarkStart w:id="284"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82"/>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84"/>
    <w:bookmarkEnd w:id="285"/>
    <w:bookmarkStart w:id="288"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w:t>
      </w:r>
      <w:r>
        <w:t xml:space="preserve"> </w:t>
      </w:r>
      <w:hyperlink w:anchor="sop">
        <w:r>
          <w:rPr>
            <w:rStyle w:val="Hyperlink"/>
          </w:rPr>
          <w:t xml:space="preserve">SOPs</w:t>
        </w:r>
      </w:hyperlink>
      <w:r>
        <w:t xml:space="preserve"> </w:t>
      </w:r>
      <w:r>
        <w:t xml:space="preserve">allow us to document and share our processes, it can be tricky to manage the day to day implementation of those processes. The planning phase is a great time to choose a task management system</w:t>
      </w:r>
      <w:r>
        <w:rPr>
          <w:rStyle w:val="FootnoteReference"/>
        </w:rPr>
        <w:footnoteReference w:id="286"/>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w:t>
      </w:r>
      <w:r>
        <w:t xml:space="preserve"> </w:t>
      </w:r>
      <w:hyperlink w:anchor="supplement">
        <w:r>
          <w:rPr>
            <w:rStyle w:val="Hyperlink"/>
          </w:rPr>
          <w:t xml:space="preserve">timelines</w:t>
        </w:r>
      </w:hyperlink>
      <w:r>
        <w:t xml:space="preserve">,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288"/>
    <w:bookmarkEnd w:id="289"/>
    <w:bookmarkStart w:id="317"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3.1: Planning in the research project life cycle" title="" id="291" name="Picture"/>
            <a:graphic>
              <a:graphicData uri="http://schemas.openxmlformats.org/drawingml/2006/picture">
                <pic:pic>
                  <pic:nvPicPr>
                    <pic:cNvPr descr="img/lifecycle_rr2.PNG" id="292" name="Picture"/>
                    <pic:cNvPicPr>
                      <a:picLocks noChangeArrowheads="1" noChangeAspect="1"/>
                    </pic:cNvPicPr>
                  </pic:nvPicPr>
                  <pic:blipFill>
                    <a:blip r:embed="rId290"/>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293"/>
      </w:r>
      <w:r>
        <w:t xml:space="preserve"> </w:t>
      </w:r>
      <w:r>
        <w:t xml:space="preserve">for many reasons including for the security of data, the continuity of practices, and for the standardization of workflows.</w:t>
      </w:r>
    </w:p>
    <w:bookmarkStart w:id="303"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295"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295"/>
    <w:bookmarkStart w:id="296"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296"/>
    <w:bookmarkStart w:id="297"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297"/>
    <w:bookmarkStart w:id="298"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or even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298"/>
    <w:bookmarkStart w:id="302"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role isn’t shown on original diagram but their work is happening alongside the data collection cycle.</w:t>
      </w:r>
    </w:p>
    <w:p>
      <w:pPr>
        <w:pStyle w:val="CaptionedFigure"/>
      </w:pPr>
      <w:r>
        <w:drawing>
          <wp:inline>
            <wp:extent cx="5334000" cy="2947957"/>
            <wp:effectExtent b="0" l="0" r="0" t="0"/>
            <wp:docPr descr="Figure 2.1: Life cycle diagram updated to show hidden processes" title="" id="300" name="Picture"/>
            <a:graphic>
              <a:graphicData uri="http://schemas.openxmlformats.org/drawingml/2006/picture">
                <pic:pic>
                  <pic:nvPicPr>
                    <pic:cNvPr descr="img/lifecycle_intervention2.PNG" id="301" name="Picture"/>
                    <pic:cNvPicPr>
                      <a:picLocks noChangeArrowheads="1" noChangeAspect="1"/>
                    </pic:cNvPicPr>
                  </pic:nvPicPr>
                  <pic:blipFill>
                    <a:blip r:embed="rId299"/>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2.1: Life cycle diagram updated to show hidden processes</w:t>
      </w:r>
    </w:p>
    <w:bookmarkEnd w:id="302"/>
    <w:bookmarkEnd w:id="303"/>
    <w:bookmarkStart w:id="316"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04"/>
      </w:r>
    </w:p>
    <w:p>
      <w:pPr>
        <w:numPr>
          <w:ilvl w:val="0"/>
          <w:numId w:val="1050"/>
        </w:numPr>
        <w:pStyle w:val="Compact"/>
      </w:pPr>
      <w:r>
        <w:t xml:space="preserve">To assign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w:t>
      </w:r>
    </w:p>
    <w:p>
      <w:pPr>
        <w:numPr>
          <w:ilvl w:val="1"/>
          <w:numId w:val="1051"/>
        </w:numPr>
        <w:pStyle w:val="Compact"/>
      </w:pPr>
      <w:r>
        <w:t xml:space="preserve">Number of responsibilities assigned to each team member (not overloading any one team member)</w:t>
      </w:r>
    </w:p>
    <w:p>
      <w:pPr>
        <w:numPr>
          <w:ilvl w:val="0"/>
          <w:numId w:val="1050"/>
        </w:numPr>
        <w:pStyle w:val="Compact"/>
      </w:pPr>
      <w:r>
        <w:t xml:space="preserve">To assess the skills needed for responsibilities</w:t>
      </w:r>
    </w:p>
    <w:p>
      <w:pPr>
        <w:numPr>
          <w:ilvl w:val="0"/>
          <w:numId w:val="1050"/>
        </w:numPr>
        <w:pStyle w:val="Compact"/>
      </w:pPr>
      <w:r>
        <w:t xml:space="preserve">To 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Start w:id="315" w:name="documenting-roles-and-responsibilities"/>
    <w:p>
      <w:pPr>
        <w:pStyle w:val="Heading3"/>
      </w:pPr>
      <w:r>
        <w:rPr>
          <w:rStyle w:val="SectionNumber"/>
        </w:rPr>
        <w:t xml:space="preserve">6.2.1</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06"/>
      </w:r>
      <w:r>
        <w:t xml:space="preserve"> In addition to being a planning document,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Below 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3.2: Roles and responsibilities document organized by role" title="" id="310" name="Picture"/>
            <a:graphic>
              <a:graphicData uri="http://schemas.openxmlformats.org/drawingml/2006/picture">
                <pic:pic>
                  <pic:nvPicPr>
                    <pic:cNvPr descr="img/roles_responsibility1.PNG" id="311" name="Picture"/>
                    <pic:cNvPicPr>
                      <a:picLocks noChangeArrowheads="1" noChangeAspect="1"/>
                    </pic:cNvPicPr>
                  </pic:nvPicPr>
                  <pic:blipFill>
                    <a:blip r:embed="rId309"/>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3.2: Roles and responsibilities document organized by role</w:t>
      </w:r>
    </w:p>
    <w:p>
      <w:pPr>
        <w:pStyle w:val="CaptionedFigure"/>
      </w:pPr>
      <w:r>
        <w:drawing>
          <wp:inline>
            <wp:extent cx="5334000" cy="3664516"/>
            <wp:effectExtent b="0" l="0" r="0" t="0"/>
            <wp:docPr descr="Figure 3.3: Roles and responsibilities document organized by phase" title="" id="313" name="Picture"/>
            <a:graphic>
              <a:graphicData uri="http://schemas.openxmlformats.org/drawingml/2006/picture">
                <pic:pic>
                  <pic:nvPicPr>
                    <pic:cNvPr descr="img/roles_responsibility2.PNG" id="314" name="Picture"/>
                    <pic:cNvPicPr>
                      <a:picLocks noChangeArrowheads="1" noChangeAspect="1"/>
                    </pic:cNvPicPr>
                  </pic:nvPicPr>
                  <pic:blipFill>
                    <a:blip r:embed="rId312"/>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3.3: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skillsets in the following buckets:</w:t>
      </w:r>
    </w:p>
    <w:p>
      <w:pPr>
        <w:numPr>
          <w:ilvl w:val="0"/>
          <w:numId w:val="1054"/>
        </w:numPr>
        <w:pStyle w:val="Compact"/>
      </w:pPr>
      <w:r>
        <w:t xml:space="preserve">Interpersonal skills</w:t>
      </w:r>
    </w:p>
    <w:p>
      <w:pPr>
        <w:numPr>
          <w:ilvl w:val="1"/>
          <w:numId w:val="1055"/>
        </w:numPr>
        <w:pStyle w:val="Compact"/>
      </w:pPr>
      <w:r>
        <w:t xml:space="preserve">Detail oriented</w:t>
      </w:r>
    </w:p>
    <w:p>
      <w:pPr>
        <w:numPr>
          <w:ilvl w:val="1"/>
          <w:numId w:val="1055"/>
        </w:numPr>
        <w:pStyle w:val="Compact"/>
      </w:pPr>
      <w:r>
        <w:t xml:space="preserve">Organized</w:t>
      </w:r>
    </w:p>
    <w:p>
      <w:pPr>
        <w:numPr>
          <w:ilvl w:val="1"/>
          <w:numId w:val="1055"/>
        </w:numPr>
        <w:pStyle w:val="Compact"/>
      </w:pPr>
      <w:r>
        <w:t xml:space="preserve">Problem solver</w:t>
      </w:r>
    </w:p>
    <w:p>
      <w:pPr>
        <w:numPr>
          <w:ilvl w:val="1"/>
          <w:numId w:val="1055"/>
        </w:numPr>
        <w:pStyle w:val="Compact"/>
      </w:pPr>
      <w:r>
        <w:t xml:space="preserve">Inquisitive</w:t>
      </w:r>
    </w:p>
    <w:p>
      <w:pPr>
        <w:numPr>
          <w:ilvl w:val="1"/>
          <w:numId w:val="1055"/>
        </w:numPr>
        <w:pStyle w:val="Compact"/>
      </w:pPr>
      <w:r>
        <w:t xml:space="preserve">Excellent communicator (bridging gaps between technical audiences and non-technical audiences)</w:t>
      </w:r>
    </w:p>
    <w:p>
      <w:pPr>
        <w:numPr>
          <w:ilvl w:val="0"/>
          <w:numId w:val="1054"/>
        </w:numPr>
        <w:pStyle w:val="Compact"/>
      </w:pPr>
      <w:r>
        <w:t xml:space="preserve">Domain skills</w:t>
      </w:r>
    </w:p>
    <w:p>
      <w:pPr>
        <w:numPr>
          <w:ilvl w:val="1"/>
          <w:numId w:val="1056"/>
        </w:numPr>
        <w:pStyle w:val="Compact"/>
      </w:pPr>
      <w:r>
        <w:t xml:space="preserve">Experience working with education data</w:t>
      </w:r>
    </w:p>
    <w:p>
      <w:pPr>
        <w:numPr>
          <w:ilvl w:val="1"/>
          <w:numId w:val="1056"/>
        </w:numPr>
        <w:pStyle w:val="Compact"/>
      </w:pPr>
      <w:r>
        <w:t xml:space="preserve">Understands data privacy (FERPA, HIPAA)</w:t>
      </w:r>
    </w:p>
    <w:p>
      <w:pPr>
        <w:numPr>
          <w:ilvl w:val="0"/>
          <w:numId w:val="1054"/>
        </w:numPr>
        <w:pStyle w:val="Compact"/>
      </w:pPr>
      <w:r>
        <w:t xml:space="preserve">Technical skills</w:t>
      </w:r>
    </w:p>
    <w:p>
      <w:pPr>
        <w:numPr>
          <w:ilvl w:val="1"/>
          <w:numId w:val="1057"/>
        </w:numPr>
        <w:pStyle w:val="Compact"/>
      </w:pPr>
      <w:r>
        <w:t xml:space="preserve">Understanding of database structure</w:t>
      </w:r>
    </w:p>
    <w:p>
      <w:pPr>
        <w:numPr>
          <w:ilvl w:val="1"/>
          <w:numId w:val="1057"/>
        </w:numPr>
        <w:pStyle w:val="Compact"/>
      </w:pPr>
      <w:r>
        <w:t xml:space="preserve">Experience building data pipelines</w:t>
      </w:r>
    </w:p>
    <w:p>
      <w:pPr>
        <w:numPr>
          <w:ilvl w:val="1"/>
          <w:numId w:val="1057"/>
        </w:numPr>
        <w:pStyle w:val="Compact"/>
      </w:pPr>
      <w:r>
        <w:t xml:space="preserve">Coding experience</w:t>
      </w:r>
    </w:p>
    <w:p>
      <w:pPr>
        <w:numPr>
          <w:ilvl w:val="1"/>
          <w:numId w:val="1057"/>
        </w:numPr>
        <w:pStyle w:val="Compact"/>
      </w:pPr>
      <w:r>
        <w:t xml:space="preserve">Specific software/tool experience</w:t>
      </w:r>
    </w:p>
    <w:p>
      <w:pPr>
        <w:pStyle w:val="FirstParagraph"/>
      </w:pPr>
      <w:r>
        <w:t xml:space="preserve">The specific skills needed for each role will depend on your project needs as well as the skillsets of the other members of the team.</w:t>
      </w:r>
    </w:p>
    <w:p>
      <w:pPr>
        <w:numPr>
          <w:ilvl w:val="0"/>
          <w:numId w:val="1058"/>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9"/>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start assigning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60"/>
        </w:numPr>
        <w:pStyle w:val="Compact"/>
      </w:pPr>
      <w:r>
        <w:t xml:space="preserve">Contingency plans</w:t>
      </w:r>
    </w:p>
    <w:p>
      <w:pPr>
        <w:pStyle w:val="FirstParagraph"/>
      </w:pPr>
      <w:r>
        <w:t xml:space="preserve">In your document you can also add notes about backup plans should a staff member leave the project or be absent for an extended period of time. This may include cross training staff or a plan for training replacement staff.</w:t>
      </w:r>
    </w:p>
    <w:p>
      <w:pPr>
        <w:numPr>
          <w:ilvl w:val="0"/>
          <w:numId w:val="1061"/>
        </w:numPr>
        <w:pStyle w:val="Compact"/>
      </w:pPr>
      <w:r>
        <w:t xml:space="preserve">Other additions</w:t>
      </w:r>
    </w:p>
    <w:p>
      <w:pPr>
        <w:pStyle w:val="FirstParagraph"/>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62"/>
        </w:numPr>
        <w:pStyle w:val="Compact"/>
      </w:pPr>
      <w:r>
        <w:t xml:space="preserve">Links to related standard operating procedures (ex: for building a participant tracking database you may link to the specific SOP that lays out steps for building the tool)</w:t>
      </w:r>
    </w:p>
    <w:p>
      <w:pPr>
        <w:numPr>
          <w:ilvl w:val="0"/>
          <w:numId w:val="1062"/>
        </w:numPr>
        <w:pStyle w:val="Compact"/>
      </w:pPr>
      <w:r>
        <w:t xml:space="preserve">Names of other staff members (if any) that assist with or also contribute to each responsibility</w:t>
      </w:r>
    </w:p>
    <w:p>
      <w:pPr>
        <w:numPr>
          <w:ilvl w:val="0"/>
          <w:numId w:val="1062"/>
        </w:numPr>
        <w:pStyle w:val="Compact"/>
      </w:pPr>
      <w:r>
        <w:t xml:space="preserve">Timing of each responsibility (ex: weekly, ongoing, the month of February)</w:t>
      </w:r>
    </w:p>
    <w:bookmarkEnd w:id="315"/>
    <w:bookmarkEnd w:id="316"/>
    <w:bookmarkEnd w:id="317"/>
    <w:bookmarkStart w:id="413" w:name="documentation"/>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3.1: Data documentation in the research project life cycle" title="" id="319" name="Picture"/>
            <a:graphic>
              <a:graphicData uri="http://schemas.openxmlformats.org/drawingml/2006/picture">
                <pic:pic>
                  <pic:nvPicPr>
                    <pic:cNvPr descr="img/lifecycle_doc.PNG" id="320" name="Picture"/>
                    <pic:cNvPicPr>
                      <a:picLocks noChangeArrowheads="1" noChangeAspect="1"/>
                    </pic:cNvPicPr>
                  </pic:nvPicPr>
                  <pic:blipFill>
                    <a:blip r:embed="rId318"/>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unequivocally as important as collecting your data. Documentation serves many purposes including:</w:t>
      </w:r>
    </w:p>
    <w:p>
      <w:pPr>
        <w:numPr>
          <w:ilvl w:val="0"/>
          <w:numId w:val="1063"/>
        </w:numPr>
        <w:pStyle w:val="Compact"/>
      </w:pPr>
      <w:r>
        <w:t xml:space="preserve">Standardizing procedures</w:t>
      </w:r>
    </w:p>
    <w:p>
      <w:pPr>
        <w:numPr>
          <w:ilvl w:val="0"/>
          <w:numId w:val="1063"/>
        </w:numPr>
        <w:pStyle w:val="Compact"/>
      </w:pPr>
      <w:r>
        <w:t xml:space="preserve">Securing data and protecting confidentiality</w:t>
      </w:r>
    </w:p>
    <w:p>
      <w:pPr>
        <w:numPr>
          <w:ilvl w:val="0"/>
          <w:numId w:val="1063"/>
        </w:numPr>
        <w:pStyle w:val="Compact"/>
      </w:pPr>
      <w:r>
        <w:t xml:space="preserve">Tracking data provenance</w:t>
      </w:r>
    </w:p>
    <w:p>
      <w:pPr>
        <w:numPr>
          <w:ilvl w:val="0"/>
          <w:numId w:val="1063"/>
        </w:numPr>
        <w:pStyle w:val="Compact"/>
      </w:pPr>
      <w:r>
        <w:t xml:space="preserve">Discovering errors</w:t>
      </w:r>
    </w:p>
    <w:p>
      <w:pPr>
        <w:numPr>
          <w:ilvl w:val="0"/>
          <w:numId w:val="1063"/>
        </w:numPr>
        <w:pStyle w:val="Compact"/>
      </w:pPr>
      <w:r>
        <w:t xml:space="preserve">Enabling reproducibility</w:t>
      </w:r>
    </w:p>
    <w:p>
      <w:pPr>
        <w:numPr>
          <w:ilvl w:val="0"/>
          <w:numId w:val="1063"/>
        </w:numPr>
        <w:pStyle w:val="Compact"/>
      </w:pPr>
      <w:r>
        <w:t xml:space="preserve">Ensuring others use and interpret data accurately</w:t>
      </w:r>
    </w:p>
    <w:p>
      <w:pPr>
        <w:numPr>
          <w:ilvl w:val="0"/>
          <w:numId w:val="1063"/>
        </w:numPr>
        <w:pStyle w:val="Compact"/>
      </w:pPr>
      <w:r>
        <w:t xml:space="preserve">Providing searchability through metadata</w:t>
      </w:r>
    </w:p>
    <w:p>
      <w:pPr>
        <w:pStyle w:val="FirstParagraph"/>
      </w:pPr>
      <w:r>
        <w:t xml:space="preserve">We are going to cover four levels of documents in this chapter: team level, project level, dataset level, and variable level. While most of the documentation we will discuss does fall within the documentation phase in the research life cycle, some documents will be created earlier or later and the timing will be discussed in each section. During a project, while you are actively using your documents, the format of these documents does not matter. Choose a format that is human readable and works well for your team (ex: Word document, PDF, Google Doc, Excel, HTML, OneNote, etc.). When projects are closing out and you are preparing to share your data, you can consider, at that time, how to best make your documents more sustainable, interoperable, and searchable [</w:t>
      </w:r>
      <w:r>
        <w:rPr>
          <w:bCs/>
          <w:b/>
        </w:rPr>
        <w:t xml:space="preserve">see Data Sharing</w:t>
      </w:r>
      <w:r>
        <w:t xml:space="preserve">].</w:t>
      </w:r>
    </w:p>
    <w:p>
      <w:pPr>
        <w:pStyle w:val="BodyText"/>
      </w:pPr>
      <w:r>
        <w:t xml:space="preserve">The documents below are all recommended and will help you successfully run your project. You can choose to create as many or as few of these documents as you wish. You should choose which documents to create based on what is best for your project and your team, as well as what is required by your funder (</w:t>
      </w:r>
      <w:hyperlink w:anchor="dmp">
        <w:r>
          <w:rPr>
            <w:rStyle w:val="Hyperlink"/>
          </w:rPr>
          <w:t xml:space="preserve">see Data Management Plan</w:t>
        </w:r>
      </w:hyperlink>
      <w:r>
        <w:t xml:space="preserve">) and other governing bodies such as your Institutional Review Board. Creating and maintaining these documents</w:t>
      </w:r>
      <w:r>
        <w:t xml:space="preserve"> </w:t>
      </w:r>
      <w:r>
        <w:rPr>
          <w:bCs/>
          <w:b/>
        </w:rPr>
        <w:t xml:space="preserve">are an investment</w:t>
      </w:r>
      <w:r>
        <w:t xml:space="preserve"> </w:t>
      </w:r>
      <w:r>
        <w:t xml:space="preserve">(make sure to account for this time in your proposal budget), but the return for the investment is well worth the effort.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As you review the these documents, remember that every single document mentioned is a living document to be updated as procedures change or new information is received. As seen in the cyclical section of our diagram above, team members should always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bookmarkStart w:id="359" w:name="team-level"/>
    <w:p>
      <w:pPr>
        <w:pStyle w:val="Heading2"/>
      </w:pPr>
      <w:r>
        <w:rPr>
          <w:rStyle w:val="SectionNumber"/>
        </w:rPr>
        <w:t xml:space="preserve">7.1</w:t>
      </w:r>
      <w:r>
        <w:tab/>
      </w:r>
      <w:r>
        <w:t xml:space="preserve">Team Level</w:t>
      </w:r>
    </w:p>
    <w:p>
      <w:pPr>
        <w:pStyle w:val="FirstParagraph"/>
      </w:pPr>
      <w:r>
        <w:t xml:space="preserve">Team level documentation typically contain data governance rules that apply to the entire team, across all projects. While these documents can be amended at any time, they should really be started long before you even apply for a grant, when your lab, center, or institution is formed.</w:t>
      </w:r>
    </w:p>
    <w:p>
      <w:pPr>
        <w:pStyle w:val="CaptionedFigure"/>
      </w:pPr>
      <w:r>
        <w:drawing>
          <wp:inline>
            <wp:extent cx="5334000" cy="2994671"/>
            <wp:effectExtent b="0" l="0" r="0" t="0"/>
            <wp:docPr descr="Figure 2.1: Team level documentation in the research project life cycle" title="" id="322" name="Picture"/>
            <a:graphic>
              <a:graphicData uri="http://schemas.openxmlformats.org/drawingml/2006/picture">
                <pic:pic>
                  <pic:nvPicPr>
                    <pic:cNvPr descr="img/lifecycle_teamdoc.PNG" id="323" name="Picture"/>
                    <pic:cNvPicPr>
                      <a:picLocks noChangeArrowheads="1" noChangeAspect="1"/>
                    </pic:cNvPicPr>
                  </pic:nvPicPr>
                  <pic:blipFill>
                    <a:blip r:embed="rId321"/>
                    <a:stretch>
                      <a:fillRect/>
                    </a:stretch>
                  </pic:blipFill>
                  <pic:spPr bwMode="auto">
                    <a:xfrm>
                      <a:off x="0" y="0"/>
                      <a:ext cx="5334000" cy="2994671"/>
                    </a:xfrm>
                    <a:prstGeom prst="rect">
                      <a:avLst/>
                    </a:prstGeom>
                    <a:noFill/>
                    <a:ln w="9525">
                      <a:noFill/>
                      <a:headEnd/>
                      <a:tailEnd/>
                    </a:ln>
                  </pic:spPr>
                </pic:pic>
              </a:graphicData>
            </a:graphic>
          </wp:inline>
        </w:drawing>
      </w:r>
    </w:p>
    <w:p>
      <w:pPr>
        <w:pStyle w:val="ImageCaption"/>
      </w:pPr>
      <w:r>
        <w:t xml:space="preserve">Figure 2.1: Team level documentation in the research project life cycle</w:t>
      </w:r>
    </w:p>
    <w:bookmarkStart w:id="335" w:name="lab-manual"/>
    <w:p>
      <w:pPr>
        <w:pStyle w:val="Heading3"/>
      </w:pPr>
      <w:r>
        <w:rPr>
          <w:rStyle w:val="SectionNumber"/>
        </w:rPr>
        <w:t xml:space="preserve">7.1.1</w:t>
      </w:r>
      <w:r>
        <w:tab/>
      </w:r>
      <w:r>
        <w:t xml:space="preserve">Lab Manual</w:t>
      </w:r>
    </w:p>
    <w:p>
      <w:pPr>
        <w:pStyle w:val="FirstParagraph"/>
      </w:pPr>
      <w:r>
        <w:t xml:space="preserve">One example of a team level document is a lab manual, or team handbook. A lab manual creates common knowledge across your team.</w:t>
      </w:r>
      <w:r>
        <w:rPr>
          <w:rStyle w:val="FootnoteReference"/>
        </w:rPr>
        <w:footnoteReference w:id="324"/>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26"/>
      </w:r>
      <w:r>
        <w:t xml:space="preserve"> While a lab manual will mostly consist of administrative, procedural, and interpersonal types of information, it can be helpful to also include data management content as well, including general rules about how to access, store, share, and work with data securely and ethically.</w:t>
      </w:r>
    </w:p>
    <w:p>
      <w:pPr>
        <w:pStyle w:val="BodyText"/>
      </w:pPr>
      <w:r>
        <w:rPr>
          <w:bCs/>
          <w:b/>
        </w:rPr>
        <w:t xml:space="preserve">Example manuals:</w:t>
      </w:r>
    </w:p>
    <w:p>
      <w:pPr>
        <w:numPr>
          <w:ilvl w:val="0"/>
          <w:numId w:val="1064"/>
        </w:numPr>
        <w:pStyle w:val="Compact"/>
      </w:pPr>
      <w:r>
        <w:t xml:space="preserve">Crowdsourced lab manual template</w:t>
      </w:r>
      <w:r>
        <w:rPr>
          <w:rStyle w:val="FootnoteReference"/>
        </w:rPr>
        <w:footnoteReference w:id="328"/>
      </w:r>
      <w:r>
        <w:br/>
      </w:r>
    </w:p>
    <w:p>
      <w:pPr>
        <w:numPr>
          <w:ilvl w:val="0"/>
          <w:numId w:val="1064"/>
        </w:numPr>
        <w:pStyle w:val="Compact"/>
      </w:pPr>
      <w:r>
        <w:t xml:space="preserve">Faylab Lab Manual</w:t>
      </w:r>
      <w:r>
        <w:rPr>
          <w:rStyle w:val="FootnoteReference"/>
        </w:rPr>
        <w:footnoteReference w:id="329"/>
      </w:r>
      <w:r>
        <w:br/>
      </w:r>
    </w:p>
    <w:p>
      <w:pPr>
        <w:numPr>
          <w:ilvl w:val="0"/>
          <w:numId w:val="1064"/>
        </w:numPr>
        <w:pStyle w:val="Compact"/>
      </w:pPr>
      <w:r>
        <w:t xml:space="preserve">The RAISE Lab Manual</w:t>
      </w:r>
      <w:r>
        <w:rPr>
          <w:rStyle w:val="FootnoteReference"/>
        </w:rPr>
        <w:footnoteReference w:id="331"/>
      </w:r>
      <w:r>
        <w:br/>
      </w:r>
    </w:p>
    <w:p>
      <w:pPr>
        <w:numPr>
          <w:ilvl w:val="0"/>
          <w:numId w:val="1064"/>
        </w:numPr>
        <w:pStyle w:val="Compact"/>
      </w:pPr>
      <w:r>
        <w:t xml:space="preserve">Common Topics in Lab Handbooks</w:t>
      </w:r>
      <w:r>
        <w:rPr>
          <w:rStyle w:val="FootnoteReference"/>
        </w:rPr>
        <w:footnoteReference w:id="333"/>
      </w:r>
    </w:p>
    <w:bookmarkEnd w:id="335"/>
    <w:bookmarkStart w:id="343"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 replacement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only invited users. This is a great way to keep disparate documents and pieces of information, for both administrative and data related purposes, organized in a central, accessible location. Your wiki can include both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193281"/>
            <wp:effectExtent b="0" l="0" r="0" t="0"/>
            <wp:docPr descr="Figure 3.2: Example team wiki with links to frequently requested information" title="" id="337" name="Picture"/>
            <a:graphic>
              <a:graphicData uri="http://schemas.openxmlformats.org/drawingml/2006/picture">
                <pic:pic>
                  <pic:nvPicPr>
                    <pic:cNvPr descr="img/wiki.PNG" id="338" name="Picture"/>
                    <pic:cNvPicPr>
                      <a:picLocks noChangeArrowheads="1" noChangeAspect="1"/>
                    </pic:cNvPicPr>
                  </pic:nvPicPr>
                  <pic:blipFill>
                    <a:blip r:embed="rId336"/>
                    <a:stretch>
                      <a:fillRect/>
                    </a:stretch>
                  </pic:blipFill>
                  <pic:spPr bwMode="auto">
                    <a:xfrm>
                      <a:off x="0" y="0"/>
                      <a:ext cx="5334000" cy="3193281"/>
                    </a:xfrm>
                    <a:prstGeom prst="rect">
                      <a:avLst/>
                    </a:prstGeom>
                    <a:noFill/>
                    <a:ln w="9525">
                      <a:noFill/>
                      <a:headEnd/>
                      <a:tailEnd/>
                    </a:ln>
                  </pic:spPr>
                </pic:pic>
              </a:graphicData>
            </a:graphic>
          </wp:inline>
        </w:drawing>
      </w:r>
    </w:p>
    <w:p>
      <w:pPr>
        <w:pStyle w:val="ImageCaption"/>
      </w:pPr>
      <w:r>
        <w:t xml:space="preserve">Figure 3.2: Example team wiki with links to frequently requested information</w:t>
      </w:r>
    </w:p>
    <w:p>
      <w:pPr>
        <w:pStyle w:val="BodyText"/>
      </w:pPr>
      <w:r>
        <w:t xml:space="preserve">* Note: Project level wikis can also be created and be very useful in centralizing frequently referenced information.</w:t>
      </w:r>
    </w:p>
    <w:p>
      <w:pPr>
        <w:pStyle w:val="BodyText"/>
      </w:pPr>
      <w:r>
        <w:rPr>
          <w:bCs/>
          <w:b/>
        </w:rPr>
        <w:t xml:space="preserve">Example wikis:</w:t>
      </w:r>
    </w:p>
    <w:p>
      <w:pPr>
        <w:numPr>
          <w:ilvl w:val="0"/>
          <w:numId w:val="1065"/>
        </w:numPr>
        <w:pStyle w:val="Compact"/>
      </w:pPr>
      <w:r>
        <w:t xml:space="preserve">Aly Lab Wiki</w:t>
      </w:r>
      <w:r>
        <w:rPr>
          <w:rStyle w:val="FootnoteReference"/>
        </w:rPr>
        <w:footnoteReference w:id="339"/>
      </w:r>
      <w:r>
        <w:br/>
      </w:r>
    </w:p>
    <w:p>
      <w:pPr>
        <w:numPr>
          <w:ilvl w:val="0"/>
          <w:numId w:val="1065"/>
        </w:numPr>
        <w:pStyle w:val="Compact"/>
      </w:pPr>
      <w:r>
        <w:t xml:space="preserve">SYNC Lab Wiki</w:t>
      </w:r>
      <w:r>
        <w:rPr>
          <w:rStyle w:val="FootnoteReference"/>
        </w:rPr>
        <w:footnoteReference w:id="341"/>
      </w:r>
    </w:p>
    <w:bookmarkEnd w:id="343"/>
    <w:bookmarkStart w:id="347"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include the following.</w:t>
      </w:r>
    </w:p>
    <w:p>
      <w:pPr>
        <w:pStyle w:val="CaptionedFigure"/>
      </w:pPr>
      <w:r>
        <w:drawing>
          <wp:inline>
            <wp:extent cx="5334000" cy="2482062"/>
            <wp:effectExtent b="0" l="0" r="0" t="0"/>
            <wp:docPr descr="Figure 3.3: Sample data topics to add to onboarding and offboarding checklists" title="" id="345" name="Picture"/>
            <a:graphic>
              <a:graphicData uri="http://schemas.openxmlformats.org/drawingml/2006/picture">
                <pic:pic>
                  <pic:nvPicPr>
                    <pic:cNvPr descr="img/onboard_offboard.PNG" id="346" name="Picture"/>
                    <pic:cNvPicPr>
                      <a:picLocks noChangeArrowheads="1" noChangeAspect="1"/>
                    </pic:cNvPicPr>
                  </pic:nvPicPr>
                  <pic:blipFill>
                    <a:blip r:embed="rId344"/>
                    <a:stretch>
                      <a:fillRect/>
                    </a:stretch>
                  </pic:blipFill>
                  <pic:spPr bwMode="auto">
                    <a:xfrm>
                      <a:off x="0" y="0"/>
                      <a:ext cx="5334000" cy="2482062"/>
                    </a:xfrm>
                    <a:prstGeom prst="rect">
                      <a:avLst/>
                    </a:prstGeom>
                    <a:noFill/>
                    <a:ln w="9525">
                      <a:noFill/>
                      <a:headEnd/>
                      <a:tailEnd/>
                    </a:ln>
                  </pic:spPr>
                </pic:pic>
              </a:graphicData>
            </a:graphic>
          </wp:inline>
        </w:drawing>
      </w:r>
    </w:p>
    <w:p>
      <w:pPr>
        <w:pStyle w:val="ImageCaption"/>
      </w:pPr>
      <w:r>
        <w:t xml:space="preserve">Figure 3.3: Sample data topics to add to onboarding and offboarding checklists</w:t>
      </w:r>
    </w:p>
    <w:bookmarkEnd w:id="347"/>
    <w:bookmarkStart w:id="355"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48"/>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50"/>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CaptionedFigure"/>
      </w:pPr>
      <w:r>
        <w:drawing>
          <wp:inline>
            <wp:extent cx="5216892" cy="7122694"/>
            <wp:effectExtent b="0" l="0" r="0" t="0"/>
            <wp:docPr descr="Figure 3.4: Example of content to include in an internal data use agreement" title="" id="353" name="Picture"/>
            <a:graphic>
              <a:graphicData uri="http://schemas.openxmlformats.org/drawingml/2006/picture">
                <pic:pic>
                  <pic:nvPicPr>
                    <pic:cNvPr descr="img/dua.PNG" id="354" name="Picture"/>
                    <pic:cNvPicPr>
                      <a:picLocks noChangeArrowheads="1" noChangeAspect="1"/>
                    </pic:cNvPicPr>
                  </pic:nvPicPr>
                  <pic:blipFill>
                    <a:blip r:embed="rId352"/>
                    <a:stretch>
                      <a:fillRect/>
                    </a:stretch>
                  </pic:blipFill>
                  <pic:spPr bwMode="auto">
                    <a:xfrm>
                      <a:off x="0" y="0"/>
                      <a:ext cx="5216892" cy="7122694"/>
                    </a:xfrm>
                    <a:prstGeom prst="rect">
                      <a:avLst/>
                    </a:prstGeom>
                    <a:noFill/>
                    <a:ln w="9525">
                      <a:noFill/>
                      <a:headEnd/>
                      <a:tailEnd/>
                    </a:ln>
                  </pic:spPr>
                </pic:pic>
              </a:graphicData>
            </a:graphic>
          </wp:inline>
        </w:drawing>
      </w:r>
    </w:p>
    <w:p>
      <w:pPr>
        <w:pStyle w:val="ImageCaption"/>
      </w:pPr>
      <w:r>
        <w:t xml:space="preserve">Figure 3.4: Example of content to include in an internal data use agreement</w:t>
      </w:r>
    </w:p>
    <w:bookmarkEnd w:id="355"/>
    <w:bookmarkStart w:id="358" w:name="style-guide"/>
    <w:p>
      <w:pPr>
        <w:pStyle w:val="Heading3"/>
      </w:pPr>
      <w:r>
        <w:rPr>
          <w:rStyle w:val="SectionNumber"/>
        </w:rPr>
        <w:t xml:space="preserve">7.1.5</w:t>
      </w:r>
      <w:r>
        <w:tab/>
      </w:r>
      <w:r>
        <w:t xml:space="preserve">Style Guide</w:t>
      </w:r>
    </w:p>
    <w:p>
      <w:pPr>
        <w:pStyle w:val="FirstParagraph"/>
      </w:pPr>
      <w:r>
        <w:t xml:space="preserve">A style guide is a set of standards for the formatting of documents.</w:t>
      </w:r>
      <w:r>
        <w:rPr>
          <w:rStyle w:val="FootnoteReference"/>
        </w:rPr>
        <w:footnoteReference w:id="356"/>
      </w:r>
      <w:r>
        <w:t xml:space="preserve"> It improves consistency within and across files and projects. This document includes conventions for procedures such as variable naming, value coding, file naming, versioning, and file structure. It can be created in one large document or separate files for each type of style guide. I highly recommend applying your style guide consistently across all projects, hence why this is included in the team documentation. Since style guides are so important, and there is so many recommended practices to cover, I have given this document its own chapter. See [</w:t>
      </w:r>
      <w:r>
        <w:rPr>
          <w:bCs/>
          <w:b/>
        </w:rPr>
        <w:t xml:space="preserve">Style Guides</w:t>
      </w:r>
      <w:r>
        <w:t xml:space="preserve">] for more information.</w:t>
      </w:r>
    </w:p>
    <w:bookmarkEnd w:id="358"/>
    <w:bookmarkEnd w:id="359"/>
    <w:bookmarkStart w:id="399" w:name="project-level"/>
    <w:p>
      <w:pPr>
        <w:pStyle w:val="Heading2"/>
      </w:pPr>
      <w:r>
        <w:rPr>
          <w:rStyle w:val="SectionNumber"/>
        </w:rPr>
        <w:t xml:space="preserve">7.2</w:t>
      </w:r>
      <w:r>
        <w:tab/>
      </w:r>
      <w:r>
        <w:t xml:space="preserve">Project Level</w:t>
      </w:r>
    </w:p>
    <w:p>
      <w:pPr>
        <w:pStyle w:val="FirstParagraph"/>
      </w:pPr>
      <w:r>
        <w:t xml:space="preserve">Project 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DMP (started before your project is funded), checklists and meeting notes (started during the planning phase), or the CONSORT diagram (started after data is collected) will begin at varying times.</w:t>
      </w:r>
    </w:p>
    <w:bookmarkStart w:id="360" w:name="data-management-plan"/>
    <w:p>
      <w:pPr>
        <w:pStyle w:val="Heading3"/>
      </w:pPr>
      <w:r>
        <w:rPr>
          <w:rStyle w:val="SectionNumber"/>
        </w:rPr>
        <w:t xml:space="preserve">7.2.1</w:t>
      </w:r>
      <w:r>
        <w:tab/>
      </w:r>
      <w:r>
        <w:t xml:space="preserve">Data Management Plan</w:t>
      </w:r>
    </w:p>
    <w:p>
      <w:pPr>
        <w:pStyle w:val="FirstParagraph"/>
      </w:pPr>
      <w:r>
        <w:t xml:space="preserve">This is the first project 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60"/>
    <w:bookmarkStart w:id="361"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plan">
        <w:r>
          <w:rPr>
            <w:rStyle w:val="Hyperlink"/>
          </w:rPr>
          <w:t xml:space="preserve">chapter</w:t>
        </w:r>
      </w:hyperlink>
      <w:r>
        <w:t xml:space="preserve"> </w:t>
      </w:r>
      <w:r>
        <w:t xml:space="preserve">I won’t say much more here other than to acknowledge that these documents are also part of your portfolio of documentation and are really key planning documents as you start to build your other project as well as data and variable level documents.</w:t>
      </w:r>
    </w:p>
    <w:bookmarkEnd w:id="361"/>
    <w:bookmarkStart w:id="362" w:name="roles-and-responsibilites-document"/>
    <w:p>
      <w:pPr>
        <w:pStyle w:val="Heading3"/>
      </w:pPr>
      <w:r>
        <w:rPr>
          <w:rStyle w:val="SectionNumber"/>
        </w:rPr>
        <w:t xml:space="preserve">7.2.3</w:t>
      </w:r>
      <w:r>
        <w:tab/>
      </w:r>
      <w:r>
        <w:t xml:space="preserve">Roles and responsibilites document</w:t>
      </w:r>
    </w:p>
    <w:p>
      <w:pPr>
        <w:pStyle w:val="FirstParagraph"/>
      </w:pPr>
      <w:r>
        <w:t xml:space="preserve">Using the checklists during your planning phase, you hopefully decided on and assigned some roles and responsibilities for your project. Now is the time to document those decisions in a formal document to be shared with the team. In the previous</w:t>
      </w:r>
      <w:r>
        <w:t xml:space="preserve"> </w:t>
      </w:r>
      <w:hyperlink w:anchor="roles">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bookmarkEnd w:id="362"/>
    <w:bookmarkStart w:id="372"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most likely be required to submit this document as part of your application. A research protocol provides a means for the board to determine if your methods provide adequate protection for human subjects. In addition to serving this required purpose, the research protocol is also an excellent document to deposit along with your data at the time of data sharing, as well as an excellent resource for you when writing technical reports or manuscripts. This document provides all context needed for you and other users to effectively interpret and use your data. It generally provides the what, who, when, where, and how of your study. Make sure to follow your university’s specific template if provided, but common items typically included in a protocol are:</w:t>
      </w:r>
    </w:p>
    <w:p>
      <w:pPr>
        <w:pStyle w:val="CaptionedFigure"/>
      </w:pPr>
      <w:r>
        <w:drawing>
          <wp:inline>
            <wp:extent cx="5334000" cy="1640784"/>
            <wp:effectExtent b="0" l="0" r="0" t="0"/>
            <wp:docPr descr="Figure 3.5: Common research protocol elements" title="" id="364" name="Picture"/>
            <a:graphic>
              <a:graphicData uri="http://schemas.openxmlformats.org/drawingml/2006/picture">
                <pic:pic>
                  <pic:nvPicPr>
                    <pic:cNvPr descr="img/protocol.PNG" id="365" name="Picture"/>
                    <pic:cNvPicPr>
                      <a:picLocks noChangeArrowheads="1" noChangeAspect="1"/>
                    </pic:cNvPicPr>
                  </pic:nvPicPr>
                  <pic:blipFill>
                    <a:blip r:embed="rId363"/>
                    <a:stretch>
                      <a:fillRect/>
                    </a:stretch>
                  </pic:blipFill>
                  <pic:spPr bwMode="auto">
                    <a:xfrm>
                      <a:off x="0" y="0"/>
                      <a:ext cx="5334000" cy="1640784"/>
                    </a:xfrm>
                    <a:prstGeom prst="rect">
                      <a:avLst/>
                    </a:prstGeom>
                    <a:noFill/>
                    <a:ln w="9525">
                      <a:noFill/>
                      <a:headEnd/>
                      <a:tailEnd/>
                    </a:ln>
                  </pic:spPr>
                </pic:pic>
              </a:graphicData>
            </a:graphic>
          </wp:inline>
        </w:drawing>
      </w:r>
    </w:p>
    <w:p>
      <w:pPr>
        <w:pStyle w:val="ImageCaption"/>
      </w:pPr>
      <w:r>
        <w:t xml:space="preserve">Figure 3.5: Common research protocol elements</w:t>
      </w:r>
    </w:p>
    <w:p>
      <w:pPr>
        <w:pStyle w:val="BodyText"/>
      </w:pPr>
      <w:r>
        <w:rPr>
          <w:bCs/>
          <w:b/>
        </w:rPr>
        <w:t xml:space="preserve">Example Templates:</w:t>
      </w:r>
    </w:p>
    <w:p>
      <w:pPr>
        <w:numPr>
          <w:ilvl w:val="0"/>
          <w:numId w:val="1066"/>
        </w:numPr>
        <w:pStyle w:val="Compact"/>
      </w:pPr>
      <w:r>
        <w:t xml:space="preserve">University of Washington Protocol Template</w:t>
      </w:r>
      <w:r>
        <w:rPr>
          <w:rStyle w:val="FootnoteReference"/>
        </w:rPr>
        <w:footnoteReference w:id="366"/>
      </w:r>
    </w:p>
    <w:p>
      <w:pPr>
        <w:numPr>
          <w:ilvl w:val="0"/>
          <w:numId w:val="1066"/>
        </w:numPr>
        <w:pStyle w:val="Compact"/>
      </w:pPr>
      <w:r>
        <w:t xml:space="preserve">Ohio State Protocol Template</w:t>
      </w:r>
      <w:r>
        <w:rPr>
          <w:rStyle w:val="FootnoteReference"/>
        </w:rPr>
        <w:footnoteReference w:id="368"/>
      </w:r>
      <w:r>
        <w:br/>
      </w:r>
    </w:p>
    <w:p>
      <w:pPr>
        <w:numPr>
          <w:ilvl w:val="0"/>
          <w:numId w:val="1066"/>
        </w:numPr>
        <w:pStyle w:val="Compact"/>
      </w:pPr>
      <w:r>
        <w:t xml:space="preserve">University of Missouri Protocol Template</w:t>
      </w:r>
      <w:r>
        <w:rPr>
          <w:rStyle w:val="FootnoteReference"/>
        </w:rPr>
        <w:footnoteReference w:id="370"/>
      </w:r>
    </w:p>
    <w:bookmarkEnd w:id="372"/>
    <w:bookmarkStart w:id="386"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can absolutely be standalone documents, I am calling supplemental documents here because they can be added to your research protocol as an addendum at any point to further clarify specifics of your project.</w:t>
      </w:r>
    </w:p>
    <w:p>
      <w:pPr>
        <w:numPr>
          <w:ilvl w:val="0"/>
          <w:numId w:val="1067"/>
        </w:numPr>
        <w:pStyle w:val="Compact"/>
      </w:pPr>
      <w:r>
        <w:t xml:space="preserve">Timeline</w:t>
      </w:r>
    </w:p>
    <w:p>
      <w:pPr>
        <w:pStyle w:val="FirstParagraph"/>
      </w:pPr>
      <w:r>
        <w:t xml:space="preserve">The first supplemental document that I highly recommend creating is a visual representation of your data collection timeline. This can be both a helpful planning tool (for both project and data teams) as well as an excellent document to share with future data users. There is no one format for how to create this document. Below is an example of one way to visualize a data collection timeline.</w:t>
      </w:r>
    </w:p>
    <w:p>
      <w:pPr>
        <w:pStyle w:val="CaptionedFigure"/>
      </w:pPr>
      <w:r>
        <w:drawing>
          <wp:inline>
            <wp:extent cx="5334000" cy="726000"/>
            <wp:effectExtent b="0" l="0" r="0" t="0"/>
            <wp:docPr descr="Figure 3.6: Example data collection timeline" title="" id="374" name="Picture"/>
            <a:graphic>
              <a:graphicData uri="http://schemas.openxmlformats.org/drawingml/2006/picture">
                <pic:pic>
                  <pic:nvPicPr>
                    <pic:cNvPr descr="img/timeline.PNG" id="375" name="Picture"/>
                    <pic:cNvPicPr>
                      <a:picLocks noChangeArrowheads="1" noChangeAspect="1"/>
                    </pic:cNvPicPr>
                  </pic:nvPicPr>
                  <pic:blipFill>
                    <a:blip r:embed="rId373"/>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3.6: Example data collection timeline</w:t>
      </w:r>
    </w:p>
    <w:p>
      <w:pPr>
        <w:numPr>
          <w:ilvl w:val="0"/>
          <w:numId w:val="1068"/>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376"/>
      </w:r>
      <w:r>
        <w:t xml:space="preserve"> It visually portrays enrollment in the program, randomization, as well as attrition. As you can imagine though, this diagram cannot be created until at least one wave of data has been collected, and must be updated as more waves are collected. Your participant tracking database, which we will discuss in a later chapter, will inform the creation of this diagram.</w:t>
      </w:r>
    </w:p>
    <w:p>
      <w:pPr>
        <w:pStyle w:val="CaptionedFigure"/>
      </w:pPr>
      <w:r>
        <w:drawing>
          <wp:inline>
            <wp:extent cx="4245885" cy="3804671"/>
            <wp:effectExtent b="0" l="0" r="0" t="0"/>
            <wp:docPr descr="Figure 3.7: 2010 CONSORT flow diagram template" title="" id="379" name="Picture"/>
            <a:graphic>
              <a:graphicData uri="http://schemas.openxmlformats.org/drawingml/2006/picture">
                <pic:pic>
                  <pic:nvPicPr>
                    <pic:cNvPr descr="img/consort.PNG" id="380" name="Picture"/>
                    <pic:cNvPicPr>
                      <a:picLocks noChangeArrowheads="1" noChangeAspect="1"/>
                    </pic:cNvPicPr>
                  </pic:nvPicPr>
                  <pic:blipFill>
                    <a:blip r:embed="rId378"/>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3.7: 2010 CONSORT flow diagram template</w:t>
      </w:r>
    </w:p>
    <w:p>
      <w:pPr>
        <w:numPr>
          <w:ilvl w:val="0"/>
          <w:numId w:val="1069"/>
        </w:numPr>
        <w:pStyle w:val="Compact"/>
      </w:pPr>
      <w:r>
        <w:t xml:space="preserve">Instruments</w:t>
      </w:r>
    </w:p>
    <w:p>
      <w:pPr>
        <w:pStyle w:val="FirstParagraph"/>
      </w:pPr>
      <w:r>
        <w:t xml:space="preserve">Actual copies of instrument can be included as supplemental documentation. This includes copies of surveys, assessments, forms, and so forth. It can also include any technical documents associated with your instruments.</w:t>
      </w:r>
    </w:p>
    <w:p>
      <w:pPr>
        <w:numPr>
          <w:ilvl w:val="0"/>
          <w:numId w:val="1070"/>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381"/>
      </w:r>
    </w:p>
    <w:p>
      <w:pPr>
        <w:pStyle w:val="CaptionedFigure"/>
      </w:pPr>
      <w:r>
        <w:drawing>
          <wp:inline>
            <wp:extent cx="5334000" cy="4916439"/>
            <wp:effectExtent b="0" l="0" r="0" t="0"/>
            <wp:docPr descr="Figure 3.8: Flowchart of an ECLS-K:2011 kindergarten assessment" title="" id="384" name="Picture"/>
            <a:graphic>
              <a:graphicData uri="http://schemas.openxmlformats.org/drawingml/2006/picture">
                <pic:pic>
                  <pic:nvPicPr>
                    <pic:cNvPr descr="img/flowchart.PNG" id="385" name="Picture"/>
                    <pic:cNvPicPr>
                      <a:picLocks noChangeArrowheads="1" noChangeAspect="1"/>
                    </pic:cNvPicPr>
                  </pic:nvPicPr>
                  <pic:blipFill>
                    <a:blip r:embed="rId383"/>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3.8: Flowchart of an ECLS-K:2011 kindergarten assessment</w:t>
      </w:r>
    </w:p>
    <w:p>
      <w:pPr>
        <w:numPr>
          <w:ilvl w:val="0"/>
          <w:numId w:val="1071"/>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72"/>
        </w:numPr>
        <w:pStyle w:val="Compact"/>
      </w:pPr>
      <w:r>
        <w:t xml:space="preserve">Related publications</w:t>
      </w:r>
    </w:p>
    <w:p>
      <w:pPr>
        <w:pStyle w:val="FirstParagraph"/>
      </w:pPr>
      <w:r>
        <w:t xml:space="preserve">You may also choose to attach any publications that have come from your data as an addendum to your protocol.</w:t>
      </w:r>
    </w:p>
    <w:bookmarkEnd w:id="386"/>
    <w:bookmarkStart w:id="398"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387"/>
      </w:r>
      <w:r>
        <w:t xml:space="preserve"> If you recall from our</w:t>
      </w:r>
      <w:r>
        <w:t xml:space="preserve"> </w:t>
      </w:r>
      <w:hyperlink w:anchor="plan">
        <w:r>
          <w:rPr>
            <w:rStyle w:val="Hyperlink"/>
          </w:rPr>
          <w:t xml:space="preserve">planning chapter</w:t>
        </w:r>
      </w:hyperlink>
      <w:r>
        <w:t xml:space="preserve">, every step that we added to a data collection workflow is then added to an sop and the details fleshed out. Not only will you have an SOP for each type of data you are collecting, you can also have SOPs for other types of decisions as well. Examples include:</w:t>
      </w:r>
    </w:p>
    <w:p>
      <w:pPr>
        <w:numPr>
          <w:ilvl w:val="0"/>
          <w:numId w:val="1073"/>
        </w:numPr>
        <w:pStyle w:val="Compact"/>
      </w:pPr>
      <w:r>
        <w:t xml:space="preserve">Inclusion/exclusion criteria</w:t>
      </w:r>
    </w:p>
    <w:p>
      <w:pPr>
        <w:numPr>
          <w:ilvl w:val="0"/>
          <w:numId w:val="1073"/>
        </w:numPr>
        <w:pStyle w:val="Compact"/>
      </w:pPr>
      <w:r>
        <w:t xml:space="preserve">Assigning study IDs</w:t>
      </w:r>
    </w:p>
    <w:p>
      <w:pPr>
        <w:numPr>
          <w:ilvl w:val="0"/>
          <w:numId w:val="1073"/>
        </w:numPr>
        <w:pStyle w:val="Compact"/>
      </w:pPr>
      <w:r>
        <w:t xml:space="preserve">Building tools such as participant tracking database</w:t>
      </w:r>
    </w:p>
    <w:p>
      <w:pPr>
        <w:numPr>
          <w:ilvl w:val="0"/>
          <w:numId w:val="1073"/>
        </w:numPr>
        <w:pStyle w:val="Compact"/>
      </w:pPr>
      <w:r>
        <w:t xml:space="preserve">Randomization rules</w:t>
      </w:r>
    </w:p>
    <w:p>
      <w:pPr>
        <w:numPr>
          <w:ilvl w:val="0"/>
          <w:numId w:val="1073"/>
        </w:numPr>
        <w:pStyle w:val="Compact"/>
      </w:pPr>
      <w:r>
        <w:t xml:space="preserve">Consent/assent procedures</w:t>
      </w:r>
    </w:p>
    <w:p>
      <w:pPr>
        <w:numPr>
          <w:ilvl w:val="0"/>
          <w:numId w:val="1073"/>
        </w:numPr>
        <w:pStyle w:val="Compact"/>
      </w:pPr>
      <w:r>
        <w:t xml:space="preserve">Data entry procedures</w:t>
      </w:r>
    </w:p>
    <w:p>
      <w:pPr>
        <w:numPr>
          <w:ilvl w:val="0"/>
          <w:numId w:val="1073"/>
        </w:numPr>
        <w:pStyle w:val="Compact"/>
      </w:pPr>
      <w:r>
        <w:t xml:space="preserve">Data scoring procedures</w:t>
      </w:r>
    </w:p>
    <w:p>
      <w:pPr>
        <w:numPr>
          <w:ilvl w:val="0"/>
          <w:numId w:val="1073"/>
        </w:numPr>
        <w:pStyle w:val="Compact"/>
      </w:pPr>
      <w:r>
        <w:t xml:space="preserve">Rules for calculating response rate (full survey completed only?, half survey completed?)</w:t>
      </w:r>
    </w:p>
    <w:p>
      <w:pPr>
        <w:numPr>
          <w:ilvl w:val="0"/>
          <w:numId w:val="1073"/>
        </w:numPr>
        <w:pStyle w:val="Compact"/>
      </w:pPr>
      <w:r>
        <w:t xml:space="preserve">Decisions for how to consistently deal with duplicate data (ex: always keep the first most complete instance of a response)</w:t>
      </w:r>
    </w:p>
    <w:p>
      <w:pPr>
        <w:pStyle w:val="FirstParagraph"/>
      </w:pPr>
      <w:r>
        <w:t xml:space="preserve">SOPs not only help staff know how to perform tasks, it also creates transparency, allows for continuity when staff turnover or go out on leave, creates standardization in practices, and because a SOP should include versioning information, it allows you to accurately report your project procedures throughout the project. You will want to create a template that is used consistently across all procedures, by all staff who build SOPs. An example template is below.</w:t>
      </w:r>
    </w:p>
    <w:p>
      <w:pPr>
        <w:pStyle w:val="BodyText"/>
      </w:pPr>
      <w:r>
        <w:t xml:space="preserve">Notice how the SOP should always begin with</w:t>
      </w:r>
      <w:r>
        <w:t xml:space="preserve"> </w:t>
      </w:r>
      <w:r>
        <w:rPr>
          <w:bCs/>
          <w:b/>
        </w:rPr>
        <w:t xml:space="preserve">general information</w:t>
      </w:r>
      <w:r>
        <w:t xml:space="preserve"> </w:t>
      </w:r>
      <w:r>
        <w:t xml:space="preserve">about the scope and purpose of the procedure, as well as any tools or terminology. This help provides context for the user and gives them the background to use and interpret the SOP. The next section,</w:t>
      </w:r>
      <w:r>
        <w:t xml:space="preserve"> </w:t>
      </w:r>
      <w:r>
        <w:rPr>
          <w:bCs/>
          <w:b/>
        </w:rPr>
        <w:t xml:space="preserve">procedures</w:t>
      </w:r>
      <w:r>
        <w:t xml:space="preserve"> </w:t>
      </w:r>
      <w:r>
        <w:t xml:space="preserve">list all procedures in order. Each step provides the name of the staff member/s associated with that step to ensure that there is no ambiguity. Each step should be as detailed as possible so that you could hand your SOP over to any new staff member, with no background in this process, can implement the procedure with little trouble. Specifics such as names of files and links to their locations, names of contacts, means of communication (ex: email vs teams message), and so forth should be included. Additions such as screenshots, links to other SOPs, or even links to tutorials can be embedded as well. Last, any time an update is made to the SOP you need to be sure to add information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CaptionedFigure"/>
      </w:pPr>
      <w:r>
        <w:drawing>
          <wp:inline>
            <wp:extent cx="5334000" cy="3666725"/>
            <wp:effectExtent b="0" l="0" r="0" t="0"/>
            <wp:docPr descr="Figure 3.9: Standard operating procedure minimal template" title="" id="390" name="Picture"/>
            <a:graphic>
              <a:graphicData uri="http://schemas.openxmlformats.org/drawingml/2006/picture">
                <pic:pic>
                  <pic:nvPicPr>
                    <pic:cNvPr descr="img/sop.PNG" id="391" name="Picture"/>
                    <pic:cNvPicPr>
                      <a:picLocks noChangeArrowheads="1" noChangeAspect="1"/>
                    </pic:cNvPicPr>
                  </pic:nvPicPr>
                  <pic:blipFill>
                    <a:blip r:embed="rId389"/>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3.9: Standard operating procedure minimal template</w:t>
      </w:r>
    </w:p>
    <w:p>
      <w:pPr>
        <w:pStyle w:val="BodyText"/>
      </w:pPr>
      <w:r>
        <w:rPr>
          <w:bCs/>
          <w:b/>
        </w:rPr>
        <w:t xml:space="preserve">Example SOPs:</w:t>
      </w:r>
    </w:p>
    <w:p>
      <w:pPr>
        <w:numPr>
          <w:ilvl w:val="0"/>
          <w:numId w:val="1074"/>
        </w:numPr>
        <w:pStyle w:val="Compact"/>
      </w:pPr>
      <w:r>
        <w:t xml:space="preserve">Northwestern University Writing Standard Operating Procedures and Templates</w:t>
      </w:r>
      <w:r>
        <w:rPr>
          <w:rStyle w:val="FootnoteReference"/>
        </w:rPr>
        <w:footnoteReference w:id="392"/>
      </w:r>
      <w:r>
        <w:br/>
      </w:r>
    </w:p>
    <w:p>
      <w:pPr>
        <w:numPr>
          <w:ilvl w:val="0"/>
          <w:numId w:val="1074"/>
        </w:numPr>
        <w:pStyle w:val="Compact"/>
      </w:pPr>
      <w:r>
        <w:t xml:space="preserve">IMPACCT Trials Coordination Centre Standard Operating Procedure for Allocation of Participant Identification Numbers</w:t>
      </w:r>
      <w:r>
        <w:rPr>
          <w:rStyle w:val="FootnoteReference"/>
        </w:rPr>
        <w:footnoteReference w:id="394"/>
      </w:r>
      <w:r>
        <w:br/>
      </w:r>
    </w:p>
    <w:p>
      <w:pPr>
        <w:numPr>
          <w:ilvl w:val="0"/>
          <w:numId w:val="1074"/>
        </w:numPr>
        <w:pStyle w:val="Compact"/>
      </w:pPr>
      <w:r>
        <w:t xml:space="preserve">CITI Template SOP</w:t>
      </w:r>
      <w:r>
        <w:rPr>
          <w:rStyle w:val="FootnoteReference"/>
        </w:rPr>
        <w:footnoteReference w:id="396"/>
      </w:r>
    </w:p>
    <w:bookmarkEnd w:id="398"/>
    <w:bookmarkEnd w:id="399"/>
    <w:bookmarkStart w:id="410"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planned transformations, potential issues to be aware of, and alterations to the data. A huge reason for creating dataset documentation is for authenticity. Datasets going through many iterations of processing which can result in many versions of a dataset.</w:t>
      </w:r>
      <w:r>
        <w:rPr>
          <w:rStyle w:val="FootnoteReference"/>
        </w:rPr>
        <w:footnoteReference w:id="400"/>
      </w:r>
      <w:r>
        <w:t xml:space="preserve"> Preserving data lineage through tracking data errors and transformation is key to ensuring that you not only know you are using the correct version of your data, but that you know where your data come from and what processing has already been completed. As you’ve noticed I tend to break rules, and I plan to continue that trend by once again saying that not</w:t>
      </w:r>
      <w:r>
        <w:t xml:space="preserve"> </w:t>
      </w:r>
      <w:r>
        <w:rPr>
          <w:bCs/>
          <w:b/>
        </w:rPr>
        <w:t xml:space="preserve">all</w:t>
      </w:r>
      <w:r>
        <w:t xml:space="preserve"> </w:t>
      </w:r>
      <w:r>
        <w:t xml:space="preserve">of your dataset level documentation will be created in the documentation phase and well will talk about the timing as we review each document.</w:t>
      </w:r>
    </w:p>
    <w:bookmarkStart w:id="407"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grew out of computer science but are now prevalent in the research world. They are a way to convey pertinent information to collaborators in a simple, no frills manner. Readmes can be used in many different ways but I am going to cover three ways they are often used in the context of data management.</w:t>
      </w:r>
    </w:p>
    <w:p>
      <w:pPr>
        <w:numPr>
          <w:ilvl w:val="0"/>
          <w:numId w:val="1075"/>
        </w:numPr>
        <w:pStyle w:val="Compact"/>
      </w:pPr>
      <w:r>
        <w:t xml:space="preserve">For conveying information to your colleagues</w:t>
      </w:r>
    </w:p>
    <w:p>
      <w:pPr>
        <w:numPr>
          <w:ilvl w:val="0"/>
          <w:numId w:val="1076"/>
        </w:numPr>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w:t>
      </w:r>
      <w:r>
        <w:t xml:space="preserve"> </w:t>
      </w:r>
      <w:r>
        <w:t xml:space="preserve">“</w:t>
      </w:r>
      <w:r>
        <w:t xml:space="preserve">README</w:t>
      </w:r>
      <w:r>
        <w:t xml:space="preserve">”</w:t>
      </w:r>
      <w:r>
        <w:t xml:space="preserve"> </w:t>
      </w:r>
      <w:r>
        <w:t xml:space="preserve">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numPr>
          <w:ilvl w:val="0"/>
          <w:numId w:val="1000"/>
        </w:numPr>
        <w:pStyle w:val="SourceCode"/>
      </w:pPr>
      <w:r>
        <w:rPr>
          <w:rStyle w:val="VerbatimChar"/>
        </w:rPr>
        <w:t xml:space="preserve">- ID 5051 entered incorrectly. Should be 5015.</w:t>
      </w:r>
      <w:r>
        <w:br/>
      </w:r>
      <w:r>
        <w:rPr>
          <w:rStyle w:val="VerbatimChar"/>
        </w:rPr>
        <w:t xml:space="preserve">- ID 5089 completed the survey twice  </w:t>
      </w:r>
      <w:r>
        <w:br/>
      </w:r>
      <w:r>
        <w:rPr>
          <w:rStyle w:val="VerbatimChar"/>
        </w:rPr>
        <w:t xml:space="preserve">    - first survey is only partially completed</w:t>
      </w:r>
    </w:p>
    <w:p>
      <w:pPr>
        <w:numPr>
          <w:ilvl w:val="0"/>
          <w:numId w:val="1077"/>
        </w:numPr>
        <w:pStyle w:val="Compact"/>
      </w:pPr>
      <w:r>
        <w:t xml:space="preserve">For conveying steps in a process (sometimes also called a setup file)</w:t>
      </w:r>
    </w:p>
    <w:p>
      <w:pPr>
        <w:numPr>
          <w:ilvl w:val="0"/>
          <w:numId w:val="1078"/>
        </w:numPr>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readme in the same file as your scripts so that someone can easily open the file to see what they need to run.</w:t>
      </w:r>
    </w:p>
    <w:p>
      <w:pPr>
        <w:numPr>
          <w:ilvl w:val="0"/>
          <w:numId w:val="1000"/>
        </w:numPr>
        <w:pStyle w:val="SourceCode"/>
      </w:pPr>
      <w:r>
        <w:rPr>
          <w:rStyle w:val="VerbatimChar"/>
        </w:rPr>
        <w:t xml:space="preserve">Step 1: Run the file 01_clean_data.R to clean the data  </w:t>
      </w:r>
      <w:r>
        <w:br/>
      </w:r>
      <w:r>
        <w:rPr>
          <w:rStyle w:val="VerbatimChar"/>
        </w:rPr>
        <w:t xml:space="preserve">Step 2: Run the file 02_check_errors.R to check for errors  </w:t>
      </w:r>
      <w:r>
        <w:br/>
      </w:r>
      <w:r>
        <w:rPr>
          <w:rStyle w:val="VerbatimChar"/>
        </w:rPr>
        <w:t xml:space="preserve">Step 3: Run the file 03_run_report.R to create report  </w:t>
      </w:r>
    </w:p>
    <w:p>
      <w:pPr>
        <w:numPr>
          <w:ilvl w:val="0"/>
          <w:numId w:val="1079"/>
        </w:numPr>
        <w:pStyle w:val="Compact"/>
      </w:pPr>
      <w:r>
        <w:t xml:space="preserve">For providing information about a set of files in a directory</w:t>
      </w:r>
    </w:p>
    <w:p>
      <w:pPr>
        <w:numPr>
          <w:ilvl w:val="0"/>
          <w:numId w:val="1080"/>
        </w:numPr>
        <w:pStyle w:val="Compact"/>
      </w:pPr>
      <w:r>
        <w:t xml:space="preserve">If colleagues are accessing your clean datasets in your project directory, it can be helpful to add readmes to the top of those directories to provide information about what datasets are available in the directory as well as pertinent information about those datasets, including how the datasets are related/can be linked.</w:t>
      </w:r>
      <w:r>
        <w:rPr>
          <w:rStyle w:val="FootnoteReference"/>
        </w:rPr>
        <w:footnoteReference w:id="402"/>
      </w:r>
    </w:p>
    <w:p>
      <w:pPr>
        <w:pStyle w:val="CaptionedFigure"/>
      </w:pPr>
      <w:r>
        <w:drawing>
          <wp:inline>
            <wp:extent cx="5334000" cy="2747567"/>
            <wp:effectExtent b="0" l="0" r="0" t="0"/>
            <wp:docPr descr="Figure 3.10: Washington University in St. Louis example readme for conveying information files in a directory" title="" id="405" name="Picture"/>
            <a:graphic>
              <a:graphicData uri="http://schemas.openxmlformats.org/drawingml/2006/picture">
                <pic:pic>
                  <pic:nvPicPr>
                    <pic:cNvPr descr="img/readme2.PNG" id="406" name="Picture"/>
                    <pic:cNvPicPr>
                      <a:picLocks noChangeArrowheads="1" noChangeAspect="1"/>
                    </pic:cNvPicPr>
                  </pic:nvPicPr>
                  <pic:blipFill>
                    <a:blip r:embed="rId404"/>
                    <a:stretch>
                      <a:fillRect/>
                    </a:stretch>
                  </pic:blipFill>
                  <pic:spPr bwMode="auto">
                    <a:xfrm>
                      <a:off x="0" y="0"/>
                      <a:ext cx="5334000" cy="2747567"/>
                    </a:xfrm>
                    <a:prstGeom prst="rect">
                      <a:avLst/>
                    </a:prstGeom>
                    <a:noFill/>
                    <a:ln w="9525">
                      <a:noFill/>
                      <a:headEnd/>
                      <a:tailEnd/>
                    </a:ln>
                  </pic:spPr>
                </pic:pic>
              </a:graphicData>
            </a:graphic>
          </wp:inline>
        </w:drawing>
      </w:r>
    </w:p>
    <w:p>
      <w:pPr>
        <w:pStyle w:val="ImageCaption"/>
      </w:pPr>
      <w:r>
        <w:t xml:space="preserve">Figure 3.10: Washington University in St. Louis example readme for conveying information files in a directory</w:t>
      </w:r>
    </w:p>
    <w:p>
      <w:pPr>
        <w:pStyle w:val="BodyText"/>
      </w:pPr>
      <w:r>
        <w:t xml:space="preserve">You can see that each of these readmes serve very different purposes and may be created at different times in your study. There will most likely be no need to create a readme before your study begins, but as you begin to collect and manage data you will have varying reasons to create these readmes.</w:t>
      </w:r>
    </w:p>
    <w:bookmarkEnd w:id="407"/>
    <w:bookmarkStart w:id="408" w:name="changelog"/>
    <w:p>
      <w:pPr>
        <w:pStyle w:val="Heading3"/>
      </w:pPr>
      <w:r>
        <w:rPr>
          <w:rStyle w:val="SectionNumber"/>
        </w:rPr>
        <w:t xml:space="preserve">7.3.2</w:t>
      </w:r>
      <w:r>
        <w:tab/>
      </w:r>
      <w:r>
        <w:t xml:space="preserve">Changelog</w:t>
      </w:r>
    </w:p>
    <w:bookmarkEnd w:id="408"/>
    <w:bookmarkStart w:id="409"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the clean, usable data. The document contains no code and is not technical skills dependent. A data cleaning plan is created for each dataset that you plan to collect (ex: student survey, student assessment, teacher survey, district student demographic data). Because this document lays out your intended transformations for each raw dataset it allows any team member to provide feedback on the data cleaning process. Typically the person who has the responsibility of cleaning the data will write out the data cleaning plans, but those documents can then be brought to a planning meeting allowing other team members, such as PIs, to provide input on the plan. This ensures that everyone agrees on the transformations to be performed. Once finalized, this data cleaning plan serves as your guide in the cleaning process.</w:t>
      </w:r>
    </w:p>
    <w:p>
      <w:pPr>
        <w:pStyle w:val="BodyText"/>
      </w:pPr>
      <w:r>
        <w:t xml:space="preserve">As a reminder, this data cleaning plan is for transforming the datasets only for the purposes of data sharing. This does not include any additional transformations needed for any specific analyses. We will talk much more about what types of transformations</w:t>
      </w:r>
      <w:r>
        <w:t xml:space="preserve"> </w:t>
      </w:r>
      <w:r>
        <w:rPr>
          <w:bCs/>
          <w:b/>
        </w:rPr>
        <w:t xml:space="preserve">should</w:t>
      </w:r>
      <w:r>
        <w:t xml:space="preserve"> </w:t>
      </w:r>
      <w:r>
        <w:t xml:space="preserve">go into a data cleaning plan in the</w:t>
      </w:r>
      <w:r>
        <w:t xml:space="preserve"> </w:t>
      </w:r>
      <w:r>
        <w:rPr>
          <w:bCs/>
          <w:b/>
        </w:rPr>
        <w:t xml:space="preserve">data cleaning</w:t>
      </w:r>
      <w:r>
        <w:t xml:space="preserve"> </w:t>
      </w:r>
      <w:r>
        <w:t xml:space="preserve">chapter of this book.</w:t>
      </w:r>
    </w:p>
    <w:p>
      <w:pPr>
        <w:pStyle w:val="SourceCode"/>
      </w:pPr>
      <w:r>
        <w:rPr>
          <w:rStyle w:val="VerbatimChar"/>
        </w:rPr>
        <w:t xml:space="preserve">      1. Read data into program</w:t>
      </w:r>
      <w:r>
        <w:br/>
      </w:r>
      <w:r>
        <w:rPr>
          <w:rStyle w:val="VerbatimChar"/>
        </w:rPr>
        <w:t xml:space="preserve">      2. Review # of rows and columns</w:t>
      </w:r>
      <w:r>
        <w:br/>
      </w:r>
      <w:r>
        <w:rPr>
          <w:rStyle w:val="VerbatimChar"/>
        </w:rPr>
        <w:t xml:space="preserve">      3. Remove duplicate cases</w:t>
      </w:r>
      <w:r>
        <w:br/>
      </w:r>
      <w:r>
        <w:rPr>
          <w:rStyle w:val="VerbatimChar"/>
        </w:rPr>
        <w:t xml:space="preserve">      4. Merge in studyid and schoolid from roster file</w:t>
      </w:r>
      <w:r>
        <w:br/>
      </w:r>
      <w:r>
        <w:rPr>
          <w:rStyle w:val="VerbatimChar"/>
        </w:rPr>
        <w:t xml:space="preserve">      5. De-identify data: Drop name and school name</w:t>
      </w:r>
      <w:r>
        <w:br/>
      </w:r>
      <w:r>
        <w:rPr>
          <w:rStyle w:val="VerbatimChar"/>
        </w:rPr>
        <w:t xml:space="preserve">      6. Rename variables</w:t>
      </w:r>
      <w:r>
        <w:br/>
      </w:r>
      <w:r>
        <w:rPr>
          <w:rStyle w:val="VerbatimChar"/>
        </w:rPr>
        <w:t xml:space="preserve">      7. Check variable types and fix as needed</w:t>
      </w:r>
      <w:r>
        <w:br/>
      </w:r>
      <w:r>
        <w:rPr>
          <w:rStyle w:val="VerbatimChar"/>
        </w:rPr>
        <w:t xml:space="preserve">      8. Reverse code toca1 and toca5 variables</w:t>
      </w:r>
      <w:r>
        <w:br/>
      </w:r>
      <w:r>
        <w:rPr>
          <w:rStyle w:val="VerbatimChar"/>
        </w:rPr>
        <w:t xml:space="preserve">      9. Calculate toca_sum and toca_mean</w:t>
      </w:r>
      <w:r>
        <w:br/>
      </w:r>
      <w:r>
        <w:rPr>
          <w:rStyle w:val="VerbatimChar"/>
        </w:rPr>
        <w:t xml:space="preserve">      10. Add treatment variable</w:t>
      </w:r>
      <w:r>
        <w:br/>
      </w:r>
      <w:r>
        <w:rPr>
          <w:rStyle w:val="VerbatimChar"/>
        </w:rPr>
        <w:t xml:space="preserve">      11. Add missing values</w:t>
      </w:r>
      <w:r>
        <w:br/>
      </w:r>
      <w:r>
        <w:rPr>
          <w:rStyle w:val="VerbatimChar"/>
        </w:rPr>
        <w:t xml:space="preserve">      12. Add variable and value labels</w:t>
      </w:r>
      <w:r>
        <w:br/>
      </w:r>
      <w:r>
        <w:rPr>
          <w:rStyle w:val="VerbatimChar"/>
        </w:rPr>
        <w:t xml:space="preserve">      13. Export data</w:t>
      </w:r>
    </w:p>
    <w:bookmarkEnd w:id="409"/>
    <w:bookmarkEnd w:id="410"/>
    <w:bookmarkStart w:id="411" w:name="variable-level"/>
    <w:p>
      <w:pPr>
        <w:pStyle w:val="Heading2"/>
      </w:pPr>
      <w:r>
        <w:rPr>
          <w:rStyle w:val="SectionNumber"/>
        </w:rPr>
        <w:t xml:space="preserve">7.4</w:t>
      </w:r>
      <w:r>
        <w:tab/>
      </w:r>
      <w:r>
        <w:t xml:space="preserve">Variable Level</w:t>
      </w:r>
    </w:p>
    <w:bookmarkEnd w:id="411"/>
    <w:bookmarkStart w:id="412" w:name="metadata"/>
    <w:p>
      <w:pPr>
        <w:pStyle w:val="Heading2"/>
      </w:pPr>
      <w:r>
        <w:rPr>
          <w:rStyle w:val="SectionNumber"/>
        </w:rPr>
        <w:t xml:space="preserve">7.5</w:t>
      </w:r>
      <w:r>
        <w:tab/>
      </w:r>
      <w:r>
        <w:t xml:space="preserve">Metadata</w:t>
      </w:r>
    </w:p>
    <w:bookmarkEnd w:id="412"/>
    <w:bookmarkEnd w:id="413"/>
    <w:bookmarkStart w:id="418" w:name="data-tracking"/>
    <w:p>
      <w:pPr>
        <w:pStyle w:val="Heading1"/>
      </w:pPr>
      <w:r>
        <w:rPr>
          <w:rStyle w:val="SectionNumber"/>
        </w:rPr>
        <w:t xml:space="preserve">8</w:t>
      </w:r>
      <w:r>
        <w:tab/>
      </w:r>
      <w:r>
        <w:t xml:space="preserve">Data Tracking</w:t>
      </w:r>
    </w:p>
    <w:bookmarkStart w:id="414" w:name="why-track-data"/>
    <w:p>
      <w:pPr>
        <w:pStyle w:val="Heading2"/>
      </w:pPr>
      <w:r>
        <w:rPr>
          <w:rStyle w:val="SectionNumber"/>
        </w:rPr>
        <w:t xml:space="preserve">8.1</w:t>
      </w:r>
      <w:r>
        <w:tab/>
      </w:r>
      <w:r>
        <w:t xml:space="preserve">Why track data?</w:t>
      </w:r>
    </w:p>
    <w:bookmarkEnd w:id="414"/>
    <w:bookmarkStart w:id="415" w:name="build-a-system"/>
    <w:p>
      <w:pPr>
        <w:pStyle w:val="Heading2"/>
      </w:pPr>
      <w:r>
        <w:rPr>
          <w:rStyle w:val="SectionNumber"/>
        </w:rPr>
        <w:t xml:space="preserve">8.2</w:t>
      </w:r>
      <w:r>
        <w:tab/>
      </w:r>
      <w:r>
        <w:t xml:space="preserve">Build a system</w:t>
      </w:r>
    </w:p>
    <w:bookmarkEnd w:id="415"/>
    <w:bookmarkStart w:id="416" w:name="ids"/>
    <w:p>
      <w:pPr>
        <w:pStyle w:val="Heading2"/>
      </w:pPr>
      <w:r>
        <w:rPr>
          <w:rStyle w:val="SectionNumber"/>
        </w:rPr>
        <w:t xml:space="preserve">8.3</w:t>
      </w:r>
      <w:r>
        <w:tab/>
      </w:r>
      <w:r>
        <w:t xml:space="preserve">Creating participant IDs</w:t>
      </w:r>
    </w:p>
    <w:bookmarkEnd w:id="416"/>
    <w:bookmarkStart w:id="417" w:name="X462b02df8aa0aa2236c799bbb92a45c26a99304"/>
    <w:p>
      <w:pPr>
        <w:pStyle w:val="Heading2"/>
      </w:pPr>
      <w:r>
        <w:rPr>
          <w:rStyle w:val="SectionNumber"/>
        </w:rPr>
        <w:t xml:space="preserve">8.4</w:t>
      </w:r>
      <w:r>
        <w:tab/>
      </w:r>
      <w:r>
        <w:t xml:space="preserve">When to build it, who builds it, tools to build it in</w:t>
      </w:r>
    </w:p>
    <w:bookmarkEnd w:id="417"/>
    <w:bookmarkEnd w:id="418"/>
    <w:bookmarkStart w:id="424" w:name="data-collection"/>
    <w:p>
      <w:pPr>
        <w:pStyle w:val="Heading1"/>
      </w:pPr>
      <w:r>
        <w:rPr>
          <w:rStyle w:val="SectionNumber"/>
        </w:rPr>
        <w:t xml:space="preserve">9</w:t>
      </w:r>
      <w:r>
        <w:tab/>
      </w:r>
      <w:r>
        <w:t xml:space="preserve">Data Collection</w:t>
      </w:r>
    </w:p>
    <w:bookmarkStart w:id="419" w:name="Xbc8506d1182cf1426d832e6ab42eeb02f5268c0"/>
    <w:p>
      <w:pPr>
        <w:pStyle w:val="Heading2"/>
      </w:pPr>
      <w:r>
        <w:rPr>
          <w:rStyle w:val="SectionNumber"/>
        </w:rPr>
        <w:t xml:space="preserve">9.1</w:t>
      </w:r>
      <w:r>
        <w:tab/>
      </w:r>
      <w:r>
        <w:t xml:space="preserve">Why consider data management in data collection?</w:t>
      </w:r>
    </w:p>
    <w:bookmarkEnd w:id="419"/>
    <w:bookmarkStart w:id="420" w:name="consents"/>
    <w:p>
      <w:pPr>
        <w:pStyle w:val="Heading2"/>
      </w:pPr>
      <w:r>
        <w:rPr>
          <w:rStyle w:val="SectionNumber"/>
        </w:rPr>
        <w:t xml:space="preserve">9.2</w:t>
      </w:r>
      <w:r>
        <w:tab/>
      </w:r>
      <w:r>
        <w:t xml:space="preserve">Consents</w:t>
      </w:r>
    </w:p>
    <w:bookmarkEnd w:id="420"/>
    <w:bookmarkStart w:id="421" w:name="electronic-data-collection-instruments"/>
    <w:p>
      <w:pPr>
        <w:pStyle w:val="Heading2"/>
      </w:pPr>
      <w:r>
        <w:rPr>
          <w:rStyle w:val="SectionNumber"/>
        </w:rPr>
        <w:t xml:space="preserve">9.3</w:t>
      </w:r>
      <w:r>
        <w:tab/>
      </w:r>
      <w:r>
        <w:t xml:space="preserve">Electronic data collection instruments</w:t>
      </w:r>
    </w:p>
    <w:bookmarkEnd w:id="421"/>
    <w:bookmarkStart w:id="422" w:name="paper-data-collection-instruments"/>
    <w:p>
      <w:pPr>
        <w:pStyle w:val="Heading2"/>
      </w:pPr>
      <w:r>
        <w:rPr>
          <w:rStyle w:val="SectionNumber"/>
        </w:rPr>
        <w:t xml:space="preserve">9.4</w:t>
      </w:r>
      <w:r>
        <w:tab/>
      </w:r>
      <w:r>
        <w:t xml:space="preserve">Paper data collection instruments</w:t>
      </w:r>
    </w:p>
    <w:bookmarkEnd w:id="422"/>
    <w:bookmarkStart w:id="423" w:name="interviewsfocus-groups"/>
    <w:p>
      <w:pPr>
        <w:pStyle w:val="Heading2"/>
      </w:pPr>
      <w:r>
        <w:rPr>
          <w:rStyle w:val="SectionNumber"/>
        </w:rPr>
        <w:t xml:space="preserve">9.5</w:t>
      </w:r>
      <w:r>
        <w:tab/>
      </w:r>
      <w:r>
        <w:t xml:space="preserve">Interviews/focus groups</w:t>
      </w:r>
    </w:p>
    <w:bookmarkEnd w:id="423"/>
    <w:bookmarkEnd w:id="424"/>
    <w:bookmarkStart w:id="428" w:name="data-capture"/>
    <w:p>
      <w:pPr>
        <w:pStyle w:val="Heading1"/>
      </w:pPr>
      <w:r>
        <w:rPr>
          <w:rStyle w:val="SectionNumber"/>
        </w:rPr>
        <w:t xml:space="preserve">10</w:t>
      </w:r>
      <w:r>
        <w:tab/>
      </w:r>
      <w:r>
        <w:t xml:space="preserve">Data Capture</w:t>
      </w:r>
    </w:p>
    <w:bookmarkStart w:id="425" w:name="electronic-data-capture"/>
    <w:p>
      <w:pPr>
        <w:pStyle w:val="Heading2"/>
      </w:pPr>
      <w:r>
        <w:rPr>
          <w:rStyle w:val="SectionNumber"/>
        </w:rPr>
        <w:t xml:space="preserve">10.1</w:t>
      </w:r>
      <w:r>
        <w:tab/>
      </w:r>
      <w:r>
        <w:t xml:space="preserve">Electronic data capture</w:t>
      </w:r>
    </w:p>
    <w:bookmarkEnd w:id="425"/>
    <w:bookmarkStart w:id="426" w:name="paper-data-capture"/>
    <w:p>
      <w:pPr>
        <w:pStyle w:val="Heading2"/>
      </w:pPr>
      <w:r>
        <w:rPr>
          <w:rStyle w:val="SectionNumber"/>
        </w:rPr>
        <w:t xml:space="preserve">10.2</w:t>
      </w:r>
      <w:r>
        <w:tab/>
      </w:r>
      <w:r>
        <w:t xml:space="preserve">Paper data capture</w:t>
      </w:r>
    </w:p>
    <w:bookmarkEnd w:id="426"/>
    <w:bookmarkStart w:id="427" w:name="extant-data"/>
    <w:p>
      <w:pPr>
        <w:pStyle w:val="Heading2"/>
      </w:pPr>
      <w:r>
        <w:rPr>
          <w:rStyle w:val="SectionNumber"/>
        </w:rPr>
        <w:t xml:space="preserve">10.3</w:t>
      </w:r>
      <w:r>
        <w:tab/>
      </w:r>
      <w:r>
        <w:t xml:space="preserve">Extant data</w:t>
      </w:r>
    </w:p>
    <w:bookmarkEnd w:id="427"/>
    <w:bookmarkEnd w:id="428"/>
    <w:bookmarkStart w:id="437" w:name="data-storage-and-security"/>
    <w:p>
      <w:pPr>
        <w:pStyle w:val="Heading1"/>
      </w:pPr>
      <w:r>
        <w:rPr>
          <w:rStyle w:val="SectionNumber"/>
        </w:rPr>
        <w:t xml:space="preserve">11</w:t>
      </w:r>
      <w:r>
        <w:tab/>
      </w:r>
      <w:r>
        <w:t xml:space="preserve">Data Storage and Security</w:t>
      </w:r>
    </w:p>
    <w:bookmarkStart w:id="429" w:name="types-of-data-youll-be-storing"/>
    <w:p>
      <w:pPr>
        <w:pStyle w:val="Heading2"/>
      </w:pPr>
      <w:r>
        <w:rPr>
          <w:rStyle w:val="SectionNumber"/>
        </w:rPr>
        <w:t xml:space="preserve">11.1</w:t>
      </w:r>
      <w:r>
        <w:tab/>
      </w:r>
      <w:r>
        <w:t xml:space="preserve">Types of data you’ll be storing</w:t>
      </w:r>
    </w:p>
    <w:bookmarkEnd w:id="429"/>
    <w:bookmarkStart w:id="430" w:name="general-security-rules"/>
    <w:p>
      <w:pPr>
        <w:pStyle w:val="Heading2"/>
      </w:pPr>
      <w:r>
        <w:rPr>
          <w:rStyle w:val="SectionNumber"/>
        </w:rPr>
        <w:t xml:space="preserve">11.2</w:t>
      </w:r>
      <w:r>
        <w:tab/>
      </w:r>
      <w:r>
        <w:t xml:space="preserve">General security rules</w:t>
      </w:r>
    </w:p>
    <w:bookmarkEnd w:id="430"/>
    <w:bookmarkStart w:id="431" w:name="participant-tracking-database"/>
    <w:p>
      <w:pPr>
        <w:pStyle w:val="Heading2"/>
      </w:pPr>
      <w:r>
        <w:rPr>
          <w:rStyle w:val="SectionNumber"/>
        </w:rPr>
        <w:t xml:space="preserve">11.3</w:t>
      </w:r>
      <w:r>
        <w:tab/>
      </w:r>
      <w:r>
        <w:t xml:space="preserve">Participant tracking database</w:t>
      </w:r>
    </w:p>
    <w:bookmarkEnd w:id="431"/>
    <w:bookmarkStart w:id="432" w:name="electronic-data"/>
    <w:p>
      <w:pPr>
        <w:pStyle w:val="Heading2"/>
      </w:pPr>
      <w:r>
        <w:rPr>
          <w:rStyle w:val="SectionNumber"/>
        </w:rPr>
        <w:t xml:space="preserve">11.4</w:t>
      </w:r>
      <w:r>
        <w:tab/>
      </w:r>
      <w:r>
        <w:t xml:space="preserve">Electronic data</w:t>
      </w:r>
    </w:p>
    <w:bookmarkEnd w:id="432"/>
    <w:bookmarkStart w:id="433" w:name="detachable-media"/>
    <w:p>
      <w:pPr>
        <w:pStyle w:val="Heading2"/>
      </w:pPr>
      <w:r>
        <w:rPr>
          <w:rStyle w:val="SectionNumber"/>
        </w:rPr>
        <w:t xml:space="preserve">11.5</w:t>
      </w:r>
      <w:r>
        <w:tab/>
      </w:r>
      <w:r>
        <w:t xml:space="preserve">Detachable media</w:t>
      </w:r>
    </w:p>
    <w:bookmarkEnd w:id="433"/>
    <w:bookmarkStart w:id="434" w:name="audiovisual-data"/>
    <w:p>
      <w:pPr>
        <w:pStyle w:val="Heading2"/>
      </w:pPr>
      <w:r>
        <w:rPr>
          <w:rStyle w:val="SectionNumber"/>
        </w:rPr>
        <w:t xml:space="preserve">11.6</w:t>
      </w:r>
      <w:r>
        <w:tab/>
      </w:r>
      <w:r>
        <w:t xml:space="preserve">Audio/visual data</w:t>
      </w:r>
    </w:p>
    <w:bookmarkEnd w:id="434"/>
    <w:bookmarkStart w:id="435" w:name="paper-data"/>
    <w:p>
      <w:pPr>
        <w:pStyle w:val="Heading2"/>
      </w:pPr>
      <w:r>
        <w:rPr>
          <w:rStyle w:val="SectionNumber"/>
        </w:rPr>
        <w:t xml:space="preserve">11.7</w:t>
      </w:r>
      <w:r>
        <w:tab/>
      </w:r>
      <w:r>
        <w:t xml:space="preserve">Paper data</w:t>
      </w:r>
    </w:p>
    <w:bookmarkEnd w:id="435"/>
    <w:bookmarkStart w:id="436" w:name="sharing-data"/>
    <w:p>
      <w:pPr>
        <w:pStyle w:val="Heading2"/>
      </w:pPr>
      <w:r>
        <w:rPr>
          <w:rStyle w:val="SectionNumber"/>
        </w:rPr>
        <w:t xml:space="preserve">11.8</w:t>
      </w:r>
      <w:r>
        <w:tab/>
      </w:r>
      <w:r>
        <w:t xml:space="preserve">Sharing data</w:t>
      </w:r>
    </w:p>
    <w:bookmarkEnd w:id="436"/>
    <w:bookmarkEnd w:id="437"/>
    <w:bookmarkStart w:id="443" w:name="data-cleaning"/>
    <w:p>
      <w:pPr>
        <w:pStyle w:val="Heading1"/>
      </w:pPr>
      <w:r>
        <w:rPr>
          <w:rStyle w:val="SectionNumber"/>
        </w:rPr>
        <w:t xml:space="preserve">12</w:t>
      </w:r>
      <w:r>
        <w:tab/>
      </w:r>
      <w:r>
        <w:t xml:space="preserve">Data Cleaning</w:t>
      </w:r>
    </w:p>
    <w:bookmarkStart w:id="438" w:name="foundational-knowledge"/>
    <w:p>
      <w:pPr>
        <w:pStyle w:val="Heading2"/>
      </w:pPr>
      <w:r>
        <w:rPr>
          <w:rStyle w:val="SectionNumber"/>
        </w:rPr>
        <w:t xml:space="preserve">12.1</w:t>
      </w:r>
      <w:r>
        <w:tab/>
      </w:r>
      <w:r>
        <w:t xml:space="preserve">Foundational knowledge</w:t>
      </w:r>
    </w:p>
    <w:bookmarkEnd w:id="438"/>
    <w:bookmarkStart w:id="439" w:name="data-structure-1"/>
    <w:p>
      <w:pPr>
        <w:pStyle w:val="Heading2"/>
      </w:pPr>
      <w:r>
        <w:rPr>
          <w:rStyle w:val="SectionNumber"/>
        </w:rPr>
        <w:t xml:space="preserve">12.2</w:t>
      </w:r>
      <w:r>
        <w:tab/>
      </w:r>
      <w:r>
        <w:t xml:space="preserve">Data structure</w:t>
      </w:r>
    </w:p>
    <w:bookmarkEnd w:id="439"/>
    <w:bookmarkStart w:id="440" w:name="data-cleaning-plan-1"/>
    <w:p>
      <w:pPr>
        <w:pStyle w:val="Heading2"/>
      </w:pPr>
      <w:r>
        <w:rPr>
          <w:rStyle w:val="SectionNumber"/>
        </w:rPr>
        <w:t xml:space="preserve">12.3</w:t>
      </w:r>
      <w:r>
        <w:tab/>
      </w:r>
      <w:r>
        <w:t xml:space="preserve">Data cleaning plan</w:t>
      </w:r>
    </w:p>
    <w:bookmarkEnd w:id="440"/>
    <w:bookmarkStart w:id="441" w:name="data-validation"/>
    <w:p>
      <w:pPr>
        <w:pStyle w:val="Heading2"/>
      </w:pPr>
      <w:r>
        <w:rPr>
          <w:rStyle w:val="SectionNumber"/>
        </w:rPr>
        <w:t xml:space="preserve">12.4</w:t>
      </w:r>
      <w:r>
        <w:tab/>
      </w:r>
      <w:r>
        <w:t xml:space="preserve">Data validation</w:t>
      </w:r>
    </w:p>
    <w:bookmarkEnd w:id="441"/>
    <w:bookmarkStart w:id="442" w:name="why-use-code"/>
    <w:p>
      <w:pPr>
        <w:pStyle w:val="Heading2"/>
      </w:pPr>
      <w:r>
        <w:rPr>
          <w:rStyle w:val="SectionNumber"/>
        </w:rPr>
        <w:t xml:space="preserve">12.5</w:t>
      </w:r>
      <w:r>
        <w:tab/>
      </w:r>
      <w:r>
        <w:t xml:space="preserve">Why use code?</w:t>
      </w:r>
    </w:p>
    <w:bookmarkEnd w:id="442"/>
    <w:bookmarkEnd w:id="443"/>
    <w:bookmarkStart w:id="448" w:name="data-sharing"/>
    <w:p>
      <w:pPr>
        <w:pStyle w:val="Heading1"/>
      </w:pPr>
      <w:r>
        <w:rPr>
          <w:rStyle w:val="SectionNumber"/>
        </w:rPr>
        <w:t xml:space="preserve">13</w:t>
      </w:r>
      <w:r>
        <w:tab/>
      </w:r>
      <w:r>
        <w:t xml:space="preserve">Data Sharing</w:t>
      </w:r>
    </w:p>
    <w:bookmarkStart w:id="444" w:name="why-share-your-data"/>
    <w:p>
      <w:pPr>
        <w:pStyle w:val="Heading2"/>
      </w:pPr>
      <w:r>
        <w:rPr>
          <w:rStyle w:val="SectionNumber"/>
        </w:rPr>
        <w:t xml:space="preserve">13.1</w:t>
      </w:r>
      <w:r>
        <w:tab/>
      </w:r>
      <w:r>
        <w:t xml:space="preserve">Why share your data?</w:t>
      </w:r>
    </w:p>
    <w:bookmarkEnd w:id="444"/>
    <w:bookmarkStart w:id="445" w:name="considering-fair-principles"/>
    <w:p>
      <w:pPr>
        <w:pStyle w:val="Heading2"/>
      </w:pPr>
      <w:r>
        <w:rPr>
          <w:rStyle w:val="SectionNumber"/>
        </w:rPr>
        <w:t xml:space="preserve">13.2</w:t>
      </w:r>
      <w:r>
        <w:tab/>
      </w:r>
      <w:r>
        <w:t xml:space="preserve">Considering FAIR principles</w:t>
      </w:r>
    </w:p>
    <w:bookmarkEnd w:id="445"/>
    <w:bookmarkStart w:id="446" w:name="best-practices"/>
    <w:p>
      <w:pPr>
        <w:pStyle w:val="Heading2"/>
      </w:pPr>
      <w:r>
        <w:rPr>
          <w:rStyle w:val="SectionNumber"/>
        </w:rPr>
        <w:t xml:space="preserve">13.3</w:t>
      </w:r>
      <w:r>
        <w:tab/>
      </w:r>
      <w:r>
        <w:t xml:space="preserve">Best practices</w:t>
      </w:r>
    </w:p>
    <w:bookmarkEnd w:id="446"/>
    <w:bookmarkStart w:id="447" w:name="retractions-and-revisions"/>
    <w:p>
      <w:pPr>
        <w:pStyle w:val="Heading2"/>
      </w:pPr>
      <w:r>
        <w:rPr>
          <w:rStyle w:val="SectionNumber"/>
        </w:rPr>
        <w:t xml:space="preserve">13.4</w:t>
      </w:r>
      <w:r>
        <w:tab/>
      </w:r>
      <w:r>
        <w:t xml:space="preserve">Retractions and revisions</w:t>
      </w:r>
    </w:p>
    <w:bookmarkEnd w:id="447"/>
    <w:bookmarkEnd w:id="448"/>
    <w:bookmarkStart w:id="451" w:name="wrapping-it-up"/>
    <w:p>
      <w:pPr>
        <w:pStyle w:val="Heading1"/>
      </w:pPr>
      <w:r>
        <w:rPr>
          <w:rStyle w:val="SectionNumber"/>
        </w:rPr>
        <w:t xml:space="preserve">14</w:t>
      </w:r>
      <w:r>
        <w:tab/>
      </w:r>
      <w:r>
        <w:t xml:space="preserve">Wrapping It Up</w:t>
      </w:r>
    </w:p>
    <w:bookmarkStart w:id="449" w:name="connecting-practices-to-outcomes"/>
    <w:p>
      <w:pPr>
        <w:pStyle w:val="Heading2"/>
      </w:pPr>
      <w:r>
        <w:rPr>
          <w:rStyle w:val="SectionNumber"/>
        </w:rPr>
        <w:t xml:space="preserve">14.1</w:t>
      </w:r>
      <w:r>
        <w:tab/>
      </w:r>
      <w:r>
        <w:t xml:space="preserve">Connecting practices to outcomes</w:t>
      </w:r>
    </w:p>
    <w:bookmarkEnd w:id="449"/>
    <w:bookmarkStart w:id="450" w:name="putting-in-the-work"/>
    <w:p>
      <w:pPr>
        <w:pStyle w:val="Heading2"/>
      </w:pPr>
      <w:r>
        <w:rPr>
          <w:rStyle w:val="SectionNumber"/>
        </w:rPr>
        <w:t xml:space="preserve">14.2</w:t>
      </w:r>
      <w:r>
        <w:tab/>
      </w:r>
      <w:r>
        <w:t xml:space="preserve">Putting in the work</w:t>
      </w:r>
    </w:p>
    <w:bookmarkEnd w:id="450"/>
    <w:bookmarkEnd w:id="451"/>
    <w:bookmarkStart w:id="455" w:name="call-to-action"/>
    <w:p>
      <w:pPr>
        <w:pStyle w:val="Heading1"/>
      </w:pPr>
      <w:r>
        <w:rPr>
          <w:rStyle w:val="SectionNumber"/>
        </w:rPr>
        <w:t xml:space="preserve">15</w:t>
      </w:r>
      <w:r>
        <w:tab/>
      </w:r>
      <w:r>
        <w:t xml:space="preserve">Call to Action</w:t>
      </w:r>
    </w:p>
    <w:bookmarkStart w:id="452" w:name="last-thoughts"/>
    <w:p>
      <w:pPr>
        <w:pStyle w:val="Heading2"/>
      </w:pPr>
      <w:r>
        <w:rPr>
          <w:rStyle w:val="SectionNumber"/>
        </w:rPr>
        <w:t xml:space="preserve">15.1</w:t>
      </w:r>
      <w:r>
        <w:tab/>
      </w:r>
      <w:r>
        <w:t xml:space="preserve">Last thoughts</w:t>
      </w:r>
    </w:p>
    <w:bookmarkEnd w:id="452"/>
    <w:bookmarkStart w:id="453" w:name="training-for-future-researchers"/>
    <w:p>
      <w:pPr>
        <w:pStyle w:val="Heading2"/>
      </w:pPr>
      <w:r>
        <w:rPr>
          <w:rStyle w:val="SectionNumber"/>
        </w:rPr>
        <w:t xml:space="preserve">15.2</w:t>
      </w:r>
      <w:r>
        <w:tab/>
      </w:r>
      <w:r>
        <w:t xml:space="preserve">Training for future researchers</w:t>
      </w:r>
    </w:p>
    <w:bookmarkEnd w:id="453"/>
    <w:bookmarkStart w:id="454" w:name="X77f9e2dc88081311896fe5c0fa48604f4a8018c"/>
    <w:p>
      <w:pPr>
        <w:pStyle w:val="Heading2"/>
      </w:pPr>
      <w:r>
        <w:rPr>
          <w:rStyle w:val="SectionNumber"/>
        </w:rPr>
        <w:t xml:space="preserve">15.3</w:t>
      </w:r>
      <w:r>
        <w:tab/>
      </w:r>
      <w:r>
        <w:t xml:space="preserve">Investing in data management and data managers</w:t>
      </w:r>
    </w:p>
    <w:bookmarkEnd w:id="454"/>
    <w:bookmarkEnd w:id="455"/>
    <w:bookmarkStart w:id="553" w:name="appendices"/>
    <w:p>
      <w:pPr>
        <w:pStyle w:val="Heading1"/>
      </w:pPr>
      <w:r>
        <w:rPr>
          <w:rStyle w:val="SectionNumber"/>
        </w:rPr>
        <w:t xml:space="preserve">16</w:t>
      </w:r>
      <w:r>
        <w:tab/>
      </w:r>
      <w:r>
        <w:t xml:space="preserve">Appendices</w:t>
      </w:r>
    </w:p>
    <w:bookmarkStart w:id="552" w:name="refs"/>
    <w:bookmarkStart w:id="456"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bookmarkEnd w:id="456"/>
    <w:bookmarkStart w:id="457"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bookmarkEnd w:id="457"/>
    <w:bookmarkStart w:id="458"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40">
        <w:r>
          <w:rPr>
            <w:rStyle w:val="Hyperlink"/>
          </w:rPr>
          <w:t xml:space="preserve">https://osf.io/mdh87/</w:t>
        </w:r>
      </w:hyperlink>
      <w:r>
        <w:t xml:space="preserve">.</w:t>
      </w:r>
    </w:p>
    <w:bookmarkEnd w:id="458"/>
    <w:bookmarkStart w:id="459"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6">
        <w:r>
          <w:rPr>
            <w:rStyle w:val="Hyperlink"/>
          </w:rPr>
          <w:t xml:space="preserve">https://doi.org/10.1038/533452a</w:t>
        </w:r>
      </w:hyperlink>
      <w:r>
        <w:t xml:space="preserve">.</w:t>
      </w:r>
    </w:p>
    <w:bookmarkEnd w:id="459"/>
    <w:bookmarkStart w:id="460"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27">
        <w:r>
          <w:rPr>
            <w:rStyle w:val="Hyperlink"/>
          </w:rPr>
          <w:t xml:space="preserve">https://docs.google.com/document/d/1LqGdtHg0dMbj9lsCnC1QOoWzIsnSNRTSek6i3Kls2Ik/edit?usp=embed_facebook</w:t>
        </w:r>
      </w:hyperlink>
      <w:r>
        <w:t xml:space="preserve">.</w:t>
      </w:r>
    </w:p>
    <w:bookmarkEnd w:id="460"/>
    <w:bookmarkStart w:id="461"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69">
        <w:r>
          <w:rPr>
            <w:rStyle w:val="Hyperlink"/>
          </w:rPr>
          <w:t xml:space="preserve">http://orrp.osu.edu/files/2011/10/GuidelinesforWritingaResearchProtocol.pdf</w:t>
        </w:r>
      </w:hyperlink>
      <w:r>
        <w:t xml:space="preserve">.</w:t>
      </w:r>
    </w:p>
    <w:bookmarkEnd w:id="461"/>
    <w:bookmarkStart w:id="462"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7">
        <w:r>
          <w:rPr>
            <w:rStyle w:val="Hyperlink"/>
          </w:rPr>
          <w:t xml:space="preserve">https://pitt.libguides.com/managedata/understanding</w:t>
        </w:r>
      </w:hyperlink>
      <w:r>
        <w:t xml:space="preserve">.</w:t>
      </w:r>
    </w:p>
    <w:bookmarkEnd w:id="462"/>
    <w:bookmarkStart w:id="463"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6">
        <w:r>
          <w:rPr>
            <w:rStyle w:val="Hyperlink"/>
          </w:rPr>
          <w:t xml:space="preserve">https://doi.org/10.1371/journal.pone.0252047</w:t>
        </w:r>
      </w:hyperlink>
      <w:r>
        <w:t xml:space="preserve">.</w:t>
      </w:r>
    </w:p>
    <w:bookmarkEnd w:id="463"/>
    <w:bookmarkStart w:id="464"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5">
        <w:r>
          <w:rPr>
            <w:rStyle w:val="Hyperlink"/>
          </w:rPr>
          <w:t xml:space="preserve">https://doi.org/10.1162/99608f92.9497f68e</w:t>
        </w:r>
      </w:hyperlink>
      <w:r>
        <w:t xml:space="preserve">.</w:t>
      </w:r>
    </w:p>
    <w:bookmarkEnd w:id="464"/>
    <w:bookmarkStart w:id="465"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0">
        <w:r>
          <w:rPr>
            <w:rStyle w:val="Hyperlink"/>
          </w:rPr>
          <w:t xml:space="preserve">https://doi.org/10.5334/dsj-2021-009</w:t>
        </w:r>
      </w:hyperlink>
      <w:r>
        <w:t xml:space="preserve">.</w:t>
      </w:r>
    </w:p>
    <w:bookmarkEnd w:id="465"/>
    <w:bookmarkStart w:id="466"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466"/>
    <w:bookmarkStart w:id="467"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79">
        <w:r>
          <w:rPr>
            <w:rStyle w:val="Hyperlink"/>
          </w:rPr>
          <w:t xml:space="preserve">https://doi.org/10.3897/rio.6.e56508</w:t>
        </w:r>
      </w:hyperlink>
      <w:r>
        <w:t xml:space="preserve">.</w:t>
      </w:r>
    </w:p>
    <w:bookmarkEnd w:id="467"/>
    <w:bookmarkStart w:id="468"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w:t>
      </w:r>
    </w:p>
    <w:bookmarkEnd w:id="468"/>
    <w:bookmarkStart w:id="469"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5">
        <w:r>
          <w:rPr>
            <w:rStyle w:val="Hyperlink"/>
          </w:rPr>
          <w:t xml:space="preserve">https://doi.org/10.4000/books.oep.426</w:t>
        </w:r>
      </w:hyperlink>
      <w:r>
        <w:t xml:space="preserve">.</w:t>
      </w:r>
    </w:p>
    <w:bookmarkEnd w:id="469"/>
    <w:bookmarkStart w:id="470"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470"/>
    <w:bookmarkStart w:id="471"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8">
        <w:r>
          <w:rPr>
            <w:rStyle w:val="Hyperlink"/>
          </w:rPr>
          <w:t xml:space="preserve">https://doi.org/10.1016/j.gaceta.2018.01.009</w:t>
        </w:r>
      </w:hyperlink>
      <w:r>
        <w:t xml:space="preserve">.</w:t>
      </w:r>
    </w:p>
    <w:bookmarkEnd w:id="471"/>
    <w:bookmarkStart w:id="472"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3">
        <w:r>
          <w:rPr>
            <w:rStyle w:val="Hyperlink"/>
          </w:rPr>
          <w:t xml:space="preserve">https://www.cdisc.org/standards</w:t>
        </w:r>
      </w:hyperlink>
      <w:r>
        <w:t xml:space="preserve">.</w:t>
      </w:r>
    </w:p>
    <w:bookmarkEnd w:id="472"/>
    <w:bookmarkStart w:id="473"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51">
        <w:r>
          <w:rPr>
            <w:rStyle w:val="Hyperlink"/>
          </w:rPr>
          <w:t xml:space="preserve">https://dmeg.cessda.eu/Data-Management-Expert-Guide/3.-Process/Data-authenticity</w:t>
        </w:r>
      </w:hyperlink>
      <w:r>
        <w:t xml:space="preserve">.</w:t>
      </w:r>
    </w:p>
    <w:bookmarkEnd w:id="473"/>
    <w:bookmarkStart w:id="474"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8">
        <w:r>
          <w:rPr>
            <w:rStyle w:val="Hyperlink"/>
          </w:rPr>
          <w:t xml:space="preserve">https://doi.org/10.6084/m9.figshare.19514368.v1</w:t>
        </w:r>
      </w:hyperlink>
      <w:r>
        <w:t xml:space="preserve">.</w:t>
      </w:r>
    </w:p>
    <w:bookmarkEnd w:id="474"/>
    <w:bookmarkStart w:id="475"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77">
        <w:r>
          <w:rPr>
            <w:rStyle w:val="Hyperlink"/>
          </w:rPr>
          <w:t xml:space="preserve">https://www.consort-statement.org/consort-statement/flow-diagram</w:t>
        </w:r>
      </w:hyperlink>
      <w:r>
        <w:t xml:space="preserve">.</w:t>
      </w:r>
    </w:p>
    <w:bookmarkEnd w:id="475"/>
    <w:bookmarkStart w:id="476"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w:t>
      </w:r>
    </w:p>
    <w:bookmarkEnd w:id="476"/>
    <w:bookmarkStart w:id="477" w:name="ref-noauthor_creating_nodate"/>
    <w:p>
      <w:pPr>
        <w:pStyle w:val="Bibliography"/>
      </w:pP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October 28, 2022.</w:t>
      </w:r>
      <w:r>
        <w:t xml:space="preserve"> </w:t>
      </w:r>
      <w:hyperlink r:id="rId193">
        <w:r>
          <w:rPr>
            <w:rStyle w:val="Hyperlink"/>
          </w:rPr>
          <w:t xml:space="preserve">https://help.osf.io/article/144-creating-a-data-management-plan-dmp-document</w:t>
        </w:r>
      </w:hyperlink>
      <w:r>
        <w:t xml:space="preserve">.</w:t>
      </w:r>
    </w:p>
    <w:bookmarkEnd w:id="477"/>
    <w:bookmarkStart w:id="478"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3">
        <w:r>
          <w:rPr>
            <w:rStyle w:val="Hyperlink"/>
          </w:rPr>
          <w:t xml:space="preserve">https://dataoneorg.github.io/Education/bestpractices/provide-budget-information</w:t>
        </w:r>
      </w:hyperlink>
      <w:r>
        <w:t xml:space="preserve">.</w:t>
      </w:r>
    </w:p>
    <w:bookmarkEnd w:id="478"/>
    <w:bookmarkStart w:id="479"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3">
        <w:r>
          <w:rPr>
            <w:rStyle w:val="Hyperlink"/>
          </w:rPr>
          <w:t xml:space="preserve">https://library.csp.edu/Zotero/workflow</w:t>
        </w:r>
      </w:hyperlink>
      <w:r>
        <w:t xml:space="preserve">.</w:t>
      </w:r>
    </w:p>
    <w:bookmarkEnd w:id="479"/>
    <w:bookmarkStart w:id="480"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bookmarkEnd w:id="480"/>
    <w:bookmarkStart w:id="481" w:name="ref-noauthor_dmptool_nodate"/>
    <w:p>
      <w:pPr>
        <w:pStyle w:val="Bibliography"/>
      </w:pPr>
      <w:r>
        <w:t xml:space="preserve">“</w:t>
      </w:r>
      <w:r>
        <w:t xml:space="preserve">DMPTool</w:t>
      </w:r>
      <w:r>
        <w:t xml:space="preserve">.”</w:t>
      </w:r>
      <w:r>
        <w:t xml:space="preserve"> </w:t>
      </w:r>
      <w:r>
        <w:t xml:space="preserve">Accessed October 27, 2022.</w:t>
      </w:r>
      <w:r>
        <w:t xml:space="preserve"> </w:t>
      </w:r>
      <w:hyperlink r:id="rId210">
        <w:r>
          <w:rPr>
            <w:rStyle w:val="Hyperlink"/>
          </w:rPr>
          <w:t xml:space="preserve">https://dmptool.org/</w:t>
        </w:r>
      </w:hyperlink>
      <w:r>
        <w:t xml:space="preserve">.</w:t>
      </w:r>
    </w:p>
    <w:bookmarkEnd w:id="481"/>
    <w:bookmarkStart w:id="482"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0">
        <w:r>
          <w:rPr>
            <w:rStyle w:val="Hyperlink"/>
          </w:rPr>
          <w:t xml:space="preserve">https://docplayer.net/8853333-Drowning-in-research-data-addressing-data-management-literacy-of-graduate-students.html</w:t>
        </w:r>
      </w:hyperlink>
      <w:r>
        <w:t xml:space="preserve">.</w:t>
      </w:r>
    </w:p>
    <w:bookmarkEnd w:id="482"/>
    <w:bookmarkStart w:id="483"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bookmarkEnd w:id="483"/>
    <w:bookmarkStart w:id="484" w:name="X2009c37f8a3691fc61520716d6c51727ddbeca2"/>
    <w:p>
      <w:pPr>
        <w:pStyle w:val="Bibliography"/>
      </w:pPr>
      <w:r>
        <w:t xml:space="preserve">Education Sciences, Institute of.</w:t>
      </w:r>
      <w:r>
        <w:t xml:space="preserve"> </w:t>
      </w:r>
      <w:r>
        <w:t xml:space="preserve">“Frequently Asked Questions about Providing Public Access to Data.”</w:t>
      </w:r>
      <w:r>
        <w:t xml:space="preserve"> </w:t>
      </w:r>
      <w:r>
        <w:t xml:space="preserve">Accessed October 21, 2022.</w:t>
      </w:r>
      <w:r>
        <w:t xml:space="preserve"> </w:t>
      </w:r>
      <w:hyperlink r:id="rId68">
        <w:r>
          <w:rPr>
            <w:rStyle w:val="Hyperlink"/>
          </w:rPr>
          <w:t xml:space="preserve">https://ies.ed.gov/funding/datasharing_faq.asp</w:t>
        </w:r>
      </w:hyperlink>
      <w:r>
        <w:t xml:space="preserve">.</w:t>
      </w:r>
    </w:p>
    <w:bookmarkEnd w:id="484"/>
    <w:bookmarkStart w:id="485" w:name="X3f7ae7e9e6ef410c34e10cd81d53580f02818f2"/>
    <w:p>
      <w:pPr>
        <w:pStyle w:val="Bibliography"/>
      </w:pPr>
      <w:r>
        <w:t xml:space="preserve">———.</w:t>
      </w:r>
      <w:r>
        <w:t xml:space="preserve"> </w:t>
      </w:r>
      <w:r>
        <w:t xml:space="preserve">“</w:t>
      </w:r>
      <w:r>
        <w:t xml:space="preserve">IES</w:t>
      </w:r>
      <w:r>
        <w:t xml:space="preserve"> </w:t>
      </w:r>
      <w:r>
        <w:t xml:space="preserve">Funding Opportunities.”</w:t>
      </w:r>
      <w:r>
        <w:t xml:space="preserve"> </w:t>
      </w:r>
      <w:r>
        <w:t xml:space="preserve">Indexes; Offices. Accessed January 9, 2023.</w:t>
      </w:r>
      <w:r>
        <w:t xml:space="preserve"> </w:t>
      </w:r>
      <w:hyperlink r:id="rId117">
        <w:r>
          <w:rPr>
            <w:rStyle w:val="Hyperlink"/>
          </w:rPr>
          <w:t xml:space="preserve">https://ies.ed.gov/funding/23rfas.asp</w:t>
        </w:r>
      </w:hyperlink>
      <w:r>
        <w:t xml:space="preserve">.</w:t>
      </w:r>
    </w:p>
    <w:bookmarkEnd w:id="485"/>
    <w:bookmarkStart w:id="486"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32">
        <w:r>
          <w:rPr>
            <w:rStyle w:val="Hyperlink"/>
          </w:rPr>
          <w:t xml:space="preserve">https://uploads.strikinglycdn.com/files/f3dfcf89-32f2-48cb-94cd-3070f733c53d/RAISE%20Lab%20Guidelines_Final.pdf</w:t>
        </w:r>
      </w:hyperlink>
      <w:r>
        <w:t xml:space="preserve">.</w:t>
      </w:r>
    </w:p>
    <w:bookmarkEnd w:id="486"/>
    <w:bookmarkStart w:id="487"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bookmarkEnd w:id="487"/>
    <w:bookmarkStart w:id="488"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bookmarkEnd w:id="488"/>
    <w:bookmarkStart w:id="489"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4">
        <w:r>
          <w:rPr>
            <w:rStyle w:val="Hyperlink"/>
          </w:rPr>
          <w:t xml:space="preserve">https://www.nsf.gov/bfa/dias/policy/dmpdocs/ehr.pdf</w:t>
        </w:r>
      </w:hyperlink>
      <w:r>
        <w:t xml:space="preserve">.</w:t>
      </w:r>
    </w:p>
    <w:bookmarkEnd w:id="489"/>
    <w:bookmarkStart w:id="490" w:name="ref-open_science_foundation_cos_2022"/>
    <w:p>
      <w:pPr>
        <w:pStyle w:val="Bibliography"/>
      </w:pPr>
      <w:r>
        <w:t xml:space="preserve">Foundation,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4">
        <w:r>
          <w:rPr>
            <w:rStyle w:val="Hyperlink"/>
          </w:rPr>
          <w:t xml:space="preserve">https://docs.google.com/presentation/d/1LpyVOj8oJPr3SVkRM2GfCFnl2Qeo10YbbqcqwtwrVUM</w:t>
        </w:r>
      </w:hyperlink>
      <w:r>
        <w:t xml:space="preserve">.</w:t>
      </w:r>
    </w:p>
    <w:bookmarkEnd w:id="490"/>
    <w:bookmarkStart w:id="491" w:name="X9e9404f7a20e7466ca74720b23c07acdfd54445"/>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bookmarkEnd w:id="491"/>
    <w:bookmarkStart w:id="492"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87">
        <w:r>
          <w:rPr>
            <w:rStyle w:val="Hyperlink"/>
          </w:rPr>
          <w:t xml:space="preserve">https://web.stanford.edu/~gentzkow/research/CodeAndData.pdf</w:t>
        </w:r>
      </w:hyperlink>
      <w:r>
        <w:t xml:space="preserve">.</w:t>
      </w:r>
    </w:p>
    <w:bookmarkEnd w:id="492"/>
    <w:bookmarkStart w:id="493"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49">
        <w:r>
          <w:rPr>
            <w:rStyle w:val="Hyperlink"/>
          </w:rPr>
          <w:t xml:space="preserve">https://www.povertyactionlab.org/resource/formalize-research-partnership-and-establish-roles-and-expectations</w:t>
        </w:r>
      </w:hyperlink>
      <w:r>
        <w:t xml:space="preserve">.</w:t>
      </w:r>
    </w:p>
    <w:bookmarkEnd w:id="493"/>
    <w:bookmarkStart w:id="494"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w:t>
      </w:r>
    </w:p>
    <w:bookmarkEnd w:id="494"/>
    <w:bookmarkStart w:id="495"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bookmarkEnd w:id="495"/>
    <w:bookmarkStart w:id="496"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83">
        <w:r>
          <w:rPr>
            <w:rStyle w:val="Hyperlink"/>
          </w:rPr>
          <w:t xml:space="preserve">https://doi.org/10.5278/16k4-4n24</w:t>
        </w:r>
      </w:hyperlink>
      <w:r>
        <w:t xml:space="preserve">.</w:t>
      </w:r>
    </w:p>
    <w:bookmarkEnd w:id="496"/>
    <w:bookmarkStart w:id="497"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15">
        <w:r>
          <w:rPr>
            <w:rStyle w:val="Hyperlink"/>
          </w:rPr>
          <w:t xml:space="preserve">https://sharing.nih.gov/data-management-and-sharing-policy/planning-and-budgeting-for-data-management-and-sharing/budgeting-for-data-management-sharing#after</w:t>
        </w:r>
      </w:hyperlink>
      <w:r>
        <w:t xml:space="preserve">.</w:t>
      </w:r>
    </w:p>
    <w:bookmarkEnd w:id="497"/>
    <w:bookmarkStart w:id="498" w:name="X578e5071918a149551a6b276e45135168a1a6a5"/>
    <w:p>
      <w:pPr>
        <w:pStyle w:val="Bibliography"/>
      </w:pPr>
      <w:r>
        <w:t xml:space="preserve">———.</w:t>
      </w:r>
      <w:r>
        <w:t xml:space="preserve"> </w:t>
      </w:r>
      <w:r>
        <w:t xml:space="preserve">“Writing a Data Management &amp; Sharing Plan</w:t>
      </w:r>
      <w:r>
        <w:t xml:space="preserve"> </w:t>
      </w:r>
      <w:r>
        <w:t xml:space="preserve"> </w:t>
      </w:r>
      <w:r>
        <w:t xml:space="preserve">Data Sharing.”</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bookmarkEnd w:id="498"/>
    <w:bookmarkStart w:id="499"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bookmarkEnd w:id="499"/>
    <w:bookmarkStart w:id="500"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500"/>
    <w:bookmarkStart w:id="501"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59">
        <w:r>
          <w:rPr>
            <w:rStyle w:val="Hyperlink"/>
          </w:rPr>
          <w:t xml:space="preserve">https://www.neh.gov/sites/default/files/2018-06/data_management_plans_2018.pdf</w:t>
        </w:r>
      </w:hyperlink>
      <w:r>
        <w:t xml:space="preserve">.</w:t>
      </w:r>
    </w:p>
    <w:bookmarkEnd w:id="501"/>
    <w:bookmarkStart w:id="502" w:name="ref-icpsr_guide_nodate"/>
    <w:p>
      <w:pPr>
        <w:pStyle w:val="Bibliography"/>
      </w:pPr>
      <w:r>
        <w:t xml:space="preserve">ICPSR.</w:t>
      </w:r>
      <w:r>
        <w:t xml:space="preserve"> </w:t>
      </w:r>
      <w:r>
        <w:t xml:space="preserve">“Guide to Social Science Data Preparation and Archiving: 6th Ed.”</w:t>
      </w:r>
      <w:r>
        <w:t xml:space="preserve"> Accessed January 9, 2023.</w:t>
      </w:r>
      <w:r>
        <w:t xml:space="preserve"> </w:t>
      </w:r>
      <w:hyperlink r:id="rId198">
        <w:r>
          <w:rPr>
            <w:rStyle w:val="Hyperlink"/>
          </w:rPr>
          <w:t xml:space="preserve">https://www.icpsr.umich.edu/web/pages/deposit/guide/</w:t>
        </w:r>
      </w:hyperlink>
      <w:r>
        <w:t xml:space="preserve">.</w:t>
      </w:r>
    </w:p>
    <w:bookmarkEnd w:id="502"/>
    <w:bookmarkStart w:id="503"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395">
        <w:r>
          <w:rPr>
            <w:rStyle w:val="Hyperlink"/>
          </w:rPr>
          <w:t xml:space="preserve">https://www.uts.edu.au/sites/default/files/2020-07/5.5.5%20Allocation%20of%20Participant%20ID%20Numbers%20V2.5_20200520.pdf</w:t>
        </w:r>
      </w:hyperlink>
      <w:r>
        <w:t xml:space="preserve">.</w:t>
      </w:r>
    </w:p>
    <w:bookmarkEnd w:id="503"/>
    <w:bookmarkStart w:id="504"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2">
        <w:r>
          <w:rPr>
            <w:rStyle w:val="Hyperlink"/>
          </w:rPr>
          <w:t xml:space="preserve">https://nij.ojp.gov/funding/data-archiving</w:t>
        </w:r>
      </w:hyperlink>
      <w:r>
        <w:t xml:space="preserve">.</w:t>
      </w:r>
    </w:p>
    <w:bookmarkEnd w:id="504"/>
    <w:bookmarkStart w:id="505"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3">
        <w:r>
          <w:rPr>
            <w:rStyle w:val="Hyperlink"/>
          </w:rPr>
          <w:t xml:space="preserve">https://docs.google.com/document/d/1u8o5jnWk0Iqp_J06PTu5NjBfVsdoPbBhstht6W0fFp0/edit?usp=embed_facebook</w:t>
        </w:r>
      </w:hyperlink>
      <w:r>
        <w:t xml:space="preserve">.</w:t>
      </w:r>
    </w:p>
    <w:bookmarkEnd w:id="505"/>
    <w:bookmarkStart w:id="506"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2">
        <w:r>
          <w:rPr>
            <w:rStyle w:val="Hyperlink"/>
          </w:rPr>
          <w:t xml:space="preserve">https://doi.org/10.1177/25152459211045930</w:t>
        </w:r>
      </w:hyperlink>
      <w:r>
        <w:t xml:space="preserve">.</w:t>
      </w:r>
    </w:p>
    <w:bookmarkEnd w:id="506"/>
    <w:bookmarkStart w:id="507" w:name="ref-lewis_data_nodate-3"/>
    <w:p>
      <w:pPr>
        <w:pStyle w:val="Bibliography"/>
      </w:pPr>
      <w:r>
        <w:t xml:space="preserve">Lewis, Crystal.</w:t>
      </w:r>
      <w:r>
        <w:t xml:space="preserve"> </w:t>
      </w:r>
      <w:r>
        <w:t xml:space="preserve">“Data Capture Checklist.”</w:t>
      </w:r>
      <w:r>
        <w:t xml:space="preserve"> </w:t>
      </w:r>
      <w:r>
        <w:t xml:space="preserve">Accessed November 2, 2022.</w:t>
      </w:r>
      <w:r>
        <w:t xml:space="preserve"> </w:t>
      </w:r>
      <w:hyperlink r:id="rId247">
        <w:r>
          <w:rPr>
            <w:rStyle w:val="Hyperlink"/>
          </w:rPr>
          <w:t xml:space="preserve">https://cghlewis.github.io/mpsi-data-training/capture.html</w:t>
        </w:r>
      </w:hyperlink>
      <w:r>
        <w:t xml:space="preserve">.</w:t>
      </w:r>
    </w:p>
    <w:bookmarkEnd w:id="507"/>
    <w:bookmarkStart w:id="508"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51">
        <w:r>
          <w:rPr>
            <w:rStyle w:val="Hyperlink"/>
          </w:rPr>
          <w:t xml:space="preserve">https://cghlewis.github.io/mpsi-data-training/clean.html</w:t>
        </w:r>
      </w:hyperlink>
      <w:r>
        <w:t xml:space="preserve">.</w:t>
      </w:r>
    </w:p>
    <w:bookmarkEnd w:id="508"/>
    <w:bookmarkStart w:id="509"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43">
        <w:r>
          <w:rPr>
            <w:rStyle w:val="Hyperlink"/>
          </w:rPr>
          <w:t xml:space="preserve">https://cghlewis.github.io/mpsi-data-training/collection.html</w:t>
        </w:r>
      </w:hyperlink>
      <w:r>
        <w:t xml:space="preserve">.</w:t>
      </w:r>
    </w:p>
    <w:bookmarkEnd w:id="509"/>
    <w:bookmarkStart w:id="510"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53">
        <w:r>
          <w:rPr>
            <w:rStyle w:val="Hyperlink"/>
          </w:rPr>
          <w:t xml:space="preserve">https://cghlewis.github.io/mpsi-data-training/share.html</w:t>
        </w:r>
      </w:hyperlink>
      <w:r>
        <w:t xml:space="preserve">.</w:t>
      </w:r>
    </w:p>
    <w:bookmarkEnd w:id="510"/>
    <w:bookmarkStart w:id="511"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49">
        <w:r>
          <w:rPr>
            <w:rStyle w:val="Hyperlink"/>
          </w:rPr>
          <w:t xml:space="preserve">https://cghlewis.github.io/mpsi-data-training/storage.html</w:t>
        </w:r>
      </w:hyperlink>
      <w:r>
        <w:t xml:space="preserve">.</w:t>
      </w:r>
    </w:p>
    <w:bookmarkEnd w:id="511"/>
    <w:bookmarkStart w:id="512"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45">
        <w:r>
          <w:rPr>
            <w:rStyle w:val="Hyperlink"/>
          </w:rPr>
          <w:t xml:space="preserve">https://cghlewis.github.io/mpsi-data-training/tracking.html</w:t>
        </w:r>
      </w:hyperlink>
      <w:r>
        <w:t xml:space="preserve">.</w:t>
      </w:r>
    </w:p>
    <w:bookmarkEnd w:id="512"/>
    <w:bookmarkStart w:id="513"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41">
        <w:r>
          <w:rPr>
            <w:rStyle w:val="Hyperlink"/>
          </w:rPr>
          <w:t xml:space="preserve">https://cghlewis.github.io/mpsi-data-training/document.html</w:t>
        </w:r>
      </w:hyperlink>
      <w:r>
        <w:t xml:space="preserve">.</w:t>
      </w:r>
    </w:p>
    <w:bookmarkEnd w:id="513"/>
    <w:bookmarkStart w:id="514"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37">
        <w:r>
          <w:rPr>
            <w:rStyle w:val="Hyperlink"/>
          </w:rPr>
          <w:t xml:space="preserve">https://cghlewis.github.io/mpsi-data-training/randr.html</w:t>
        </w:r>
      </w:hyperlink>
      <w:r>
        <w:t xml:space="preserve">.</w:t>
      </w:r>
    </w:p>
    <w:bookmarkEnd w:id="514"/>
    <w:bookmarkStart w:id="515"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39">
        <w:r>
          <w:rPr>
            <w:rStyle w:val="Hyperlink"/>
          </w:rPr>
          <w:t xml:space="preserve">https://cghlewis.github.io/mpsi-data-training/taskmgmt.html</w:t>
        </w:r>
      </w:hyperlink>
      <w:r>
        <w:t xml:space="preserve">.</w:t>
      </w:r>
    </w:p>
    <w:bookmarkEnd w:id="515"/>
    <w:bookmarkStart w:id="516"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1">
        <w:r>
          <w:rPr>
            <w:rStyle w:val="Hyperlink"/>
          </w:rPr>
          <w:t xml:space="preserve">https://doi.org/10.1186/s13059-015-0850-7</w:t>
        </w:r>
      </w:hyperlink>
      <w:r>
        <w:t xml:space="preserve">.</w:t>
      </w:r>
    </w:p>
    <w:bookmarkEnd w:id="516"/>
    <w:bookmarkStart w:id="517"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34">
        <w:r>
          <w:rPr>
            <w:rStyle w:val="Hyperlink"/>
          </w:rPr>
          <w:t xml:space="preserve">https://www.rsb.org.uk/images/biologist/2020/Apr_May_2020_67-2/67.2_Handbook.pdf</w:t>
        </w:r>
      </w:hyperlink>
      <w:r>
        <w:t xml:space="preserve">.</w:t>
      </w:r>
    </w:p>
    <w:bookmarkEnd w:id="517"/>
    <w:bookmarkStart w:id="518"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25">
        <w:r>
          <w:rPr>
            <w:rStyle w:val="Hyperlink"/>
          </w:rPr>
          <w:t xml:space="preserve">https://www.rsb.org.uk//biologist-features/how-to-write-a-lab-handbook</w:t>
        </w:r>
      </w:hyperlink>
      <w:r>
        <w:t xml:space="preserve">.</w:t>
      </w:r>
    </w:p>
    <w:bookmarkEnd w:id="518"/>
    <w:bookmarkStart w:id="519"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08">
        <w:r>
          <w:rPr>
            <w:rStyle w:val="Hyperlink"/>
          </w:rPr>
          <w:t xml:space="preserve">https://libguides.mines.edu/ld.php?content_id=49061255</w:t>
        </w:r>
      </w:hyperlink>
      <w:r>
        <w:t xml:space="preserve">.</w:t>
      </w:r>
    </w:p>
    <w:bookmarkEnd w:id="519"/>
    <w:bookmarkStart w:id="520"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71">
        <w:r>
          <w:rPr>
            <w:rStyle w:val="Hyperlink"/>
          </w:rPr>
          <w:t xml:space="preserve">https://research.missouri.edu/human-subjects-research/researcher-resources</w:t>
        </w:r>
      </w:hyperlink>
      <w:r>
        <w:t xml:space="preserve">.</w:t>
      </w:r>
    </w:p>
    <w:bookmarkEnd w:id="520"/>
    <w:bookmarkStart w:id="521"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0">
        <w:r>
          <w:rPr>
            <w:rStyle w:val="Hyperlink"/>
          </w:rPr>
          <w:t xml:space="preserve">https://ies.ed.gov/ncee/pubs/2022004/pdf/2022004.pdf</w:t>
        </w:r>
      </w:hyperlink>
      <w:r>
        <w:t xml:space="preserve">.</w:t>
      </w:r>
    </w:p>
    <w:bookmarkEnd w:id="521"/>
    <w:bookmarkStart w:id="522" w:name="ref-novak_faylab_2022"/>
    <w:p>
      <w:pPr>
        <w:pStyle w:val="Bibliography"/>
      </w:pPr>
      <w:r>
        <w:t xml:space="preserve">Novak, Gavin Fay \&amp; Ashleigh.</w:t>
      </w:r>
      <w:r>
        <w:t xml:space="preserve"> </w:t>
      </w:r>
      <w:r>
        <w:t xml:space="preserve">“Faylab Lab Manual,”</w:t>
      </w:r>
      <w:r>
        <w:t xml:space="preserve"> </w:t>
      </w:r>
      <w:r>
        <w:t xml:space="preserve">December 7, 2022.</w:t>
      </w:r>
      <w:r>
        <w:t xml:space="preserve"> </w:t>
      </w:r>
      <w:hyperlink r:id="rId330">
        <w:r>
          <w:rPr>
            <w:rStyle w:val="Hyperlink"/>
          </w:rPr>
          <w:t xml:space="preserve">https://thefaylab.github.io/lab-manual/</w:t>
        </w:r>
      </w:hyperlink>
      <w:r>
        <w:t xml:space="preserve">.</w:t>
      </w:r>
    </w:p>
    <w:bookmarkEnd w:id="522"/>
    <w:bookmarkStart w:id="523"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393">
        <w:r>
          <w:rPr>
            <w:rStyle w:val="Hyperlink"/>
          </w:rPr>
          <w:t xml:space="preserve">https://nuwildcat.sharepoint.com/sites/Other-NUCATSEducationCareerCenter/Shared%20Documents/Forms/AllItems.aspx?id=%2Fsites%2FOther%2DNUCATSEducationCareerCenter%2FShared%20Documents%2FWebsite%20%26%20Public%20Communications%20Link%20Out%20Library%2FNUCATS%20On%20Demand%2FTopic%20Reference%20Guides%2FOverview%20of%20SOPs%2Epdf&amp;parent=%2Fsites%2FOther%2DNUCATSEducationCareerCenter%2FShared%20Documents%2FWebsite%20%26%20Public%20Communications%20Link%20Out%20Library%2FNUCATS%20On%20Demand%2FTopic%20Reference%20Guides&amp;p=true&amp;ga=1</w:t>
        </w:r>
      </w:hyperlink>
      <w:r>
        <w:t xml:space="preserve">.</w:t>
      </w:r>
    </w:p>
    <w:bookmarkEnd w:id="523"/>
    <w:bookmarkStart w:id="524"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388">
        <w:r>
          <w:rPr>
            <w:rStyle w:val="Hyperlink"/>
          </w:rPr>
          <w:t xml:space="preserve">https://nuwildcat.sharepoint.com/sites/Other-NUCATSEducationCareerCenter/Shared%20Documents/Forms/AllItems.aspx?id=%2Fsites%2FOther%2DNUCATSEducationCareerCenter%2FShared%20Documents%2FWebsite%20%26%20Public%20Communications%20Link%20Out%20Library%2FNUCATS%20On%20Demand%2FTopic%20Reference%20Guides%2FWriting%20SOPS%20%2B%20Templates%2Epdf&amp;parent=%2Fsites%2FOther%2DNUCATSEducationCareerCenter%2FShared%20Documents%2FWebsite%20%26%20Public%20Communications%20Link%20Out%20Library%2FNUCATS%20On%20Demand%2FTopic%20Reference%20Guides&amp;p=true&amp;ga=1</w:t>
        </w:r>
      </w:hyperlink>
      <w:r>
        <w:t xml:space="preserve">.</w:t>
      </w:r>
    </w:p>
    <w:bookmarkEnd w:id="524"/>
    <w:bookmarkStart w:id="525"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bookmarkEnd w:id="525"/>
    <w:bookmarkStart w:id="526"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397">
        <w:r>
          <w:rPr>
            <w:rStyle w:val="Hyperlink"/>
          </w:rPr>
          <w:t xml:space="preserve">https://cghlewis.github.io/mpsi-data-training/img/sample_sop.pdf</w:t>
        </w:r>
      </w:hyperlink>
      <w:r>
        <w:t xml:space="preserve">.</w:t>
      </w:r>
    </w:p>
    <w:bookmarkEnd w:id="526"/>
    <w:bookmarkStart w:id="527"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2">
        <w:r>
          <w:rPr>
            <w:rStyle w:val="Hyperlink"/>
          </w:rPr>
          <w:t xml:space="preserve">https://doi.org/10.35542/osf.io/xqfwb</w:t>
        </w:r>
      </w:hyperlink>
      <w:r>
        <w:t xml:space="preserve">.</w:t>
      </w:r>
    </w:p>
    <w:bookmarkEnd w:id="527"/>
    <w:bookmarkStart w:id="528" w:name="ref-noauthor_retraction_nodate"/>
    <w:p>
      <w:pPr>
        <w:pStyle w:val="Bibliography"/>
      </w:pP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bookmarkEnd w:id="528"/>
    <w:bookmarkStart w:id="529"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1">
        <w:r>
          <w:rPr>
            <w:rStyle w:val="Hyperlink"/>
          </w:rPr>
          <w:t xml:space="preserve">https://doi.org/10.6084/m9.figshare.13215350.v2</w:t>
        </w:r>
      </w:hyperlink>
      <w:r>
        <w:t xml:space="preserve">.</w:t>
      </w:r>
    </w:p>
    <w:bookmarkEnd w:id="529"/>
    <w:bookmarkStart w:id="530"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72">
        <w:r>
          <w:rPr>
            <w:rStyle w:val="Hyperlink"/>
          </w:rPr>
          <w:t xml:space="preserve">https://www.whitehouse.gov/ostp/news-updates/2022/08/25/ostp-issues-guidance-to-make-federally-funded-research-freely-available-without-delay/</w:t>
        </w:r>
      </w:hyperlink>
      <w:r>
        <w:t xml:space="preserve">.</w:t>
      </w:r>
    </w:p>
    <w:bookmarkEnd w:id="530"/>
    <w:bookmarkStart w:id="531"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bookmarkEnd w:id="531"/>
    <w:bookmarkStart w:id="532"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3">
        <w:r>
          <w:rPr>
            <w:rStyle w:val="Hyperlink"/>
          </w:rPr>
          <w:t xml:space="preserve">https://ukdataservice.ac.uk/learning-hub/research-data-management/plan-to-share/costing/</w:t>
        </w:r>
      </w:hyperlink>
      <w:r>
        <w:t xml:space="preserve">.</w:t>
      </w:r>
    </w:p>
    <w:bookmarkEnd w:id="532"/>
    <w:bookmarkStart w:id="533"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17">
        <w:r>
          <w:rPr>
            <w:rStyle w:val="Hyperlink"/>
          </w:rPr>
          <w:t xml:space="preserve">https://ukdataservice.ac.uk//app/uploads/costingtool.pdf</w:t>
        </w:r>
      </w:hyperlink>
      <w:r>
        <w:t xml:space="preserve">.</w:t>
      </w:r>
    </w:p>
    <w:bookmarkEnd w:id="533"/>
    <w:bookmarkStart w:id="534"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01">
        <w:r>
          <w:rPr>
            <w:rStyle w:val="Hyperlink"/>
          </w:rPr>
          <w:t xml:space="preserve">https://ukdataservice.ac.uk/learning-hub/research-data-management/format-your-data/quality/</w:t>
        </w:r>
      </w:hyperlink>
      <w:r>
        <w:t xml:space="preserve">.</w:t>
      </w:r>
    </w:p>
    <w:bookmarkEnd w:id="534"/>
    <w:bookmarkStart w:id="535"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294">
        <w:r>
          <w:rPr>
            <w:rStyle w:val="Hyperlink"/>
          </w:rPr>
          <w:t xml:space="preserve">https://ukdataservice.ac.uk/learning-hub/research-data-management/plan-to-share/roles-and-responsibilities/</w:t>
        </w:r>
      </w:hyperlink>
      <w:r>
        <w:t xml:space="preserve">.</w:t>
      </w:r>
    </w:p>
    <w:bookmarkEnd w:id="535"/>
    <w:bookmarkStart w:id="536" w:name="X506c21f0273982e05cb388533f344d73a19e7cf"/>
    <w:p>
      <w:pPr>
        <w:pStyle w:val="Bibliography"/>
      </w:pPr>
      <w:r>
        <w:t xml:space="preserve">St. Louis, Washington University in.</w:t>
      </w:r>
      <w:r>
        <w:t xml:space="preserve"> </w:t>
      </w:r>
      <w:r>
        <w:t xml:space="preserve">“Codebook Template,”</w:t>
      </w:r>
      <w:r>
        <w:t xml:space="preserve"> </w:t>
      </w:r>
      <w:r>
        <w:t xml:space="preserve">January 13, 2023.</w:t>
      </w:r>
      <w:r>
        <w:t xml:space="preserve"> </w:t>
      </w:r>
      <w:hyperlink r:id="rId403">
        <w:r>
          <w:rPr>
            <w:rStyle w:val="Hyperlink"/>
          </w:rPr>
          <w:t xml:space="preserve">https://libguides.wustl.edu/ld.php?content_id=29108244</w:t>
        </w:r>
      </w:hyperlink>
      <w:r>
        <w:t xml:space="preserve">.</w:t>
      </w:r>
    </w:p>
    <w:bookmarkEnd w:id="536"/>
    <w:bookmarkStart w:id="537"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bookmarkEnd w:id="537"/>
    <w:bookmarkStart w:id="538"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bookmarkEnd w:id="538"/>
    <w:bookmarkStart w:id="539"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57">
        <w:r>
          <w:rPr>
            <w:rStyle w:val="Hyperlink"/>
          </w:rPr>
          <w:t xml:space="preserve">https://en.wikipedia.org/w/index.php?title=Style_guide&amp;oldid=1131556370</w:t>
        </w:r>
      </w:hyperlink>
      <w:r>
        <w:t xml:space="preserve">.</w:t>
      </w:r>
    </w:p>
    <w:bookmarkEnd w:id="539"/>
    <w:bookmarkStart w:id="540"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42">
        <w:r>
          <w:rPr>
            <w:rStyle w:val="Hyperlink"/>
          </w:rPr>
          <w:t xml:space="preserve">https://eur-synclab.github.io/</w:t>
        </w:r>
      </w:hyperlink>
      <w:r>
        <w:t xml:space="preserve">.</w:t>
      </w:r>
    </w:p>
    <w:bookmarkEnd w:id="540"/>
    <w:bookmarkStart w:id="541"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0">
        <w:r>
          <w:rPr>
            <w:rStyle w:val="Hyperlink"/>
          </w:rPr>
          <w:t xml:space="preserve">https://doi.org/10.2218/ijdc.v11i1.389</w:t>
        </w:r>
      </w:hyperlink>
      <w:r>
        <w:t xml:space="preserve">.</w:t>
      </w:r>
    </w:p>
    <w:bookmarkEnd w:id="541"/>
    <w:bookmarkStart w:id="542"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82">
        <w:r>
          <w:rPr>
            <w:rStyle w:val="Hyperlink"/>
          </w:rPr>
          <w:t xml:space="preserve">https://nces.ed.gov/pubs2015/2015074.pdf</w:t>
        </w:r>
      </w:hyperlink>
      <w:r>
        <w:t xml:space="preserve">.</w:t>
      </w:r>
    </w:p>
    <w:bookmarkEnd w:id="542"/>
    <w:bookmarkStart w:id="543"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19">
        <w:r>
          <w:rPr>
            <w:rStyle w:val="Hyperlink"/>
          </w:rPr>
          <w:t xml:space="preserve">https://www.utwente.nl/en/service-portal/services/lisa/resources/files/library-public/dcc-rdm-costs-estimation.pdf</w:t>
        </w:r>
      </w:hyperlink>
      <w:r>
        <w:t xml:space="preserve">.</w:t>
      </w:r>
    </w:p>
    <w:bookmarkEnd w:id="543"/>
    <w:bookmarkStart w:id="544"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07">
        <w:r>
          <w:rPr>
            <w:rStyle w:val="Hyperlink"/>
          </w:rPr>
          <w:t xml:space="preserve">https://www.google.com/url?sa=t&amp;rct=j&amp;q=&amp;esrc=s&amp;source=web&amp;cd=&amp;cad=rja&amp;uact=8&amp;ved=2ahUKEwjdkYr7z738AhVUlWoFHRWrCJoQFnoECBAQAQ&amp;url=https%3A%2F%2Ffoa.ucdavis.edu%2Fsites%2Fg%2Ffiles%2Fdgvnsk3426%2Ffiles%2Finline-files%2Froles-and-responsibilities-template.docx&amp;usg=AOvVaw3e2YJ2nhgThtl-ApGH9Y92</w:t>
        </w:r>
      </w:hyperlink>
      <w:r>
        <w:t xml:space="preserve">.</w:t>
      </w:r>
    </w:p>
    <w:bookmarkEnd w:id="544"/>
    <w:bookmarkStart w:id="545"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21">
        <w:r>
          <w:rPr>
            <w:rStyle w:val="Hyperlink"/>
          </w:rPr>
          <w:t xml:space="preserve">https://www.uu.nl/en/research/research-data-management/guides/costs-of-data-management</w:t>
        </w:r>
      </w:hyperlink>
      <w:r>
        <w:t xml:space="preserve">.</w:t>
      </w:r>
    </w:p>
    <w:bookmarkEnd w:id="545"/>
    <w:bookmarkStart w:id="546" w:name="ref-usgs_what_nodate"/>
    <w:p>
      <w:pPr>
        <w:pStyle w:val="Bibliography"/>
      </w:pP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bookmarkEnd w:id="546"/>
    <w:bookmarkStart w:id="547"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05">
        <w:r>
          <w:rPr>
            <w:rStyle w:val="Hyperlink"/>
          </w:rPr>
          <w:t xml:space="preserve">https://dataoneorg.github.io/Education/bestpractices/define-roles-and</w:t>
        </w:r>
      </w:hyperlink>
      <w:r>
        <w:t xml:space="preserve">.</w:t>
      </w:r>
    </w:p>
    <w:bookmarkEnd w:id="547"/>
    <w:bookmarkStart w:id="548" w:name="Xdca6b030c690f98135211e47f281caf24fc1929"/>
    <w:p>
      <w:pPr>
        <w:pStyle w:val="Bibliography"/>
      </w:pPr>
      <w:r>
        <w:t xml:space="preserve">Virginia Library Research Data Services, University of.</w:t>
      </w:r>
      <w:r>
        <w:t xml:space="preserve"> </w:t>
      </w:r>
      <w:r>
        <w:t xml:space="preserve">“Data Management Plan Templates</w:t>
      </w:r>
      <w:r>
        <w:t xml:space="preserve"> </w:t>
      </w:r>
      <w:r>
        <w:t xml:space="preserve"> </w:t>
      </w:r>
      <w:r>
        <w:t xml:space="preserve">University of Virginia Library Research Data Services + Sciences.”</w:t>
      </w:r>
      <w:r>
        <w:t xml:space="preserve"> </w:t>
      </w:r>
      <w:r>
        <w:t xml:space="preserve">Accessed October 27, 2022.</w:t>
      </w:r>
      <w:r>
        <w:t xml:space="preserve"> </w:t>
      </w:r>
      <w:hyperlink r:id="rId208">
        <w:r>
          <w:rPr>
            <w:rStyle w:val="Hyperlink"/>
          </w:rPr>
          <w:t xml:space="preserve">https://data.library.virginia.edu/data-management-plan-templates/</w:t>
        </w:r>
      </w:hyperlink>
      <w:r>
        <w:t xml:space="preserve">.</w:t>
      </w:r>
    </w:p>
    <w:bookmarkEnd w:id="548"/>
    <w:bookmarkStart w:id="549"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67">
        <w:r>
          <w:rPr>
            <w:rStyle w:val="Hyperlink"/>
          </w:rPr>
          <w:t xml:space="preserve">https://depts.washington.edu/wildfire/resources/protckl.pdf</w:t>
        </w:r>
      </w:hyperlink>
      <w:r>
        <w:t xml:space="preserve">.</w:t>
      </w:r>
    </w:p>
    <w:bookmarkEnd w:id="549"/>
    <w:bookmarkStart w:id="550"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bookmarkEnd w:id="550"/>
    <w:bookmarkStart w:id="551"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bookmarkEnd w:id="551"/>
    <w:bookmarkEnd w:id="552"/>
    <w:bookmarkEnd w:id="5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footnote>
  <w:footnote w:id="25">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6">
        <w:r>
          <w:rPr>
            <w:rStyle w:val="Hyperlink"/>
          </w:rPr>
          <w:t xml:space="preserve">https://doi.org/10.1371/journal.pone.0252047</w:t>
        </w:r>
      </w:hyperlink>
      <w:r>
        <w:t xml:space="preserve">.</w:t>
      </w:r>
    </w:p>
  </w:footnote>
  <w:footnote w:id="27">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8">
        <w:r>
          <w:rPr>
            <w:rStyle w:val="Hyperlink"/>
          </w:rPr>
          <w:t xml:space="preserve">https://doi.org/10.6084/m9.figshare.19514368.v1</w:t>
        </w:r>
      </w:hyperlink>
      <w:r>
        <w:t xml:space="preserve">.</w:t>
      </w:r>
    </w:p>
  </w:footnote>
  <w:footnote w:id="29">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0">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1">
        <w:r>
          <w:rPr>
            <w:rStyle w:val="Hyperlink"/>
          </w:rPr>
          <w:t xml:space="preserve">https://doi.org/10.6084/m9.figshare.13215350.v2</w:t>
        </w:r>
      </w:hyperlink>
      <w:r>
        <w:t xml:space="preserve">.</w:t>
      </w:r>
    </w:p>
  </w:footnote>
  <w:footnote w:id="32">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3">
        <w:r>
          <w:rPr>
            <w:rStyle w:val="Hyperlink"/>
          </w:rPr>
          <w:t xml:space="preserve">https://docs.google.com/document/d/1u8o5jnWk0Iqp_J06PTu5NjBfVsdoPbBhstht6W0fFp0/edit?usp=embed_facebook</w:t>
        </w:r>
      </w:hyperlink>
      <w:r>
        <w:t xml:space="preserve">.</w:t>
      </w:r>
    </w:p>
  </w:footnote>
  <w:footnote w:id="34">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5">
        <w:r>
          <w:rPr>
            <w:rStyle w:val="Hyperlink"/>
          </w:rPr>
          <w:t xml:space="preserve">https://doi.org/10.1162/99608f92.9497f68e</w:t>
        </w:r>
      </w:hyperlink>
      <w:r>
        <w:t xml:space="preserve">.</w:t>
      </w:r>
    </w:p>
  </w:footnote>
  <w:footnote w:id="37">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8">
        <w:r>
          <w:rPr>
            <w:rStyle w:val="Hyperlink"/>
          </w:rPr>
          <w:t xml:space="preserve">https://doi.org/10.1016/j.gaceta.2018.01.009</w:t>
        </w:r>
      </w:hyperlink>
      <w:r>
        <w:t xml:space="preserve">.</w:t>
      </w:r>
    </w:p>
  </w:footnote>
  <w:footnote w:id="39">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0">
        <w:r>
          <w:rPr>
            <w:rStyle w:val="Hyperlink"/>
          </w:rPr>
          <w:t xml:space="preserve">https://docplayer.net/8853333-Drowning-in-research-data-addressing-data-management-literacy-of-graduate-students.html</w:t>
        </w:r>
      </w:hyperlink>
      <w:r>
        <w:t xml:space="preserve">.</w:t>
      </w:r>
    </w:p>
  </w:footnote>
  <w:footnote w:id="41">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2">
        <w:r>
          <w:rPr>
            <w:rStyle w:val="Hyperlink"/>
          </w:rPr>
          <w:t xml:space="preserve">https://doi.org/10.1177/25152459211045930</w:t>
        </w:r>
      </w:hyperlink>
      <w:r>
        <w:t xml:space="preserve">.</w:t>
      </w:r>
    </w:p>
  </w:footnote>
  <w:footnote w:id="43">
    <w:p>
      <w:pPr>
        <w:pStyle w:val="FootnoteText"/>
      </w:pPr>
      <w:r>
        <w:rPr>
          <w:rStyle w:val="FootnoteReference"/>
        </w:rPr>
        <w:footnoteRef/>
      </w:r>
      <w:r>
        <w:t xml:space="preserve"> </w:t>
      </w:r>
      <w:r>
        <w:t xml:space="preserve">Open Science Foundation,</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4">
        <w:r>
          <w:rPr>
            <w:rStyle w:val="Hyperlink"/>
          </w:rPr>
          <w:t xml:space="preserve">https://docs.google.com/presentation/d/1LpyVOj8oJPr3SVkRM2GfCFnl2Qeo10YbbqcqwtwrVUM</w:t>
        </w:r>
      </w:hyperlink>
      <w:r>
        <w:t xml:space="preserve">.</w:t>
      </w:r>
    </w:p>
  </w:footnote>
  <w:footnote w:id="45">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6">
        <w:r>
          <w:rPr>
            <w:rStyle w:val="Hyperlink"/>
          </w:rPr>
          <w:t xml:space="preserve">https://doi.org/10.1038/533452a</w:t>
        </w:r>
      </w:hyperlink>
      <w:r>
        <w:t xml:space="preserve">.</w:t>
      </w:r>
    </w:p>
  </w:footnote>
  <w:footnote w:id="56">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7">
        <w:r>
          <w:rPr>
            <w:rStyle w:val="Hyperlink"/>
          </w:rPr>
          <w:t xml:space="preserve">https://pitt.libguides.com/managedata/understanding</w:t>
        </w:r>
      </w:hyperlink>
      <w:r>
        <w:t xml:space="preserve">.</w:t>
      </w:r>
    </w:p>
  </w:footnote>
  <w:footnote w:id="58">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59">
        <w:r>
          <w:rPr>
            <w:rStyle w:val="Hyperlink"/>
          </w:rPr>
          <w:t xml:space="preserve">https://www.neh.gov/sites/default/files/2018-06/data_management_plans_2018.pdf</w:t>
        </w:r>
      </w:hyperlink>
      <w:r>
        <w:t xml:space="preserve">.</w:t>
      </w:r>
    </w:p>
  </w:footnote>
  <w:footnote w:id="61">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2">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3">
        <w:r>
          <w:rPr>
            <w:rStyle w:val="Hyperlink"/>
          </w:rPr>
          <w:t xml:space="preserve">https://www.cdisc.org/standards</w:t>
        </w:r>
      </w:hyperlink>
      <w:r>
        <w:t xml:space="preserve">.</w:t>
      </w:r>
    </w:p>
  </w:footnote>
  <w:footnote w:id="64">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5">
        <w:r>
          <w:rPr>
            <w:rStyle w:val="Hyperlink"/>
          </w:rPr>
          <w:t xml:space="preserve">https://doi.org/10.4000/books.oep.426</w:t>
        </w:r>
      </w:hyperlink>
      <w:r>
        <w:t xml:space="preserve">.</w:t>
      </w:r>
    </w:p>
  </w:footnote>
  <w:footnote w:id="66">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67">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68">
        <w:r>
          <w:rPr>
            <w:rStyle w:val="Hyperlink"/>
          </w:rPr>
          <w:t xml:space="preserve">https://ies.ed.gov/funding/datasharing_faq.asp</w:t>
        </w:r>
      </w:hyperlink>
      <w:r>
        <w:t xml:space="preserve">.</w:t>
      </w:r>
    </w:p>
  </w:footnote>
  <w:footnote w:id="69">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0">
        <w:r>
          <w:rPr>
            <w:rStyle w:val="Hyperlink"/>
          </w:rPr>
          <w:t xml:space="preserve">https://doi.org/10.2218/ijdc.v11i1.389</w:t>
        </w:r>
      </w:hyperlink>
      <w:r>
        <w:t xml:space="preserve">.</w:t>
      </w:r>
    </w:p>
  </w:footnote>
  <w:footnote w:id="71">
    <w:p>
      <w:pPr>
        <w:pStyle w:val="FootnoteText"/>
      </w:pPr>
      <w:r>
        <w:rPr>
          <w:rStyle w:val="FootnoteReference"/>
        </w:rPr>
        <w:footnoteRef/>
      </w:r>
      <w:r>
        <w:t xml:space="preserve"> </w:t>
      </w:r>
      <w:r>
        <w:t xml:space="preserve">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72">
        <w:r>
          <w:rPr>
            <w:rStyle w:val="Hyperlink"/>
          </w:rPr>
          <w:t xml:space="preserve">https://www.whitehouse.gov/ostp/news-updates/2022/08/25/ostp-issues-guidance-to-make-federally-funded-research-freely-available-without-delay/</w:t>
        </w:r>
      </w:hyperlink>
      <w:r>
        <w:t xml:space="preserve">.</w:t>
      </w:r>
    </w:p>
  </w:footnote>
  <w:footnote w:id="73">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5">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footnote>
  <w:footnote w:id="79">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footnote>
  <w:footnote w:id="81">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2">
        <w:r>
          <w:rPr>
            <w:rStyle w:val="Hyperlink"/>
          </w:rPr>
          <w:t xml:space="preserve">https://doi.org/10.35542/osf.io/xqfwb</w:t>
        </w:r>
      </w:hyperlink>
      <w:r>
        <w:t xml:space="preserve">.</w:t>
      </w:r>
    </w:p>
  </w:footnote>
  <w:footnote w:id="83">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footnote>
  <w:footnote w:id="85">
    <w:p>
      <w:pPr>
        <w:pStyle w:val="FootnoteText"/>
      </w:pPr>
      <w:r>
        <w:rPr>
          <w:rStyle w:val="FootnoteReference"/>
        </w:rPr>
        <w:footnoteRef/>
      </w:r>
      <w:r>
        <w:t xml:space="preserve"> </w:t>
      </w:r>
      <w:r>
        <w:t xml:space="preserve">Alston and Rick.</w:t>
      </w:r>
    </w:p>
  </w:footnote>
  <w:footnote w:id="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footnote>
  <w:footnote w:id="90">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1">
        <w:r>
          <w:rPr>
            <w:rStyle w:val="Hyperlink"/>
          </w:rPr>
          <w:t xml:space="preserve">https://doi.org/10.1186/s13059-015-0850-7</w:t>
        </w:r>
      </w:hyperlink>
      <w:r>
        <w:t xml:space="preserve">.</w:t>
      </w:r>
    </w:p>
  </w:footnote>
  <w:footnote w:id="92">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3">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footnote>
  <w:footnote w:id="98">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footnote>
  <w:footnote w:id="102">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footnote>
  <w:footnote w:id="104">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footnote>
  <w:footnote w:id="107">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footnote>
  <w:footnote w:id="110">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footnote>
  <w:footnote w:id="112">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footnote>
  <w:footnote w:id="114">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footnote>
  <w:footnote w:id="116">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Indexes; Offices, accessed January 9, 2023,</w:t>
      </w:r>
      <w:r>
        <w:t xml:space="preserve"> </w:t>
      </w:r>
      <w:hyperlink r:id="rId117">
        <w:r>
          <w:rPr>
            <w:rStyle w:val="Hyperlink"/>
          </w:rPr>
          <w:t xml:space="preserve">https://ies.ed.gov/funding/23rfas.asp</w:t>
        </w:r>
      </w:hyperlink>
      <w:r>
        <w:t xml:space="preserve">.</w:t>
      </w:r>
    </w:p>
  </w:footnote>
  <w:footnote w:id="126">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footnote>
  <w:footnote w:id="139">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footnote>
  <w:footnote w:id="161">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78">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footnote>
  <w:footnote w:id="187">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footnote>
  <w:footnote w:id="189">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0">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 </w:t>
      </w:r>
      <w:r>
        <w:t xml:space="preserve">Data Sharing,”</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footnote>
  <w:footnote w:id="192">
    <w:p>
      <w:pPr>
        <w:pStyle w:val="FootnoteText"/>
      </w:pPr>
      <w:r>
        <w:rPr>
          <w:rStyle w:val="FootnoteReference"/>
        </w:rPr>
        <w:footnoteRef/>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October 28, 2022,</w:t>
      </w:r>
      <w:r>
        <w:t xml:space="preserve"> </w:t>
      </w:r>
      <w:hyperlink r:id="rId193">
        <w:r>
          <w:rPr>
            <w:rStyle w:val="Hyperlink"/>
          </w:rPr>
          <w:t xml:space="preserve">https://help.osf.io/article/144-creating-a-data-management-plan-dmp-document</w:t>
        </w:r>
      </w:hyperlink>
      <w:r>
        <w:t xml:space="preserve">.</w:t>
      </w:r>
    </w:p>
  </w:footnote>
  <w:footnote w:id="196">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198">
        <w:r>
          <w:rPr>
            <w:rStyle w:val="Hyperlink"/>
          </w:rPr>
          <w:t xml:space="preserve">https://www.icpsr.umich.edu/web/pages/deposit/guide/</w:t>
        </w:r>
      </w:hyperlink>
      <w:r>
        <w:t xml:space="preserve">; Open Science Foundation,</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Education Sciences,</w:t>
      </w:r>
      <w:r>
        <w:t xml:space="preserve"> </w:t>
      </w:r>
      <w:r>
        <w:t xml:space="preserve">“</w:t>
      </w:r>
      <w:r>
        <w:t xml:space="preserve">IES</w:t>
      </w:r>
      <w:r>
        <w:t xml:space="preserve"> </w:t>
      </w:r>
      <w:r>
        <w:t xml:space="preserve">Funding Opportunities.”</w:t>
      </w:r>
    </w:p>
  </w:footnote>
  <w:footnote w:id="200">
    <w:p>
      <w:pPr>
        <w:pStyle w:val="FootnoteText"/>
      </w:pPr>
      <w:r>
        <w:rPr>
          <w:rStyle w:val="FootnoteReference"/>
        </w:rPr>
        <w:footnoteRef/>
      </w:r>
      <w:r>
        <w:t xml:space="preserve"> </w:t>
      </w:r>
      <w:r>
        <w:t xml:space="preserve">Health,</w:t>
      </w:r>
      <w:r>
        <w:t xml:space="preserve"> </w:t>
      </w:r>
      <w:r>
        <w:t xml:space="preserve">“Writing a Data Management &amp; Sharing Plan</w:t>
      </w:r>
      <w:r>
        <w:t xml:space="preserve"> </w:t>
      </w:r>
      <w:r>
        <w:t xml:space="preserve"> </w:t>
      </w:r>
      <w:r>
        <w:t xml:space="preserve">Data Sharing.”</w:t>
      </w:r>
    </w:p>
  </w:footnote>
  <w:footnote w:id="201">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2">
        <w:r>
          <w:rPr>
            <w:rStyle w:val="Hyperlink"/>
          </w:rPr>
          <w:t xml:space="preserve">https://nij.ojp.gov/funding/data-archiving</w:t>
        </w:r>
      </w:hyperlink>
      <w:r>
        <w:t xml:space="preserve">.</w:t>
      </w:r>
    </w:p>
  </w:footnote>
  <w:footnote w:id="203">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4">
        <w:r>
          <w:rPr>
            <w:rStyle w:val="Hyperlink"/>
          </w:rPr>
          <w:t xml:space="preserve">https://www.nsf.gov/bfa/dias/policy/dmpdocs/ehr.pdf</w:t>
        </w:r>
      </w:hyperlink>
      <w:r>
        <w:t xml:space="preserve">.</w:t>
      </w:r>
    </w:p>
  </w:footnote>
  <w:footnote w:id="207">
    <w:p>
      <w:pPr>
        <w:pStyle w:val="FootnoteText"/>
      </w:pPr>
      <w:r>
        <w:rPr>
          <w:rStyle w:val="FootnoteReference"/>
        </w:rPr>
        <w:footnoteRef/>
      </w:r>
      <w:r>
        <w:t xml:space="preserve"> </w:t>
      </w:r>
      <w:r>
        <w:t xml:space="preserve">University of Virginia Library Research Data Services,</w:t>
      </w:r>
      <w:r>
        <w:t xml:space="preserve"> </w:t>
      </w:r>
      <w:r>
        <w:t xml:space="preserve">“Data Management Plan Templates</w:t>
      </w:r>
      <w:r>
        <w:t xml:space="preserve"> </w:t>
      </w:r>
      <w:r>
        <w:t xml:space="preserve"> </w:t>
      </w:r>
      <w:r>
        <w:t xml:space="preserve">University of Virginia Library Research Data Services + Sciences,”</w:t>
      </w:r>
      <w:r>
        <w:t xml:space="preserve"> </w:t>
      </w:r>
      <w:r>
        <w:t xml:space="preserve">accessed October 27, 2022,</w:t>
      </w:r>
      <w:r>
        <w:t xml:space="preserve"> </w:t>
      </w:r>
      <w:hyperlink r:id="rId208">
        <w:r>
          <w:rPr>
            <w:rStyle w:val="Hyperlink"/>
          </w:rPr>
          <w:t xml:space="preserve">https://data.library.virginia.edu/data-management-plan-templates/</w:t>
        </w:r>
      </w:hyperlink>
      <w:r>
        <w:t xml:space="preserve">.</w:t>
      </w:r>
    </w:p>
  </w:footnote>
  <w:footnote w:id="209">
    <w:p>
      <w:pPr>
        <w:pStyle w:val="FootnoteText"/>
      </w:pPr>
      <w:r>
        <w:rPr>
          <w:rStyle w:val="FootnoteReference"/>
        </w:rPr>
        <w:footnoteRef/>
      </w:r>
      <w:r>
        <w:t xml:space="preserve"> </w:t>
      </w:r>
      <w:r>
        <w:t xml:space="preserve">“</w:t>
      </w:r>
      <w:r>
        <w:t xml:space="preserve">DMPTool</w:t>
      </w:r>
      <w:r>
        <w:t xml:space="preserve">,”</w:t>
      </w:r>
      <w:r>
        <w:t xml:space="preserve"> </w:t>
      </w:r>
      <w:r>
        <w:t xml:space="preserve">accessed October 27, 2022,</w:t>
      </w:r>
      <w:r>
        <w:t xml:space="preserve"> </w:t>
      </w:r>
      <w:hyperlink r:id="rId210">
        <w:r>
          <w:rPr>
            <w:rStyle w:val="Hyperlink"/>
          </w:rPr>
          <w:t xml:space="preserve">https://dmptool.org/</w:t>
        </w:r>
      </w:hyperlink>
      <w:r>
        <w:t xml:space="preserve">.</w:t>
      </w:r>
    </w:p>
  </w:footnote>
  <w:footnote w:id="212">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3">
        <w:r>
          <w:rPr>
            <w:rStyle w:val="Hyperlink"/>
          </w:rPr>
          <w:t xml:space="preserve">https://ukdataservice.ac.uk/learning-hub/research-data-management/plan-to-share/costing/</w:t>
        </w:r>
      </w:hyperlink>
      <w:r>
        <w:t xml:space="preserve">.</w:t>
      </w:r>
    </w:p>
  </w:footnote>
  <w:footnote w:id="214">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15">
        <w:r>
          <w:rPr>
            <w:rStyle w:val="Hyperlink"/>
          </w:rPr>
          <w:t xml:space="preserve">https://sharing.nih.gov/data-management-and-sharing-policy/planning-and-budgeting-for-data-management-and-sharing/budgeting-for-data-management-sharing#after</w:t>
        </w:r>
      </w:hyperlink>
      <w:r>
        <w:t xml:space="preserve">.</w:t>
      </w:r>
    </w:p>
  </w:footnote>
  <w:footnote w:id="216">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17">
        <w:r>
          <w:rPr>
            <w:rStyle w:val="Hyperlink"/>
          </w:rPr>
          <w:t xml:space="preserve">https://ukdataservice.ac.uk//app/uploads/costingtool.pdf</w:t>
        </w:r>
      </w:hyperlink>
      <w:r>
        <w:t xml:space="preserve">.</w:t>
      </w:r>
    </w:p>
  </w:footnote>
  <w:footnote w:id="218">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19">
        <w:r>
          <w:rPr>
            <w:rStyle w:val="Hyperlink"/>
          </w:rPr>
          <w:t xml:space="preserve">https://www.utwente.nl/en/service-portal/services/lisa/resources/files/library-public/dcc-rdm-costs-estimation.pdf</w:t>
        </w:r>
      </w:hyperlink>
      <w:r>
        <w:t xml:space="preserve">.</w:t>
      </w:r>
    </w:p>
  </w:footnote>
  <w:footnote w:id="220">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21">
        <w:r>
          <w:rPr>
            <w:rStyle w:val="Hyperlink"/>
          </w:rPr>
          <w:t xml:space="preserve">https://www.uu.nl/en/research/research-data-management/guides/costs-of-data-management</w:t>
        </w:r>
      </w:hyperlink>
      <w:r>
        <w:t xml:space="preserve">.</w:t>
      </w:r>
    </w:p>
  </w:footnote>
  <w:footnote w:id="222">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3">
        <w:r>
          <w:rPr>
            <w:rStyle w:val="Hyperlink"/>
          </w:rPr>
          <w:t xml:space="preserve">https://dataoneorg.github.io/Education/bestpractices/provide-budget-information</w:t>
        </w:r>
      </w:hyperlink>
      <w:r>
        <w:t xml:space="preserve">.</w:t>
      </w:r>
    </w:p>
  </w:footnote>
  <w:footnote w:id="229">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0">
        <w:r>
          <w:rPr>
            <w:rStyle w:val="Hyperlink"/>
          </w:rPr>
          <w:t xml:space="preserve">https://doi.org/10.5334/dsj-2021-009</w:t>
        </w:r>
      </w:hyperlink>
      <w:r>
        <w:t xml:space="preserve">.</w:t>
      </w:r>
    </w:p>
  </w:footnote>
  <w:footnote w:id="231">
    <w:p>
      <w:pPr>
        <w:pStyle w:val="FootnoteText"/>
      </w:pPr>
      <w:r>
        <w:rPr>
          <w:rStyle w:val="FootnoteReference"/>
        </w:rPr>
        <w:footnoteRef/>
      </w:r>
      <w:r>
        <w:t xml:space="preserve"> </w:t>
      </w:r>
      <w:r>
        <w:t xml:space="preserve">Strand,</w:t>
      </w:r>
      <w:r>
        <w:t xml:space="preserve"> </w:t>
      </w:r>
      <w:r>
        <w:t xml:space="preserve">“Error Tight.”</w:t>
      </w:r>
    </w:p>
  </w:footnote>
  <w:footnote w:id="232">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33">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36">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37">
        <w:r>
          <w:rPr>
            <w:rStyle w:val="Hyperlink"/>
          </w:rPr>
          <w:t xml:space="preserve">https://cghlewis.github.io/mpsi-data-training/randr.html</w:t>
        </w:r>
      </w:hyperlink>
      <w:r>
        <w:t xml:space="preserve">.</w:t>
      </w:r>
    </w:p>
  </w:footnote>
  <w:footnote w:id="238">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39">
        <w:r>
          <w:rPr>
            <w:rStyle w:val="Hyperlink"/>
          </w:rPr>
          <w:t xml:space="preserve">https://cghlewis.github.io/mpsi-data-training/taskmgmt.html</w:t>
        </w:r>
      </w:hyperlink>
      <w:r>
        <w:t xml:space="preserve">.</w:t>
      </w:r>
    </w:p>
  </w:footnote>
  <w:footnote w:id="240">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41">
        <w:r>
          <w:rPr>
            <w:rStyle w:val="Hyperlink"/>
          </w:rPr>
          <w:t xml:space="preserve">https://cghlewis.github.io/mpsi-data-training/document.html</w:t>
        </w:r>
      </w:hyperlink>
      <w:r>
        <w:t xml:space="preserve">.</w:t>
      </w:r>
    </w:p>
  </w:footnote>
  <w:footnote w:id="242">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43">
        <w:r>
          <w:rPr>
            <w:rStyle w:val="Hyperlink"/>
          </w:rPr>
          <w:t xml:space="preserve">https://cghlewis.github.io/mpsi-data-training/collection.html</w:t>
        </w:r>
      </w:hyperlink>
      <w:r>
        <w:t xml:space="preserve">.</w:t>
      </w:r>
    </w:p>
  </w:footnote>
  <w:footnote w:id="244">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45">
        <w:r>
          <w:rPr>
            <w:rStyle w:val="Hyperlink"/>
          </w:rPr>
          <w:t xml:space="preserve">https://cghlewis.github.io/mpsi-data-training/tracking.html</w:t>
        </w:r>
      </w:hyperlink>
      <w:r>
        <w:t xml:space="preserve">.</w:t>
      </w:r>
    </w:p>
  </w:footnote>
  <w:footnote w:id="246">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47">
        <w:r>
          <w:rPr>
            <w:rStyle w:val="Hyperlink"/>
          </w:rPr>
          <w:t xml:space="preserve">https://cghlewis.github.io/mpsi-data-training/capture.html</w:t>
        </w:r>
      </w:hyperlink>
      <w:r>
        <w:t xml:space="preserve">.</w:t>
      </w:r>
    </w:p>
  </w:footnote>
  <w:footnote w:id="248">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49">
        <w:r>
          <w:rPr>
            <w:rStyle w:val="Hyperlink"/>
          </w:rPr>
          <w:t xml:space="preserve">https://cghlewis.github.io/mpsi-data-training/storage.html</w:t>
        </w:r>
      </w:hyperlink>
      <w:r>
        <w:t xml:space="preserve">.</w:t>
      </w:r>
    </w:p>
  </w:footnote>
  <w:footnote w:id="250">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51">
        <w:r>
          <w:rPr>
            <w:rStyle w:val="Hyperlink"/>
          </w:rPr>
          <w:t xml:space="preserve">https://cghlewis.github.io/mpsi-data-training/clean.html</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53">
        <w:r>
          <w:rPr>
            <w:rStyle w:val="Hyperlink"/>
          </w:rPr>
          <w:t xml:space="preserve">https://cghlewis.github.io/mpsi-data-training/share.html</w:t>
        </w:r>
      </w:hyperlink>
      <w:r>
        <w:t xml:space="preserve">.</w:t>
      </w:r>
    </w:p>
  </w:footnote>
  <w:footnote w:id="254">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55">
    <w:p>
      <w:pPr>
        <w:pStyle w:val="FootnoteText"/>
      </w:pPr>
      <w:r>
        <w:rPr>
          <w:rStyle w:val="FootnoteReference"/>
        </w:rPr>
        <w:footnoteRef/>
      </w:r>
      <w:r>
        <w:t xml:space="preserve"> </w:t>
      </w:r>
      <w:r>
        <w:t xml:space="preserve">Borghi and Van Gulick.</w:t>
      </w:r>
    </w:p>
  </w:footnote>
  <w:footnote w:id="262">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3">
        <w:r>
          <w:rPr>
            <w:rStyle w:val="Hyperlink"/>
          </w:rPr>
          <w:t xml:space="preserve">https://library.csp.edu/Zotero/workflow</w:t>
        </w:r>
      </w:hyperlink>
      <w:r>
        <w:t xml:space="preserve">.</w:t>
      </w:r>
    </w:p>
  </w:footnote>
  <w:footnote w:id="264">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74">
    <w:p>
      <w:pPr>
        <w:pStyle w:val="FootnoteText"/>
      </w:pPr>
      <w:r>
        <w:rPr>
          <w:rStyle w:val="FootnoteReference"/>
        </w:rPr>
        <w:footnoteRef/>
      </w:r>
      <w:r>
        <w:t xml:space="preserve"> </w:t>
      </w:r>
      <w:r>
        <w:rPr>
          <w:bCs/>
          <w:b/>
        </w:rPr>
        <w:t xml:space="preserve">Poverty_action_lab_gantt_nodate?</w:t>
      </w:r>
    </w:p>
  </w:footnote>
  <w:footnote w:id="278">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79">
        <w:r>
          <w:rPr>
            <w:rStyle w:val="Hyperlink"/>
          </w:rPr>
          <w:t xml:space="preserve">https://doi.org/10.3897/rio.6.e56508</w:t>
        </w:r>
      </w:hyperlink>
      <w:r>
        <w:t xml:space="preserve">.</w:t>
      </w:r>
    </w:p>
  </w:footnote>
  <w:footnote w:id="28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82">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83">
        <w:r>
          <w:rPr>
            <w:rStyle w:val="Hyperlink"/>
          </w:rPr>
          <w:t xml:space="preserve">https://doi.org/10.5278/16k4-4n24</w:t>
        </w:r>
      </w:hyperlink>
      <w:r>
        <w:t xml:space="preserve">.</w:t>
      </w:r>
    </w:p>
  </w:footnote>
  <w:footnote w:id="286">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87">
        <w:r>
          <w:rPr>
            <w:rStyle w:val="Hyperlink"/>
          </w:rPr>
          <w:t xml:space="preserve">https://web.stanford.edu/~gentzkow/research/CodeAndData.pdf</w:t>
        </w:r>
      </w:hyperlink>
      <w:r>
        <w:t xml:space="preserve">.</w:t>
      </w:r>
    </w:p>
  </w:footnote>
  <w:footnote w:id="293">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294">
        <w:r>
          <w:rPr>
            <w:rStyle w:val="Hyperlink"/>
          </w:rPr>
          <w:t xml:space="preserve">https://ukdataservice.ac.uk/learning-hub/research-data-management/plan-to-share/roles-and-responsibilities/</w:t>
        </w:r>
      </w:hyperlink>
      <w:r>
        <w:t xml:space="preserve">.</w:t>
      </w:r>
    </w:p>
  </w:footnote>
  <w:footnote w:id="304">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05">
        <w:r>
          <w:rPr>
            <w:rStyle w:val="Hyperlink"/>
          </w:rPr>
          <w:t xml:space="preserve">https://dataoneorg.github.io/Education/bestpractices/define-roles-and</w:t>
        </w:r>
      </w:hyperlink>
      <w:r>
        <w:t xml:space="preserve">.</w:t>
      </w:r>
    </w:p>
  </w:footnote>
  <w:footnote w:id="306">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07">
        <w:r>
          <w:rPr>
            <w:rStyle w:val="Hyperlink"/>
          </w:rPr>
          <w:t xml:space="preserve">https://www.google.com/url?sa=t&amp;rct=j&amp;q=&amp;esrc=s&amp;source=web&amp;cd=&amp;cad=rja&amp;uact=8&amp;ved=2ahUKEwjdkYr7z738AhVUlWoFHRWrCJoQFnoECBAQAQ&amp;url=https%3A%2F%2Ffoa.ucdavis.edu%2Fsites%2Fg%2Ffiles%2Fdgvnsk3426%2Ffiles%2Finline-files%2Froles-and-responsibilities-template.docx&amp;usg=AOvVaw3e2YJ2nhgThtl-ApGH9Y92</w:t>
        </w:r>
      </w:hyperlink>
      <w:r>
        <w:t xml:space="preserve">; Colorado School of Mines,</w:t>
      </w:r>
      <w:r>
        <w:t xml:space="preserve"> </w:t>
      </w:r>
      <w:r>
        <w:t xml:space="preserve">“Table of Responsibilities Timeline,”</w:t>
      </w:r>
      <w:r>
        <w:t xml:space="preserve"> </w:t>
      </w:r>
      <w:r>
        <w:t xml:space="preserve">n.d.,</w:t>
      </w:r>
      <w:r>
        <w:t xml:space="preserve"> </w:t>
      </w:r>
      <w:hyperlink r:id="rId308">
        <w:r>
          <w:rPr>
            <w:rStyle w:val="Hyperlink"/>
          </w:rPr>
          <w:t xml:space="preserve">https://libguides.mines.edu/ld.php?content_id=49061255</w:t>
        </w:r>
      </w:hyperlink>
      <w:r>
        <w:t xml:space="preserve">.</w:t>
      </w:r>
    </w:p>
  </w:footnote>
  <w:footnote w:id="324">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25">
        <w:r>
          <w:rPr>
            <w:rStyle w:val="Hyperlink"/>
          </w:rPr>
          <w:t xml:space="preserve">https://www.rsb.org.uk//biologist-features/how-to-write-a-lab-handbook</w:t>
        </w:r>
      </w:hyperlink>
      <w:r>
        <w:t xml:space="preserve">.</w:t>
      </w:r>
    </w:p>
  </w:footnote>
  <w:footnote w:id="326">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27">
        <w:r>
          <w:rPr>
            <w:rStyle w:val="Hyperlink"/>
          </w:rPr>
          <w:t xml:space="preserve">https://docs.google.com/document/d/1LqGdtHg0dMbj9lsCnC1QOoWzIsnSNRTSek6i3Kls2Ik/edit?usp=embed_facebook</w:t>
        </w:r>
      </w:hyperlink>
      <w:r>
        <w:t xml:space="preserve">.</w:t>
      </w:r>
    </w:p>
  </w:footnote>
  <w:footnote w:id="328">
    <w:p>
      <w:pPr>
        <w:pStyle w:val="FootnoteText"/>
      </w:pPr>
      <w:r>
        <w:rPr>
          <w:rStyle w:val="FootnoteReference"/>
        </w:rPr>
        <w:footnoteRef/>
      </w:r>
      <w:r>
        <w:t xml:space="preserve"> </w:t>
      </w:r>
      <w:r>
        <w:t xml:space="preserve">Balazs.</w:t>
      </w:r>
    </w:p>
  </w:footnote>
  <w:footnote w:id="329">
    <w:p>
      <w:pPr>
        <w:pStyle w:val="FootnoteText"/>
      </w:pPr>
      <w:r>
        <w:rPr>
          <w:rStyle w:val="FootnoteReference"/>
        </w:rPr>
        <w:footnoteRef/>
      </w:r>
      <w:r>
        <w:t xml:space="preserve"> </w:t>
      </w:r>
      <w:r>
        <w:t xml:space="preserve">Gavin Fay \&amp; Ashleigh Novak,</w:t>
      </w:r>
      <w:r>
        <w:t xml:space="preserve"> </w:t>
      </w:r>
      <w:r>
        <w:t xml:space="preserve">“Faylab Lab Manual,”</w:t>
      </w:r>
      <w:r>
        <w:t xml:space="preserve"> </w:t>
      </w:r>
      <w:r>
        <w:t xml:space="preserve">December 7, 2022,</w:t>
      </w:r>
      <w:r>
        <w:t xml:space="preserve"> </w:t>
      </w:r>
      <w:hyperlink r:id="rId330">
        <w:r>
          <w:rPr>
            <w:rStyle w:val="Hyperlink"/>
          </w:rPr>
          <w:t xml:space="preserve">https://thefaylab.github.io/lab-manual/</w:t>
        </w:r>
      </w:hyperlink>
      <w:r>
        <w:t xml:space="preserve">.</w:t>
      </w:r>
    </w:p>
  </w:footnote>
  <w:footnote w:id="331">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32">
        <w:r>
          <w:rPr>
            <w:rStyle w:val="Hyperlink"/>
          </w:rPr>
          <w:t xml:space="preserve">https://uploads.strikinglycdn.com/files/f3dfcf89-32f2-48cb-94cd-3070f733c53d/RAISE%20Lab%20Guidelines_Final.pdf</w:t>
        </w:r>
      </w:hyperlink>
      <w:r>
        <w:t xml:space="preserve">.</w:t>
      </w:r>
    </w:p>
  </w:footnote>
  <w:footnote w:id="333">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34">
        <w:r>
          <w:rPr>
            <w:rStyle w:val="Hyperlink"/>
          </w:rPr>
          <w:t xml:space="preserve">https://www.rsb.org.uk/images/biologist/2020/Apr_May_2020_67-2/67.2_Handbook.pdf</w:t>
        </w:r>
      </w:hyperlink>
      <w:r>
        <w:t xml:space="preserve">.</w:t>
      </w:r>
    </w:p>
  </w:footnote>
  <w:footnote w:id="339">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40">
        <w:r>
          <w:rPr>
            <w:rStyle w:val="Hyperlink"/>
          </w:rPr>
          <w:t xml:space="preserve">https://osf.io/mdh87/</w:t>
        </w:r>
      </w:hyperlink>
      <w:r>
        <w:t xml:space="preserve">.</w:t>
      </w:r>
    </w:p>
  </w:footnote>
  <w:footnote w:id="341">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42">
        <w:r>
          <w:rPr>
            <w:rStyle w:val="Hyperlink"/>
          </w:rPr>
          <w:t xml:space="preserve">https://eur-synclab.github.io/</w:t>
        </w:r>
      </w:hyperlink>
      <w:r>
        <w:t xml:space="preserve">.</w:t>
      </w:r>
    </w:p>
  </w:footnote>
  <w:footnote w:id="348">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49">
        <w:r>
          <w:rPr>
            <w:rStyle w:val="Hyperlink"/>
          </w:rPr>
          <w:t xml:space="preserve">https://www.povertyactionlab.org/resource/formalize-research-partnership-and-establish-roles-and-expectations</w:t>
        </w:r>
      </w:hyperlink>
      <w:r>
        <w:t xml:space="preserve">.</w:t>
      </w:r>
    </w:p>
  </w:footnote>
  <w:footnote w:id="350">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51">
        <w:r>
          <w:rPr>
            <w:rStyle w:val="Hyperlink"/>
          </w:rPr>
          <w:t xml:space="preserve">https://dmeg.cessda.eu/Data-Management-Expert-Guide/3.-Process/Data-authenticity</w:t>
        </w:r>
      </w:hyperlink>
      <w:r>
        <w:t xml:space="preserve">.</w:t>
      </w:r>
    </w:p>
  </w:footnote>
  <w:footnote w:id="356">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57">
        <w:r>
          <w:rPr>
            <w:rStyle w:val="Hyperlink"/>
          </w:rPr>
          <w:t xml:space="preserve">https://en.wikipedia.org/w/index.php?title=Style_guide&amp;oldid=1131556370</w:t>
        </w:r>
      </w:hyperlink>
      <w:r>
        <w:t xml:space="preserve">.</w:t>
      </w:r>
    </w:p>
  </w:footnote>
  <w:footnote w:id="366">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67">
        <w:r>
          <w:rPr>
            <w:rStyle w:val="Hyperlink"/>
          </w:rPr>
          <w:t xml:space="preserve">https://depts.washington.edu/wildfire/resources/protckl.pdf</w:t>
        </w:r>
      </w:hyperlink>
      <w:r>
        <w:t xml:space="preserve">.</w:t>
      </w:r>
    </w:p>
  </w:footnote>
  <w:footnote w:id="368">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69">
        <w:r>
          <w:rPr>
            <w:rStyle w:val="Hyperlink"/>
          </w:rPr>
          <w:t xml:space="preserve">http://orrp.osu.edu/files/2011/10/GuidelinesforWritingaResearchProtocol.pdf</w:t>
        </w:r>
      </w:hyperlink>
      <w:r>
        <w:t xml:space="preserve">.</w:t>
      </w:r>
    </w:p>
  </w:footnote>
  <w:footnote w:id="370">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71">
        <w:r>
          <w:rPr>
            <w:rStyle w:val="Hyperlink"/>
          </w:rPr>
          <w:t xml:space="preserve">https://research.missouri.edu/human-subjects-research/researcher-resources</w:t>
        </w:r>
      </w:hyperlink>
      <w:r>
        <w:t xml:space="preserve">.</w:t>
      </w:r>
    </w:p>
  </w:footnote>
  <w:footnote w:id="376">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77">
        <w:r>
          <w:rPr>
            <w:rStyle w:val="Hyperlink"/>
          </w:rPr>
          <w:t xml:space="preserve">https://www.consort-statement.org/consort-statement/flow-diagram</w:t>
        </w:r>
      </w:hyperlink>
      <w:r>
        <w:t xml:space="preserve">.</w:t>
      </w:r>
    </w:p>
  </w:footnote>
  <w:footnote w:id="381">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82">
        <w:r>
          <w:rPr>
            <w:rStyle w:val="Hyperlink"/>
          </w:rPr>
          <w:t xml:space="preserve">https://nces.ed.gov/pubs2015/2015074.pdf</w:t>
        </w:r>
      </w:hyperlink>
      <w:r>
        <w:t xml:space="preserve">.</w:t>
      </w:r>
    </w:p>
  </w:footnote>
  <w:footnote w:id="387">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388">
        <w:r>
          <w:rPr>
            <w:rStyle w:val="Hyperlink"/>
          </w:rPr>
          <w:t xml:space="preserve">https://nuwildcat.sharepoint.com/sites/Other-NUCATSEducationCareerCenter/Shared%20Documents/Forms/AllItems.aspx?id=%2Fsites%2FOther%2DNUCATSEducationCareerCenter%2FShared%20Documents%2FWebsite%20%26%20Public%20Communications%20Link%20Out%20Library%2FNUCATS%20On%20Demand%2FTopic%20Reference%20Guides%2FWriting%20SOPS%20%2B%20Templates%2Epdf&amp;parent=%2Fsites%2FOther%2DNUCATSEducationCareerCenter%2FShared%20Documents%2FWebsite%20%26%20Public%20Communications%20Link%20Out%20Library%2FNUCATS%20On%20Demand%2FTopic%20Reference%20Guides&amp;p=true&amp;ga=1</w:t>
        </w:r>
      </w:hyperlink>
      <w:r>
        <w:t xml:space="preserve">.</w:t>
      </w:r>
    </w:p>
  </w:footnote>
  <w:footnote w:id="392">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393">
        <w:r>
          <w:rPr>
            <w:rStyle w:val="Hyperlink"/>
          </w:rPr>
          <w:t xml:space="preserve">https://nuwildcat.sharepoint.com/sites/Other-NUCATSEducationCareerCenter/Shared%20Documents/Forms/AllItems.aspx?id=%2Fsites%2FOther%2DNUCATSEducationCareerCenter%2FShared%20Documents%2FWebsite%20%26%20Public%20Communications%20Link%20Out%20Library%2FNUCATS%20On%20Demand%2FTopic%20Reference%20Guides%2FOverview%20of%20SOPs%2Epdf&amp;parent=%2Fsites%2FOther%2DNUCATSEducationCareerCenter%2FShared%20Documents%2FWebsite%20%26%20Public%20Communications%20Link%20Out%20Library%2FNUCATS%20On%20Demand%2FTopic%20Reference%20Guides&amp;p=true&amp;ga=1</w:t>
        </w:r>
      </w:hyperlink>
      <w:r>
        <w:t xml:space="preserve">.</w:t>
      </w:r>
    </w:p>
  </w:footnote>
  <w:footnote w:id="394">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395">
        <w:r>
          <w:rPr>
            <w:rStyle w:val="Hyperlink"/>
          </w:rPr>
          <w:t xml:space="preserve">https://www.uts.edu.au/sites/default/files/2020-07/5.5.5%20Allocation%20of%20Participant%20ID%20Numbers%20V2.5_20200520.pdf</w:t>
        </w:r>
      </w:hyperlink>
      <w:r>
        <w:t xml:space="preserve">.</w:t>
      </w:r>
    </w:p>
  </w:footnote>
  <w:footnote w:id="396">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397">
        <w:r>
          <w:rPr>
            <w:rStyle w:val="Hyperlink"/>
          </w:rPr>
          <w:t xml:space="preserve">https://cghlewis.github.io/mpsi-data-training/img/sample_sop.pdf</w:t>
        </w:r>
      </w:hyperlink>
      <w:r>
        <w:t xml:space="preserve">.</w:t>
      </w:r>
    </w:p>
  </w:footnote>
  <w:footnote w:id="400">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01">
        <w:r>
          <w:rPr>
            <w:rStyle w:val="Hyperlink"/>
          </w:rPr>
          <w:t xml:space="preserve">https://ukdataservice.ac.uk/learning-hub/research-data-management/format-your-data/quality/</w:t>
        </w:r>
      </w:hyperlink>
      <w:r>
        <w:t xml:space="preserve">.</w:t>
      </w:r>
    </w:p>
  </w:footnote>
  <w:footnote w:id="402">
    <w:p>
      <w:pPr>
        <w:pStyle w:val="FootnoteText"/>
      </w:pPr>
      <w:r>
        <w:rPr>
          <w:rStyle w:val="FootnoteReference"/>
        </w:rPr>
        <w:footnoteRef/>
      </w:r>
      <w:r>
        <w:t xml:space="preserve"> </w:t>
      </w:r>
      <w:r>
        <w:t xml:space="preserve">Washington University in St. Louis,</w:t>
      </w:r>
      <w:r>
        <w:t xml:space="preserve"> </w:t>
      </w:r>
      <w:r>
        <w:t xml:space="preserve">“Codebook Template,”</w:t>
      </w:r>
      <w:r>
        <w:t xml:space="preserve"> </w:t>
      </w:r>
      <w:r>
        <w:t xml:space="preserve">January 13, 2023,</w:t>
      </w:r>
      <w:r>
        <w:t xml:space="preserve"> </w:t>
      </w:r>
      <w:hyperlink r:id="rId403">
        <w:r>
          <w:rPr>
            <w:rStyle w:val="Hyperlink"/>
          </w:rPr>
          <w:t xml:space="preserve">https://libguides.wustl.edu/ld.php?content_id=29108244</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121" Target="media/rId121.png" /><Relationship Type="http://schemas.openxmlformats.org/officeDocument/2006/relationships/image" Id="rId378" Target="media/rId378.png" /><Relationship Type="http://schemas.openxmlformats.org/officeDocument/2006/relationships/image" Id="rId256" Target="media/rId256.png" /><Relationship Type="http://schemas.openxmlformats.org/officeDocument/2006/relationships/image" Id="rId352" Target="media/rId352.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383" Target="media/rId383.png" /><Relationship Type="http://schemas.openxmlformats.org/officeDocument/2006/relationships/image" Id="rId275" Target="media/rId275.png" /><Relationship Type="http://schemas.openxmlformats.org/officeDocument/2006/relationships/image" Id="rId184" Target="media/rId184.png" /><Relationship Type="http://schemas.openxmlformats.org/officeDocument/2006/relationships/image" Id="rId318" Target="media/rId318.png" /><Relationship Type="http://schemas.openxmlformats.org/officeDocument/2006/relationships/image" Id="rId299" Target="media/rId299.png" /><Relationship Type="http://schemas.openxmlformats.org/officeDocument/2006/relationships/image" Id="rId226" Target="media/rId226.png" /><Relationship Type="http://schemas.openxmlformats.org/officeDocument/2006/relationships/image" Id="rId290" Target="media/rId290.png" /><Relationship Type="http://schemas.openxmlformats.org/officeDocument/2006/relationships/image" Id="rId321" Target="media/rId32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5" Target="media/rId175.png" /><Relationship Type="http://schemas.openxmlformats.org/officeDocument/2006/relationships/image" Id="rId344" Target="media/rId344.png" /><Relationship Type="http://schemas.openxmlformats.org/officeDocument/2006/relationships/image" Id="rId363" Target="media/rId363.png" /><Relationship Type="http://schemas.openxmlformats.org/officeDocument/2006/relationships/image" Id="rId404" Target="media/rId404.png" /><Relationship Type="http://schemas.openxmlformats.org/officeDocument/2006/relationships/image" Id="rId128" Target="media/rId128.png" /><Relationship Type="http://schemas.openxmlformats.org/officeDocument/2006/relationships/image" Id="rId142" Target="media/rId142.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89" Target="media/rId389.png" /><Relationship Type="http://schemas.openxmlformats.org/officeDocument/2006/relationships/image" Id="rId271" Target="media/rId271.png" /><Relationship Type="http://schemas.openxmlformats.org/officeDocument/2006/relationships/image" Id="rId373" Target="media/rId373.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image" Id="rId172" Target="media/rId172.png" /><Relationship Type="http://schemas.openxmlformats.org/officeDocument/2006/relationships/image" Id="rId336" Target="media/rId336.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hyperlink" Id="rId369" Target="http://orrp.osu.edu/files/2011/10/GuidelinesforWritingaResearchProtocol.pdf" TargetMode="External" /><Relationship Type="http://schemas.openxmlformats.org/officeDocument/2006/relationships/hyperlink" Id="rId20" Target="https://cghlewis.github.io/mpsi-data-training/" TargetMode="External" /><Relationship Type="http://schemas.openxmlformats.org/officeDocument/2006/relationships/hyperlink" Id="rId247" Target="https://cghlewis.github.io/mpsi-data-training/capture.html" TargetMode="External" /><Relationship Type="http://schemas.openxmlformats.org/officeDocument/2006/relationships/hyperlink" Id="rId251" Target="https://cghlewis.github.io/mpsi-data-training/clean.html" TargetMode="External" /><Relationship Type="http://schemas.openxmlformats.org/officeDocument/2006/relationships/hyperlink" Id="rId243" Target="https://cghlewis.github.io/mpsi-data-training/collection.html" TargetMode="External" /><Relationship Type="http://schemas.openxmlformats.org/officeDocument/2006/relationships/hyperlink" Id="rId241" Target="https://cghlewis.github.io/mpsi-data-training/document.html" TargetMode="External" /><Relationship Type="http://schemas.openxmlformats.org/officeDocument/2006/relationships/hyperlink" Id="rId397" Target="https://cghlewis.github.io/mpsi-data-training/img/sample_sop.pdf" TargetMode="External" /><Relationship Type="http://schemas.openxmlformats.org/officeDocument/2006/relationships/hyperlink" Id="rId237" Target="https://cghlewis.github.io/mpsi-data-training/randr.html" TargetMode="External" /><Relationship Type="http://schemas.openxmlformats.org/officeDocument/2006/relationships/hyperlink" Id="rId253" Target="https://cghlewis.github.io/mpsi-data-training/share.html" TargetMode="External" /><Relationship Type="http://schemas.openxmlformats.org/officeDocument/2006/relationships/hyperlink" Id="rId249" Target="https://cghlewis.github.io/mpsi-data-training/storage.html" TargetMode="External" /><Relationship Type="http://schemas.openxmlformats.org/officeDocument/2006/relationships/hyperlink" Id="rId239" Target="https://cghlewis.github.io/mpsi-data-training/taskmgmt.html" TargetMode="External" /><Relationship Type="http://schemas.openxmlformats.org/officeDocument/2006/relationships/hyperlink" Id="rId245" Target="https://cghlewis.github.io/mpsi-data-training/tracking.html" TargetMode="External" /><Relationship Type="http://schemas.openxmlformats.org/officeDocument/2006/relationships/hyperlink" Id="rId208" Target="https://data.library.virginia.edu/data-management-plan-templates/" TargetMode="External" /><Relationship Type="http://schemas.openxmlformats.org/officeDocument/2006/relationships/hyperlink" Id="rId305" Target="https://dataoneorg.github.io/Education/bestpractices/define-roles-and" TargetMode="External" /><Relationship Type="http://schemas.openxmlformats.org/officeDocument/2006/relationships/hyperlink" Id="rId223" Target="https://dataoneorg.github.io/Education/bestpractices/provide-budget-information" TargetMode="External" /><Relationship Type="http://schemas.openxmlformats.org/officeDocument/2006/relationships/hyperlink" Id="rId367" Target="https://depts.washington.edu/wildfire/resources/protckl.pdf" TargetMode="External" /><Relationship Type="http://schemas.openxmlformats.org/officeDocument/2006/relationships/hyperlink" Id="rId351" Target="https://dmeg.cessda.eu/Data-Management-Expert-Guide/3.-Process/Data-authenticity" TargetMode="External" /><Relationship Type="http://schemas.openxmlformats.org/officeDocument/2006/relationships/hyperlink" Id="rId210" Target="https://dmptool.org/" TargetMode="External" /><Relationship Type="http://schemas.openxmlformats.org/officeDocument/2006/relationships/hyperlink" Id="rId40" Target="https://docplayer.net/8853333-Drowning-in-research-data-addressing-data-management-literacy-of-graduate-students.html" TargetMode="External" /><Relationship Type="http://schemas.openxmlformats.org/officeDocument/2006/relationships/hyperlink" Id="rId327" Target="https://docs.google.com/document/d/1LqGdtHg0dMbj9lsCnC1QOoWzIsnSNRTSek6i3Kls2Ik/edit?usp=embed_facebook" TargetMode="External" /><Relationship Type="http://schemas.openxmlformats.org/officeDocument/2006/relationships/hyperlink" Id="rId33" Target="https://docs.google.com/document/d/1u8o5jnWk0Iqp_J06PTu5NjBfVsdoPbBhstht6W0fFp0/edit?usp=embed_facebook" TargetMode="External" /><Relationship Type="http://schemas.openxmlformats.org/officeDocument/2006/relationships/hyperlink" Id="rId44"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8" Target="https://doi.org/10.1016/j.gaceta.2018.01.009" TargetMode="External" /><Relationship Type="http://schemas.openxmlformats.org/officeDocument/2006/relationships/hyperlink" Id="rId46"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5"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2" Target="https://doi.org/10.1177/25152459211045930" TargetMode="External" /><Relationship Type="http://schemas.openxmlformats.org/officeDocument/2006/relationships/hyperlink" Id="rId91"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6"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0" Target="https://doi.org/10.2218/ijdc.v11i1.389" TargetMode="External" /><Relationship Type="http://schemas.openxmlformats.org/officeDocument/2006/relationships/hyperlink" Id="rId82" Target="https://doi.org/10.35542/osf.io/xqfwb" TargetMode="External" /><Relationship Type="http://schemas.openxmlformats.org/officeDocument/2006/relationships/hyperlink" Id="rId279" Target="https://doi.org/10.3897/rio.6.e56508" TargetMode="External" /><Relationship Type="http://schemas.openxmlformats.org/officeDocument/2006/relationships/hyperlink" Id="rId65"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3" Target="https://doi.org/10.5278/16k4-4n24" TargetMode="External" /><Relationship Type="http://schemas.openxmlformats.org/officeDocument/2006/relationships/hyperlink" Id="rId230" Target="https://doi.org/10.5334/dsj-2021-009" TargetMode="External" /><Relationship Type="http://schemas.openxmlformats.org/officeDocument/2006/relationships/hyperlink" Id="rId31" Target="https://doi.org/10.6084/m9.figshare.13215350.v2" TargetMode="External" /><Relationship Type="http://schemas.openxmlformats.org/officeDocument/2006/relationships/hyperlink" Id="rId28" Target="https://doi.org/10.6084/m9.figshare.19514368.v1" TargetMode="External" /><Relationship Type="http://schemas.openxmlformats.org/officeDocument/2006/relationships/hyperlink" Id="rId357" Target="https://en.wikipedia.org/w/index.php?title=Style_guide&amp;oldid=1131556370" TargetMode="External" /><Relationship Type="http://schemas.openxmlformats.org/officeDocument/2006/relationships/hyperlink" Id="rId22" Target="https://eric.ed.gov/?id=ED583982" TargetMode="External" /><Relationship Type="http://schemas.openxmlformats.org/officeDocument/2006/relationships/hyperlink" Id="rId342" Target="https://eur-synclab.github.io/"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117" Target="https://ies.ed.gov/funding/23rfas.asp" TargetMode="External" /><Relationship Type="http://schemas.openxmlformats.org/officeDocument/2006/relationships/hyperlink" Id="rId68" Target="https://ies.ed.gov/funding/datasharing_faq.asp" TargetMode="External" /><Relationship Type="http://schemas.openxmlformats.org/officeDocument/2006/relationships/hyperlink" Id="rId30"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08"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403" Target="https://libguides.wustl.edu/ld.php?content_id=29108244" TargetMode="External" /><Relationship Type="http://schemas.openxmlformats.org/officeDocument/2006/relationships/hyperlink" Id="rId263" Target="https://library.csp.edu/Zotero/workflow" TargetMode="External" /><Relationship Type="http://schemas.openxmlformats.org/officeDocument/2006/relationships/hyperlink" Id="rId382" Target="https://nces.ed.gov/pubs2015/2015074.pdf" TargetMode="External" /><Relationship Type="http://schemas.openxmlformats.org/officeDocument/2006/relationships/hyperlink" Id="rId202" Target="https://nij.ojp.gov/funding/data-archiving" TargetMode="External" /><Relationship Type="http://schemas.openxmlformats.org/officeDocument/2006/relationships/hyperlink" Id="rId393" Target="https://nuwildcat.sharepoint.com/sites/Other-NUCATSEducationCareerCenter/Shared%20Documents/Forms/AllItems.aspx?id=%2Fsites%2FOther%2DNUCATSEducationCareerCenter%2FShared%20Documents%2FWebsite%20%26%20Public%20Communications%20Link%20Out%20Library%2FNUCATS%20On%20Demand%2FTopic%20Reference%20Guides%2FOverview%20of%20SOPs%2Epdf&amp;parent=%2Fsites%2FOther%2DNUCATSEducationCareerCenter%2FShared%20Documents%2FWebsite%20%26%20Public%20Communications%20Link%20Out%20Library%2FNUCATS%20On%20Demand%2FTopic%20Reference%20Guides&amp;p=true&amp;ga=1" TargetMode="External" /><Relationship Type="http://schemas.openxmlformats.org/officeDocument/2006/relationships/hyperlink" Id="rId388" Target="https://nuwildcat.sharepoint.com/sites/Other-NUCATSEducationCareerCenter/Shared%20Documents/Forms/AllItems.aspx?id=%2Fsites%2FOther%2DNUCATSEducationCareerCenter%2FShared%20Documents%2FWebsite%20%26%20Public%20Communications%20Link%20Out%20Library%2FNUCATS%20On%20Demand%2FTopic%20Reference%20Guides%2FWriting%20SOPS%20%2B%20Templates%2Epdf&amp;parent=%2Fsites%2FOther%2DNUCATSEducationCareerCenter%2FShared%20Documents%2FWebsite%20%26%20Public%20Communications%20Link%20Out%20Library%2FNUCATS%20On%20Demand%2FTopic%20Reference%20Guides&amp;p=true&amp;ga=1"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0" Target="https://osf.io/mdh87/" TargetMode="External" /><Relationship Type="http://schemas.openxmlformats.org/officeDocument/2006/relationships/hyperlink" Id="rId57" Target="https://pitt.libguides.com/managedata/understanding" TargetMode="External" /><Relationship Type="http://schemas.openxmlformats.org/officeDocument/2006/relationships/hyperlink" Id="rId97" Target="https://psyarxiv.com/rsn5y/" TargetMode="External" /><Relationship Type="http://schemas.openxmlformats.org/officeDocument/2006/relationships/hyperlink" Id="rId371"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15" Target="https://sharing.nih.gov/data-management-and-sharing-policy/planning-and-budgeting-for-data-management-and-sharing/budgeting-for-data-management-sharing#after" TargetMode="External" /><Relationship Type="http://schemas.openxmlformats.org/officeDocument/2006/relationships/hyperlink" Id="rId330" Target="https://thefaylab.github.io/lab-manual/"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17" Target="https://ukdataservice.ac.uk//app/uploads/costingtool.pdf" TargetMode="External" /><Relationship Type="http://schemas.openxmlformats.org/officeDocument/2006/relationships/hyperlink" Id="rId401" Target="https://ukdataservice.ac.uk/learning-hub/research-data-management/format-your-data/quality/" TargetMode="External" /><Relationship Type="http://schemas.openxmlformats.org/officeDocument/2006/relationships/hyperlink" Id="rId213" Target="https://ukdataservice.ac.uk/learning-hub/research-data-management/plan-to-share/costing/" TargetMode="External" /><Relationship Type="http://schemas.openxmlformats.org/officeDocument/2006/relationships/hyperlink" Id="rId294" Target="https://ukdataservice.ac.uk/learning-hub/research-data-management/plan-to-share/roles-and-responsibilities/" TargetMode="External" /><Relationship Type="http://schemas.openxmlformats.org/officeDocument/2006/relationships/hyperlink" Id="rId332" Target="https://uploads.strikinglycdn.com/files/f3dfcf89-32f2-48cb-94cd-3070f733c53d/RAISE%20Lab%20Guidelines_Final.pdf" TargetMode="External" /><Relationship Type="http://schemas.openxmlformats.org/officeDocument/2006/relationships/hyperlink" Id="rId287"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3" Target="https://www.cdisc.org/standards" TargetMode="External" /><Relationship Type="http://schemas.openxmlformats.org/officeDocument/2006/relationships/hyperlink" Id="rId377"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307" Target="https://www.google.com/url?sa=t&amp;rct=j&amp;q=&amp;esrc=s&amp;source=web&amp;cd=&amp;cad=rja&amp;uact=8&amp;ved=2ahUKEwjdkYr7z738AhVUlWoFHRWrCJoQFnoECBAQAQ&amp;url=https%3A%2F%2Ffoa.ucdavis.edu%2Fsites%2Fg%2Ffiles%2Fdgvnsk3426%2Ffiles%2Finline-files%2Froles-and-responsibilities-template.docx&amp;usg=AOvVaw3e2YJ2nhgThtl-ApGH9Y92" TargetMode="External" /><Relationship Type="http://schemas.openxmlformats.org/officeDocument/2006/relationships/hyperlink" Id="rId198" Target="https://www.icpsr.umich.edu/web/pages/deposit/guide/" TargetMode="External" /><Relationship Type="http://schemas.openxmlformats.org/officeDocument/2006/relationships/hyperlink" Id="rId59" Target="https://www.neh.gov/sites/default/files/2018-06/data_management_plans_2018.pdf" TargetMode="External" /><Relationship Type="http://schemas.openxmlformats.org/officeDocument/2006/relationships/hyperlink" Id="rId204" Target="https://www.nsf.gov/bfa/dias/policy/dmpdocs/ehr.pdf" TargetMode="External" /><Relationship Type="http://schemas.openxmlformats.org/officeDocument/2006/relationships/hyperlink" Id="rId349" Target="https://www.povertyactionlab.org/resource/formalize-research-partnership-and-establish-roles-and-expectations" TargetMode="External" /><Relationship Type="http://schemas.openxmlformats.org/officeDocument/2006/relationships/hyperlink" Id="rId325" Target="https://www.rsb.org.uk//biologist-features/how-to-write-a-lab-handbook" TargetMode="External" /><Relationship Type="http://schemas.openxmlformats.org/officeDocument/2006/relationships/hyperlink" Id="rId334" Target="https://www.rsb.org.uk/images/biologist/2020/Apr_May_2020_67-2/67.2_Handbook.pdf" TargetMode="External" /><Relationship Type="http://schemas.openxmlformats.org/officeDocument/2006/relationships/hyperlink" Id="rId179" Target="https://www.theanalysisfactor.com/wide-and-long-data/"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395" Target="https://www.uts.edu.au/sites/default/files/2020-07/5.5.5%20Allocation%20of%20Participant%20ID%20Numbers%20V2.5_20200520.pdf" TargetMode="External" /><Relationship Type="http://schemas.openxmlformats.org/officeDocument/2006/relationships/hyperlink" Id="rId219" Target="https://www.utwente.nl/en/service-portal/services/lisa/resources/files/library-public/dcc-rdm-costs-estimation.pdf" TargetMode="External" /><Relationship Type="http://schemas.openxmlformats.org/officeDocument/2006/relationships/hyperlink" Id="rId221" Target="https://www.uu.nl/en/research/research-data-management/guides/costs-of-data-management" TargetMode="External" /><Relationship Type="http://schemas.openxmlformats.org/officeDocument/2006/relationships/hyperlink" Id="rId72" Target="https://www.whitehouse.gov/ostp/news-updates/2022/08/25/ostp-issues-guidance-to-make-federally-funded-research-freely-available-without-delay/" TargetMode="External" /></Relationships>
</file>

<file path=word/_rels/footnotes.xml.rels><?xml version="1.0" encoding="UTF-8"?><Relationships xmlns="http://schemas.openxmlformats.org/package/2006/relationships"><Relationship Type="http://schemas.openxmlformats.org/officeDocument/2006/relationships/hyperlink" Id="rId369" Target="http://orrp.osu.edu/files/2011/10/GuidelinesforWritingaResearchProtocol.pdf" TargetMode="External" /><Relationship Type="http://schemas.openxmlformats.org/officeDocument/2006/relationships/hyperlink" Id="rId20" Target="https://cghlewis.github.io/mpsi-data-training/" TargetMode="External" /><Relationship Type="http://schemas.openxmlformats.org/officeDocument/2006/relationships/hyperlink" Id="rId247" Target="https://cghlewis.github.io/mpsi-data-training/capture.html" TargetMode="External" /><Relationship Type="http://schemas.openxmlformats.org/officeDocument/2006/relationships/hyperlink" Id="rId251" Target="https://cghlewis.github.io/mpsi-data-training/clean.html" TargetMode="External" /><Relationship Type="http://schemas.openxmlformats.org/officeDocument/2006/relationships/hyperlink" Id="rId243" Target="https://cghlewis.github.io/mpsi-data-training/collection.html" TargetMode="External" /><Relationship Type="http://schemas.openxmlformats.org/officeDocument/2006/relationships/hyperlink" Id="rId241" Target="https://cghlewis.github.io/mpsi-data-training/document.html" TargetMode="External" /><Relationship Type="http://schemas.openxmlformats.org/officeDocument/2006/relationships/hyperlink" Id="rId397" Target="https://cghlewis.github.io/mpsi-data-training/img/sample_sop.pdf" TargetMode="External" /><Relationship Type="http://schemas.openxmlformats.org/officeDocument/2006/relationships/hyperlink" Id="rId237" Target="https://cghlewis.github.io/mpsi-data-training/randr.html" TargetMode="External" /><Relationship Type="http://schemas.openxmlformats.org/officeDocument/2006/relationships/hyperlink" Id="rId253" Target="https://cghlewis.github.io/mpsi-data-training/share.html" TargetMode="External" /><Relationship Type="http://schemas.openxmlformats.org/officeDocument/2006/relationships/hyperlink" Id="rId249" Target="https://cghlewis.github.io/mpsi-data-training/storage.html" TargetMode="External" /><Relationship Type="http://schemas.openxmlformats.org/officeDocument/2006/relationships/hyperlink" Id="rId239" Target="https://cghlewis.github.io/mpsi-data-training/taskmgmt.html" TargetMode="External" /><Relationship Type="http://schemas.openxmlformats.org/officeDocument/2006/relationships/hyperlink" Id="rId245" Target="https://cghlewis.github.io/mpsi-data-training/tracking.html" TargetMode="External" /><Relationship Type="http://schemas.openxmlformats.org/officeDocument/2006/relationships/hyperlink" Id="rId208" Target="https://data.library.virginia.edu/data-management-plan-templates/" TargetMode="External" /><Relationship Type="http://schemas.openxmlformats.org/officeDocument/2006/relationships/hyperlink" Id="rId305" Target="https://dataoneorg.github.io/Education/bestpractices/define-roles-and" TargetMode="External" /><Relationship Type="http://schemas.openxmlformats.org/officeDocument/2006/relationships/hyperlink" Id="rId223" Target="https://dataoneorg.github.io/Education/bestpractices/provide-budget-information" TargetMode="External" /><Relationship Type="http://schemas.openxmlformats.org/officeDocument/2006/relationships/hyperlink" Id="rId367" Target="https://depts.washington.edu/wildfire/resources/protckl.pdf" TargetMode="External" /><Relationship Type="http://schemas.openxmlformats.org/officeDocument/2006/relationships/hyperlink" Id="rId351" Target="https://dmeg.cessda.eu/Data-Management-Expert-Guide/3.-Process/Data-authenticity" TargetMode="External" /><Relationship Type="http://schemas.openxmlformats.org/officeDocument/2006/relationships/hyperlink" Id="rId210" Target="https://dmptool.org/" TargetMode="External" /><Relationship Type="http://schemas.openxmlformats.org/officeDocument/2006/relationships/hyperlink" Id="rId40" Target="https://docplayer.net/8853333-Drowning-in-research-data-addressing-data-management-literacy-of-graduate-students.html" TargetMode="External" /><Relationship Type="http://schemas.openxmlformats.org/officeDocument/2006/relationships/hyperlink" Id="rId327" Target="https://docs.google.com/document/d/1LqGdtHg0dMbj9lsCnC1QOoWzIsnSNRTSek6i3Kls2Ik/edit?usp=embed_facebook" TargetMode="External" /><Relationship Type="http://schemas.openxmlformats.org/officeDocument/2006/relationships/hyperlink" Id="rId33" Target="https://docs.google.com/document/d/1u8o5jnWk0Iqp_J06PTu5NjBfVsdoPbBhstht6W0fFp0/edit?usp=embed_facebook" TargetMode="External" /><Relationship Type="http://schemas.openxmlformats.org/officeDocument/2006/relationships/hyperlink" Id="rId44"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8" Target="https://doi.org/10.1016/j.gaceta.2018.01.009" TargetMode="External" /><Relationship Type="http://schemas.openxmlformats.org/officeDocument/2006/relationships/hyperlink" Id="rId46"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5"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2" Target="https://doi.org/10.1177/25152459211045930" TargetMode="External" /><Relationship Type="http://schemas.openxmlformats.org/officeDocument/2006/relationships/hyperlink" Id="rId91"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6"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0" Target="https://doi.org/10.2218/ijdc.v11i1.389" TargetMode="External" /><Relationship Type="http://schemas.openxmlformats.org/officeDocument/2006/relationships/hyperlink" Id="rId82" Target="https://doi.org/10.35542/osf.io/xqfwb" TargetMode="External" /><Relationship Type="http://schemas.openxmlformats.org/officeDocument/2006/relationships/hyperlink" Id="rId279" Target="https://doi.org/10.3897/rio.6.e56508" TargetMode="External" /><Relationship Type="http://schemas.openxmlformats.org/officeDocument/2006/relationships/hyperlink" Id="rId65"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3" Target="https://doi.org/10.5278/16k4-4n24" TargetMode="External" /><Relationship Type="http://schemas.openxmlformats.org/officeDocument/2006/relationships/hyperlink" Id="rId230" Target="https://doi.org/10.5334/dsj-2021-009" TargetMode="External" /><Relationship Type="http://schemas.openxmlformats.org/officeDocument/2006/relationships/hyperlink" Id="rId31" Target="https://doi.org/10.6084/m9.figshare.13215350.v2" TargetMode="External" /><Relationship Type="http://schemas.openxmlformats.org/officeDocument/2006/relationships/hyperlink" Id="rId28" Target="https://doi.org/10.6084/m9.figshare.19514368.v1" TargetMode="External" /><Relationship Type="http://schemas.openxmlformats.org/officeDocument/2006/relationships/hyperlink" Id="rId357" Target="https://en.wikipedia.org/w/index.php?title=Style_guide&amp;oldid=1131556370" TargetMode="External" /><Relationship Type="http://schemas.openxmlformats.org/officeDocument/2006/relationships/hyperlink" Id="rId22" Target="https://eric.ed.gov/?id=ED583982" TargetMode="External" /><Relationship Type="http://schemas.openxmlformats.org/officeDocument/2006/relationships/hyperlink" Id="rId342" Target="https://eur-synclab.github.io/"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117" Target="https://ies.ed.gov/funding/23rfas.asp" TargetMode="External" /><Relationship Type="http://schemas.openxmlformats.org/officeDocument/2006/relationships/hyperlink" Id="rId68" Target="https://ies.ed.gov/funding/datasharing_faq.asp" TargetMode="External" /><Relationship Type="http://schemas.openxmlformats.org/officeDocument/2006/relationships/hyperlink" Id="rId30"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08"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403" Target="https://libguides.wustl.edu/ld.php?content_id=29108244" TargetMode="External" /><Relationship Type="http://schemas.openxmlformats.org/officeDocument/2006/relationships/hyperlink" Id="rId263" Target="https://library.csp.edu/Zotero/workflow" TargetMode="External" /><Relationship Type="http://schemas.openxmlformats.org/officeDocument/2006/relationships/hyperlink" Id="rId382" Target="https://nces.ed.gov/pubs2015/2015074.pdf" TargetMode="External" /><Relationship Type="http://schemas.openxmlformats.org/officeDocument/2006/relationships/hyperlink" Id="rId202" Target="https://nij.ojp.gov/funding/data-archiving" TargetMode="External" /><Relationship Type="http://schemas.openxmlformats.org/officeDocument/2006/relationships/hyperlink" Id="rId393" Target="https://nuwildcat.sharepoint.com/sites/Other-NUCATSEducationCareerCenter/Shared%20Documents/Forms/AllItems.aspx?id=%2Fsites%2FOther%2DNUCATSEducationCareerCenter%2FShared%20Documents%2FWebsite%20%26%20Public%20Communications%20Link%20Out%20Library%2FNUCATS%20On%20Demand%2FTopic%20Reference%20Guides%2FOverview%20of%20SOPs%2Epdf&amp;parent=%2Fsites%2FOther%2DNUCATSEducationCareerCenter%2FShared%20Documents%2FWebsite%20%26%20Public%20Communications%20Link%20Out%20Library%2FNUCATS%20On%20Demand%2FTopic%20Reference%20Guides&amp;p=true&amp;ga=1" TargetMode="External" /><Relationship Type="http://schemas.openxmlformats.org/officeDocument/2006/relationships/hyperlink" Id="rId388" Target="https://nuwildcat.sharepoint.com/sites/Other-NUCATSEducationCareerCenter/Shared%20Documents/Forms/AllItems.aspx?id=%2Fsites%2FOther%2DNUCATSEducationCareerCenter%2FShared%20Documents%2FWebsite%20%26%20Public%20Communications%20Link%20Out%20Library%2FNUCATS%20On%20Demand%2FTopic%20Reference%20Guides%2FWriting%20SOPS%20%2B%20Templates%2Epdf&amp;parent=%2Fsites%2FOther%2DNUCATSEducationCareerCenter%2FShared%20Documents%2FWebsite%20%26%20Public%20Communications%20Link%20Out%20Library%2FNUCATS%20On%20Demand%2FTopic%20Reference%20Guides&amp;p=true&amp;ga=1"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0" Target="https://osf.io/mdh87/" TargetMode="External" /><Relationship Type="http://schemas.openxmlformats.org/officeDocument/2006/relationships/hyperlink" Id="rId57" Target="https://pitt.libguides.com/managedata/understanding" TargetMode="External" /><Relationship Type="http://schemas.openxmlformats.org/officeDocument/2006/relationships/hyperlink" Id="rId97" Target="https://psyarxiv.com/rsn5y/" TargetMode="External" /><Relationship Type="http://schemas.openxmlformats.org/officeDocument/2006/relationships/hyperlink" Id="rId371"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15" Target="https://sharing.nih.gov/data-management-and-sharing-policy/planning-and-budgeting-for-data-management-and-sharing/budgeting-for-data-management-sharing#after" TargetMode="External" /><Relationship Type="http://schemas.openxmlformats.org/officeDocument/2006/relationships/hyperlink" Id="rId330" Target="https://thefaylab.github.io/lab-manual/"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17" Target="https://ukdataservice.ac.uk//app/uploads/costingtool.pdf" TargetMode="External" /><Relationship Type="http://schemas.openxmlformats.org/officeDocument/2006/relationships/hyperlink" Id="rId401" Target="https://ukdataservice.ac.uk/learning-hub/research-data-management/format-your-data/quality/" TargetMode="External" /><Relationship Type="http://schemas.openxmlformats.org/officeDocument/2006/relationships/hyperlink" Id="rId213" Target="https://ukdataservice.ac.uk/learning-hub/research-data-management/plan-to-share/costing/" TargetMode="External" /><Relationship Type="http://schemas.openxmlformats.org/officeDocument/2006/relationships/hyperlink" Id="rId294" Target="https://ukdataservice.ac.uk/learning-hub/research-data-management/plan-to-share/roles-and-responsibilities/" TargetMode="External" /><Relationship Type="http://schemas.openxmlformats.org/officeDocument/2006/relationships/hyperlink" Id="rId332" Target="https://uploads.strikinglycdn.com/files/f3dfcf89-32f2-48cb-94cd-3070f733c53d/RAISE%20Lab%20Guidelines_Final.pdf" TargetMode="External" /><Relationship Type="http://schemas.openxmlformats.org/officeDocument/2006/relationships/hyperlink" Id="rId287"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3" Target="https://www.cdisc.org/standards" TargetMode="External" /><Relationship Type="http://schemas.openxmlformats.org/officeDocument/2006/relationships/hyperlink" Id="rId377"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307" Target="https://www.google.com/url?sa=t&amp;rct=j&amp;q=&amp;esrc=s&amp;source=web&amp;cd=&amp;cad=rja&amp;uact=8&amp;ved=2ahUKEwjdkYr7z738AhVUlWoFHRWrCJoQFnoECBAQAQ&amp;url=https%3A%2F%2Ffoa.ucdavis.edu%2Fsites%2Fg%2Ffiles%2Fdgvnsk3426%2Ffiles%2Finline-files%2Froles-and-responsibilities-template.docx&amp;usg=AOvVaw3e2YJ2nhgThtl-ApGH9Y92" TargetMode="External" /><Relationship Type="http://schemas.openxmlformats.org/officeDocument/2006/relationships/hyperlink" Id="rId198" Target="https://www.icpsr.umich.edu/web/pages/deposit/guide/" TargetMode="External" /><Relationship Type="http://schemas.openxmlformats.org/officeDocument/2006/relationships/hyperlink" Id="rId59" Target="https://www.neh.gov/sites/default/files/2018-06/data_management_plans_2018.pdf" TargetMode="External" /><Relationship Type="http://schemas.openxmlformats.org/officeDocument/2006/relationships/hyperlink" Id="rId204" Target="https://www.nsf.gov/bfa/dias/policy/dmpdocs/ehr.pdf" TargetMode="External" /><Relationship Type="http://schemas.openxmlformats.org/officeDocument/2006/relationships/hyperlink" Id="rId349" Target="https://www.povertyactionlab.org/resource/formalize-research-partnership-and-establish-roles-and-expectations" TargetMode="External" /><Relationship Type="http://schemas.openxmlformats.org/officeDocument/2006/relationships/hyperlink" Id="rId325" Target="https://www.rsb.org.uk//biologist-features/how-to-write-a-lab-handbook" TargetMode="External" /><Relationship Type="http://schemas.openxmlformats.org/officeDocument/2006/relationships/hyperlink" Id="rId334" Target="https://www.rsb.org.uk/images/biologist/2020/Apr_May_2020_67-2/67.2_Handbook.pdf" TargetMode="External" /><Relationship Type="http://schemas.openxmlformats.org/officeDocument/2006/relationships/hyperlink" Id="rId179" Target="https://www.theanalysisfactor.com/wide-and-long-data/"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395" Target="https://www.uts.edu.au/sites/default/files/2020-07/5.5.5%20Allocation%20of%20Participant%20ID%20Numbers%20V2.5_20200520.pdf" TargetMode="External" /><Relationship Type="http://schemas.openxmlformats.org/officeDocument/2006/relationships/hyperlink" Id="rId219" Target="https://www.utwente.nl/en/service-portal/services/lisa/resources/files/library-public/dcc-rdm-costs-estimation.pdf" TargetMode="External" /><Relationship Type="http://schemas.openxmlformats.org/officeDocument/2006/relationships/hyperlink" Id="rId221" Target="https://www.uu.nl/en/research/research-data-management/guides/costs-of-data-management" TargetMode="External" /><Relationship Type="http://schemas.openxmlformats.org/officeDocument/2006/relationships/hyperlink" Id="rId72" Target="https://www.whitehouse.gov/ostp/news-updates/2022/08/25/ostp-issues-guidance-to-make-federally-funded-research-freely-available-without-dela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2023-01-14T03:15:44Z</dcterms:created>
  <dcterms:modified xsi:type="dcterms:W3CDTF">2023-01-14T03:15:44Z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2023-01-13</vt:lpwstr>
  </property>
  <property fmtid="{D5CDD505-2E9C-101B-9397-08002B2CF9AE}" pid="8" name="documentclass">
    <vt:lpwstr>book</vt:lpwstr>
  </property>
  <property fmtid="{D5CDD505-2E9C-101B-9397-08002B2CF9AE}" pid="9" name="site">
    <vt:lpwstr>bookdown::bookdown_site</vt:lpwstr>
  </property>
</Properties>
</file>