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Producción Agrícola de Maíz en Colombia: Análisis Espacial y Modelo Lineal Interpretable a Escala Municipal</w:t>
      </w:r>
    </w:p>
    <w:p/>
    <w:p>
      <w:r>
        <w:rPr>
          <w:rFonts w:ascii="Times New Roman" w:hAnsi="Times New Roman"/>
          <w:b/>
          <w:sz w:val="24"/>
        </w:rPr>
        <w:t>1. Resumen y palabras clave</w:t>
      </w:r>
    </w:p>
    <w:p>
      <w:pPr>
        <w:ind w:firstLine="425"/>
        <w:jc w:val="both"/>
      </w:pPr>
      <w:r>
        <w:t>El presente trabajo aborda el problema de explicar la heterogeneidad espacial del rendimiento del cultivo de maíz (toneladas por hectárea) en los municipios de Colombia durante el período cubierto por las Evaluaciones Agropecuarias Municipales (EVA) de AGRONET. Se construyó una base de datos integrada a partir de tres fuentes oficiales (AGRONET-EVA, IDEAM y DANE) complementadas con TerriData (DNP) y con la cartografía vectorial de municipios. Sobre esa base se aplicó un análisis exploratorio espacial mediante coropletas e índices LISA, se ajustó un modelo de regresión lineal único (Mínimos Cuadrados Ordinarios para inferencia y Ridge para predicción) y se utilizó kriging ordinario como técnica espacial comparativa con dos propósitos: imputar el rendimiento de los municipios no observados en la EVA y diagnosticar la estructura espacial residual del modelo. Los resultados muestran un patrón espacial significativo del rendimiento, una capacidad explicativa moderada del modelo lineal y la persistencia de autocorrelación espacial en los residuos, lo que confirma que las covariables disponibles no agotan la estructura geográfica del fenómeno.</w:t>
      </w:r>
    </w:p>
    <w:p>
      <w:pPr>
        <w:ind w:firstLine="425"/>
        <w:jc w:val="both"/>
      </w:pPr>
      <w:r>
        <w:t>Palabras clave: maíz, rendimiento agrícola, estadística espacial, autocorrelación, índice de Moran, kriging ordinario, regresión lineal, Colombia.</w:t>
      </w:r>
    </w:p>
    <w:p>
      <w:r>
        <w:rPr>
          <w:rFonts w:ascii="Times New Roman" w:hAnsi="Times New Roman"/>
          <w:b/>
          <w:sz w:val="24"/>
        </w:rPr>
        <w:t>2. Introducción y problema de investigación</w:t>
      </w:r>
    </w:p>
    <w:p>
      <w:pPr>
        <w:ind w:firstLine="425"/>
        <w:jc w:val="both"/>
      </w:pPr>
      <w:r>
        <w:t>El maíz constituye uno de los cultivos transitorios de mayor difusión territorial en Colombia, con presencia simultánea en las cinco regiones naturales y una participación relevante en la canasta alimentaria nacional. No obstante, su rendimiento por hectárea exhibe una variabilidad considerable entre municipios, atribuible a un conjunto heterogéneo de factores agroecológicos, climáticos, socioeconómicos e institucionales. La literatura aplicada sobre agricultura en países tropicales sugiere que tal variabilidad raramente es independiente en el espacio: municipios vecinos comparten condiciones edafoclimáticas, redes de distribución de insumos y prácticas agronómicas, lo que genera dependencia espacial que debe ser modelada explícitamente.</w:t>
      </w:r>
    </w:p>
    <w:p>
      <w:pPr>
        <w:ind w:firstLine="425"/>
        <w:jc w:val="both"/>
      </w:pPr>
      <w:r>
        <w:t>El problema de investigación se formula en los siguientes términos: ¿en qué medida un modelo lineal interpretable, alimentado con covariables productivas, climáticas y socioeconómicas, logra explicar el rendimiento municipal de maíz, y en qué medida la estructura espacial del fenómeno persiste como autocorrelación en los residuos? La pregunta es a la vez metodológica y sustantiva, pues su respuesta determina si las predicciones pueden interpretarse como aproximaciones razonables o si requieren corrección espacial explícita.</w:t>
      </w:r>
    </w:p>
    <w:p>
      <w:r>
        <w:rPr>
          <w:rFonts w:ascii="Times New Roman" w:hAnsi="Times New Roman"/>
          <w:b/>
          <w:sz w:val="24"/>
        </w:rPr>
        <w:t>3. Descripción de datos y fuentes</w:t>
      </w:r>
    </w:p>
    <w:p>
      <w:pPr>
        <w:ind w:firstLine="425"/>
        <w:jc w:val="both"/>
      </w:pPr>
      <w:r>
        <w:t>La unidad de observación es el municipio-año. Las fuentes utilizadas son:</w:t>
      </w:r>
    </w:p>
    <w:p>
      <w:pPr>
        <w:ind w:firstLine="425"/>
        <w:jc w:val="both"/>
      </w:pPr>
      <w:r>
        <w:t>1. AGRONET-EVA (MinAgricultura). Series municipales anuales de área sembrada, área cosechada y producción de maíz. Se filtraron los registros cuyo producto contiene la cadena «MAIZ» y se agregaron las variedades por municipio y año, recalculando el rendimiento como cociente entre producción y área cosechada.</w:t>
      </w:r>
    </w:p>
    <w:p>
      <w:pPr>
        <w:ind w:firstLine="425"/>
        <w:jc w:val="both"/>
      </w:pPr>
      <w:r>
        <w:t>2. IDEAM. Variables climáticas anualizadas por municipio: precipitación acumulada (prcp_anual), temperatura media (tmed_anual) e índice ENSO Niño 3.4 (enso_anual).</w:t>
      </w:r>
    </w:p>
    <w:p>
      <w:pPr>
        <w:ind w:firstLine="425"/>
        <w:jc w:val="both"/>
      </w:pPr>
      <w:r>
        <w:t>3. DANE — Marco Geoestadístico Nacional. Cartografía vectorial de municipios. Sobre esta capa se computaron centroides en la proyección MAGNA-SIRGAS Bogotá (EPSG:3116) y se reproyectaron a coordenadas geográficas (EPSG:4326) para obtener latitud y longitud. Se construyó un código DANE canónico de cinco dígitos como llave de unión.</w:t>
      </w:r>
    </w:p>
    <w:p>
      <w:pPr>
        <w:ind w:firstLine="425"/>
        <w:jc w:val="both"/>
      </w:pPr>
      <w:r>
        <w:t>4. TerriData (DNP). Indicadores municipales de cobertura energética rural, penetración de banda ancha, ingresos totales municipales, uso adecuado del suelo, sobreutilización del suelo y recaudo predial.</w:t>
      </w:r>
    </w:p>
    <w:p>
      <w:pPr>
        <w:ind w:firstLine="425"/>
        <w:jc w:val="both"/>
      </w:pPr>
      <w:r>
        <w:t>La integración se realizó por código DANE normalizado y por nombres de municipio y departamento normalizados (eliminación de acentos, mayúsculas y caracteres no alfanuméricos). Los municipios sin observación en AGRONET para un año determinado quedaron sin valor de rendimiento; este faltante motivó el uso posterior del kriging como técnica de imputación espacial.</w:t>
      </w:r>
    </w:p>
    <w:p>
      <w:r>
        <w:rPr>
          <w:rFonts w:ascii="Times New Roman" w:hAnsi="Times New Roman"/>
          <w:b/>
          <w:sz w:val="24"/>
        </w:rPr>
        <w:t>4. Análisis exploratorio espacial</w:t>
      </w:r>
    </w:p>
    <w:p>
      <w:pPr>
        <w:ind w:firstLine="425"/>
        <w:jc w:val="both"/>
      </w:pPr>
      <w:r>
        <w:t>El análisis exploratorio se compone de tres elementos.</w:t>
      </w:r>
    </w:p>
    <w:p>
      <w:pPr>
        <w:ind w:firstLine="425"/>
        <w:jc w:val="both"/>
      </w:pPr>
      <w:r>
        <w:t>En primer lugar, se construyeron mapas de coropleta del rendimiento municipal por año, utilizando una base cartográfica clara para maximizar el contraste de la paleta secuencial. La inspección visual revela concentraciones recurrentes de rendimiento elevado en porciones de la región Caribe y del Valle interandino, y zonas extensas de rendimiento bajo en la periferia amazónica y pacífica.</w:t>
      </w:r>
    </w:p>
    <w:p>
      <w:pPr>
        <w:ind w:firstLine="425"/>
        <w:jc w:val="both"/>
      </w:pPr>
      <w:r>
        <w:t>En segundo lugar, se cuantificó la dependencia espacial global mediante el índice I de Moran calculado sobre una matriz de pesos KNN con k = 8 vecinos, normalizada por filas. El valor obtenido es positivo y estadísticamente significativo bajo prueba de permutaciones, lo que confirma que el rendimiento no se distribuye aleatoriamente en el territorio.</w:t>
      </w:r>
    </w:p>
    <w:p>
      <w:pPr>
        <w:ind w:firstLine="425"/>
        <w:jc w:val="both"/>
      </w:pPr>
      <w:r>
        <w:t>En tercer lugar, se aplicó el análisis LISA (Local Indicators of Spatial Association) para identificar conglomerados locales de tipo alto-alto, bajo-bajo y atípicos altos-bajos o bajos-altos. Los clústeres alto-alto se concentran principalmente en municipios del eje Caribe-Cesar y del Valle del Cauca, mientras que los bajo-bajo aparecen en bloques del Pacífico y la Amazonía.</w:t>
      </w:r>
    </w:p>
    <w:p>
      <w:r>
        <w:rPr>
          <w:rFonts w:ascii="Times New Roman" w:hAnsi="Times New Roman"/>
          <w:b/>
          <w:sz w:val="24"/>
        </w:rPr>
        <w:t>5. Metodología estadística y de Machine Learning</w:t>
      </w:r>
    </w:p>
    <w:p>
      <w:r>
        <w:rPr>
          <w:rFonts w:ascii="Times New Roman" w:hAnsi="Times New Roman"/>
          <w:b/>
          <w:i/>
          <w:sz w:val="22"/>
        </w:rPr>
        <w:t>5.1 Modelo clásico de Machine Learning</w:t>
      </w:r>
    </w:p>
    <w:p>
      <w:pPr>
        <w:ind w:firstLine="425"/>
        <w:jc w:val="both"/>
      </w:pPr>
      <w:r>
        <w:t>Se ajustó un único modelo lineal por dos razones explícitas: (i) la interpretabilidad de los coeficientes en una regresión lineal permite responder no solo cuánto rinde un municipio sino por qué, y (ii) la concentración en un solo modelo evita el sesgo del leaderboard chasing propio de comparaciones múltiples sin justificación teórica.</w:t>
      </w:r>
    </w:p>
    <w:p>
      <w:pPr>
        <w:ind w:firstLine="425"/>
        <w:jc w:val="both"/>
      </w:pPr>
      <w:r>
        <w:t>El pipeline de ajuste comprende las siguientes etapas, codificadas en app/models.py:</w:t>
      </w:r>
    </w:p>
    <w:p>
      <w:pPr>
        <w:ind w:firstLine="425"/>
        <w:jc w:val="both"/>
      </w:pPr>
      <w:r>
        <w:t>1. Preparación. Transformación logarítmica de áreas (log1p), normalización del año, imputación por mediana de variables climáticas y socioeconómicas faltantes, y codificación binaria de regiones naturales mediante variables ficticias.</w:t>
      </w:r>
    </w:p>
    <w:p>
      <w:pPr>
        <w:ind w:firstLine="425"/>
        <w:jc w:val="both"/>
      </w:pPr>
      <w:r>
        <w:t>2. Reducción iterativa por VIF. Se calculó el Factor de Inflación de la Varianza para cada predictor y se eliminó iterativamente la variable con mayor VIF hasta que todas las restantes presentaran VIF inferior al umbral de 10. Este procedimiento se ejecuta sobre la matriz no estandarizada y antecede a cualquier ajuste.</w:t>
      </w:r>
    </w:p>
    <w:p>
      <w:pPr>
        <w:ind w:firstLine="425"/>
        <w:jc w:val="both"/>
      </w:pPr>
      <w:r>
        <w:t>3. Estandarización. Las variables retenidas se estandarizaron (media cero, varianza unitaria) para que los coeficientes resultantes fueran directamente comparables en magnitud, funcionando como importancia relativa en el contexto lineal.</w:t>
      </w:r>
    </w:p>
    <w:p>
      <w:pPr>
        <w:ind w:firstLine="425"/>
        <w:jc w:val="both"/>
      </w:pPr>
      <w:r>
        <w:t>4. Selección de hiperparámetro. Se realizó una búsqueda en malla logarítmica del parámetro de regularización Ridge con validación cruzada de cinco pliegues, optimizando la raíz del error cuadrático medio negativo.</w:t>
      </w:r>
    </w:p>
    <w:p>
      <w:pPr>
        <w:ind w:firstLine="425"/>
        <w:jc w:val="both"/>
      </w:pPr>
      <w:r>
        <w:t>5. Estimación dual. Ridge con el alfa óptimo se utiliza para predicción y para la generación de mapas; OLS sobre la misma matriz estandarizada se utiliza para inferencia clásica (tabla de coeficientes, errores estándar, valores t, p-valores e intervalos de confianza al 95 %, R², R² ajustado, estadístico F, AIC y BIC).</w:t>
      </w:r>
    </w:p>
    <w:p>
      <w:pPr>
        <w:ind w:firstLine="425"/>
        <w:jc w:val="both"/>
      </w:pPr>
      <w:r>
        <w:t>6. Validación adicional. Además de la validación cruzada estándar de cinco pliegues, se aplicó una validación cruzada espacial por grupos de departamento (GroupKFold), que constituye una prueba más exigente al impedir que la información de un departamento aparezca simultáneamente en entrenamiento y prueba.</w:t>
      </w:r>
    </w:p>
    <w:p>
      <w:r>
        <w:rPr>
          <w:rFonts w:ascii="Times New Roman" w:hAnsi="Times New Roman"/>
          <w:b/>
          <w:i/>
          <w:sz w:val="22"/>
        </w:rPr>
        <w:t>5.2 Diagnóstico de supuestos</w:t>
      </w:r>
    </w:p>
    <w:p>
      <w:pPr>
        <w:ind w:firstLine="425"/>
        <w:jc w:val="both"/>
      </w:pPr>
      <w:r>
        <w:t>Sobre el ajuste OLS se ejecutaron las siguientes pruebas:</w:t>
      </w:r>
    </w:p>
    <w:p>
      <w:pPr>
        <w:ind w:firstLine="425"/>
        <w:jc w:val="both"/>
      </w:pPr>
      <w:r>
        <w:t>Linealidad: prueba RESET de Ramsey con término cuadrático.</w:t>
      </w:r>
    </w:p>
    <w:p>
      <w:pPr>
        <w:ind w:firstLine="425"/>
        <w:jc w:val="both"/>
      </w:pPr>
      <w:r>
        <w:t>Independencia: estadístico de Durbin-Watson.</w:t>
      </w:r>
    </w:p>
    <w:p>
      <w:pPr>
        <w:ind w:firstLine="425"/>
        <w:jc w:val="both"/>
      </w:pPr>
      <w:r>
        <w:t>Homocedasticidad: prueba de Breusch-Pagan.</w:t>
      </w:r>
    </w:p>
    <w:p>
      <w:pPr>
        <w:ind w:firstLine="425"/>
        <w:jc w:val="both"/>
      </w:pPr>
      <w:r>
        <w:t>Normalidad de residuos: Jarque-Bera y Shapiro-Wilk (esta última sobre una submuestra de 5 000 observaciones cuando el tamaño total lo excede).</w:t>
      </w:r>
    </w:p>
    <w:p>
      <w:pPr>
        <w:ind w:firstLine="425"/>
        <w:jc w:val="both"/>
      </w:pPr>
      <w:r>
        <w:t>Multicolinealidad residual: VIF posterior a la depuración iterativa.</w:t>
      </w:r>
    </w:p>
    <w:p>
      <w:pPr>
        <w:ind w:firstLine="425"/>
        <w:jc w:val="both"/>
      </w:pPr>
      <w:r>
        <w:t>Autocorrelación espacial de residuos: índice I de Moran sobre los residuos agregados a nivel municipal con matriz KNN de k = 8.</w:t>
      </w:r>
    </w:p>
    <w:p>
      <w:r>
        <w:rPr>
          <w:rFonts w:ascii="Times New Roman" w:hAnsi="Times New Roman"/>
          <w:b/>
          <w:i/>
          <w:sz w:val="22"/>
        </w:rPr>
        <w:t>5.3 Técnica espacial comparativa</w:t>
      </w:r>
    </w:p>
    <w:p>
      <w:pPr>
        <w:ind w:firstLine="425"/>
        <w:jc w:val="both"/>
      </w:pPr>
      <w:r>
        <w:t>Como técnica espacial comparativa se aplicó kriging ordinario. El kriging se utilizó en dos modalidades implementadas en app/kriging_engine.py:</w:t>
      </w:r>
    </w:p>
    <w:p>
      <w:pPr>
        <w:ind w:firstLine="425"/>
        <w:jc w:val="both"/>
      </w:pPr>
      <w:r>
        <w:t>1. Kriging del rendimiento (krige_yield_full). Interpolación geoestadística del rendimiento sobre la totalidad de centroides municipales, con el objetivo de imputar el valor en aquellos municipios que no aparecen en la EVA para un año determinado. Esta interpolación constituye el complemento espacial del modelo lineal, ya que captura la estructura puramente geográfica sin recurrir a covariables.</w:t>
      </w:r>
    </w:p>
    <w:p>
      <w:pPr>
        <w:ind w:firstLine="425"/>
        <w:jc w:val="both"/>
      </w:pPr>
      <w:r>
        <w:t>2. Kriging de residuos (krige_residuals). Interpolación de los residuos del modelo lineal, utilizada como diagnóstico visual de la estructura espacial no capturada por las covariables.</w:t>
      </w:r>
    </w:p>
    <w:p>
      <w:r>
        <w:rPr>
          <w:rFonts w:ascii="Times New Roman" w:hAnsi="Times New Roman"/>
          <w:b/>
          <w:sz w:val="24"/>
        </w:rPr>
        <w:t>6. Resultados, mapas, métricas y comparación de modelos</w:t>
      </w:r>
    </w:p>
    <w:p>
      <w:r>
        <w:rPr>
          <w:rFonts w:ascii="Times New Roman" w:hAnsi="Times New Roman"/>
          <w:b/>
          <w:i/>
          <w:sz w:val="22"/>
        </w:rPr>
        <w:t>6.1 Bondad de ajuste del modelo lineal</w:t>
      </w:r>
    </w:p>
    <w:p>
      <w:pPr>
        <w:ind w:firstLine="425"/>
        <w:jc w:val="both"/>
      </w:pPr>
      <w:r>
        <w:t>El modelo lineal presenta un coeficiente de determinación moderado, con R² ajustado consistente con lo reportado por la literatura para fenómenos agrícolas a escala municipal en países tropicales. El estadístico F es altamente significativo. Los criterios AIC y BIC se reportan junto con el número de observaciones y de regresores efectivamente retenidos tras la reducción por VIF.</w:t>
      </w:r>
    </w:p>
    <w:p>
      <w:r>
        <w:rPr>
          <w:rFonts w:ascii="Times New Roman" w:hAnsi="Times New Roman"/>
          <w:b/>
          <w:i/>
          <w:sz w:val="22"/>
        </w:rPr>
        <w:t>6.2 Importancia relativa de los predictores</w:t>
      </w:r>
    </w:p>
    <w:p>
      <w:pPr>
        <w:ind w:firstLine="425"/>
        <w:jc w:val="both"/>
      </w:pPr>
      <w:r>
        <w:t>La estandarización previa permite leer los coeficientes como contribuciones marginales en unidades de desviación estándar. Las variables con mayor magnitud absoluta corresponden, en general, al área sembrada (en escala logarítmica), las variables climáticas (precipitación y temperatura) y las variables ficticias de región. Los predictores socioeconómicos de TerriData presentan coeficientes de menor magnitud pero estadísticamente distinguibles de cero en varios años.</w:t>
      </w:r>
    </w:p>
    <w:p>
      <w:r>
        <w:rPr>
          <w:rFonts w:ascii="Times New Roman" w:hAnsi="Times New Roman"/>
          <w:b/>
          <w:i/>
          <w:sz w:val="22"/>
        </w:rPr>
        <w:t>6.3 Diagnóstico de supuestos</w:t>
      </w:r>
    </w:p>
    <w:p>
      <w:pPr>
        <w:ind w:firstLine="425"/>
        <w:jc w:val="both"/>
      </w:pPr>
      <w:r>
        <w:t>Los resultados típicos del diagnóstico indican:</w:t>
      </w:r>
    </w:p>
    <w:p>
      <w:pPr>
        <w:ind w:firstLine="425"/>
        <w:jc w:val="both"/>
      </w:pPr>
      <w:r>
        <w:t>El estadístico de Durbin-Watson se sitúa en un rango que no permite descartar autocorrelación serial leve cuando se ordena por código DANE.</w:t>
      </w:r>
    </w:p>
    <w:p>
      <w:pPr>
        <w:ind w:firstLine="425"/>
        <w:jc w:val="both"/>
      </w:pPr>
      <w:r>
        <w:t>La prueba de Breusch-Pagan tiende a rechazar la hipótesis de homocedasticidad, lo que es esperable dada la heterogeneidad regional del rendimiento.</w:t>
      </w:r>
    </w:p>
    <w:p>
      <w:pPr>
        <w:ind w:firstLine="425"/>
        <w:jc w:val="both"/>
      </w:pPr>
      <w:r>
        <w:t>Las pruebas de normalidad (Jarque-Bera, Shapiro-Wilk) rechazan la normalidad estricta, lo que es habitual en muestras grandes y no invalida la inferencia frecuentista.</w:t>
      </w:r>
    </w:p>
    <w:p>
      <w:pPr>
        <w:ind w:firstLine="425"/>
        <w:jc w:val="both"/>
      </w:pPr>
      <w:r>
        <w:t>La prueba RESET señala posible no linealidad leve, consistente con el carácter aproximado del modelo.</w:t>
      </w:r>
    </w:p>
    <w:p>
      <w:pPr>
        <w:ind w:firstLine="425"/>
        <w:jc w:val="both"/>
      </w:pPr>
      <w:r>
        <w:t>El índice de Moran sobre los residuos del modelo es positivo y significativo, indicando que persiste autocorrelación espacial.</w:t>
      </w:r>
    </w:p>
    <w:p>
      <w:r>
        <w:rPr>
          <w:rFonts w:ascii="Times New Roman" w:hAnsi="Times New Roman"/>
          <w:b/>
          <w:i/>
          <w:sz w:val="22"/>
        </w:rPr>
        <w:t>6.4 Comparación con la técnica espacial</w:t>
      </w:r>
    </w:p>
    <w:p>
      <w:pPr>
        <w:ind w:firstLine="425"/>
        <w:jc w:val="both"/>
      </w:pPr>
      <w:r>
        <w:t>El kriging ordinario del rendimiento, evaluado mediante validación cruzada leave-one-out, ofrece una predicción competitiva en términos de RMSE para los municipios densamente representados y permite además entregar una estimación para los municipios sin observación EVA. El modelo lineal, en contraste, requiere covariables completas y entrega coeficientes interpretables. La complementariedad se hace explícita en la aplicación: el modelo lineal explica, el kriging completa.</w:t>
      </w:r>
    </w:p>
    <w:p>
      <w:r>
        <w:rPr>
          <w:rFonts w:ascii="Times New Roman" w:hAnsi="Times New Roman"/>
          <w:b/>
          <w:sz w:val="24"/>
        </w:rPr>
        <w:t>7. Discusión crítica</w:t>
      </w:r>
    </w:p>
    <w:p>
      <w:pPr>
        <w:ind w:firstLine="425"/>
        <w:jc w:val="both"/>
      </w:pPr>
      <w:r>
        <w:t>La pregunta transversal del trabajo es si el modelo de Machine Learning captura adecuadamente la estructura espacial o deja autocorrelación en los residuos. La evidencia indica que el modelo lineal, aun cuando incluye coordenadas geográficas y variables ficticias regionales como aproximaciones espaciales, no agota la dependencia espacial del fenómeno: el índice de Moran calculado sobre los residuos permanece positivo y significativo. Esto implica que existe información espacial estructurada que las covariables disponibles no representan, atribuible a factores no observados como variedades de semilla dominantes, prácticas agronómicas locales, calidad del suelo a escala fina o acceso a riego.</w:t>
      </w:r>
    </w:p>
    <w:p>
      <w:pPr>
        <w:ind w:firstLine="425"/>
        <w:jc w:val="both"/>
      </w:pPr>
      <w:r>
        <w:t>La consecuencia metodológica es doble. En primer lugar, los errores estándar del OLS pueden estar subestimados, lo que aconsejaría utilizar estimadores robustos a heterocedasticidad y a dependencia espacial en aplicaciones inferenciales estrictas. En segundo lugar, la persistencia de autocorrelación justifica la utilidad complementaria del kriging: no como sustituto del modelo lineal, sino como herramienta de imputación y de diagnóstico geográfico del residuo.</w:t>
      </w:r>
    </w:p>
    <w:p>
      <w:pPr>
        <w:ind w:firstLine="425"/>
        <w:jc w:val="both"/>
      </w:pPr>
      <w:r>
        <w:t>Desde una perspectiva sustantiva, los conglomerados LISA y la geografía de los residuos identifican municipios con potencial productivo subestimado por el modelo (residuos positivos sistemáticos), candidatos naturales para estudios de caso orientados a documentar prácticas exitosas.</w:t>
      </w:r>
    </w:p>
    <w:p>
      <w:r>
        <w:rPr>
          <w:rFonts w:ascii="Times New Roman" w:hAnsi="Times New Roman"/>
          <w:b/>
          <w:sz w:val="24"/>
        </w:rPr>
        <w:t>8. Conclusiones, limitaciones y trabajo futuro</w:t>
      </w:r>
    </w:p>
    <w:p>
      <w:pPr>
        <w:ind w:firstLine="425"/>
        <w:jc w:val="both"/>
      </w:pPr>
      <w:r>
        <w:t>El estudio confirma la existencia de dependencia espacial significativa en el rendimiento municipal del maíz en Colombia y muestra que un modelo lineal interpretable, debidamente diagnosticado, ofrece una explicación parcial pero útil del fenómeno. La autocorrelación residual constatada por el índice de Moran sobre los residuos del ajuste demuestra que las covariables disponibles no son suficientes para capturar íntegramente la estructura espacial.</w:t>
      </w:r>
    </w:p>
    <w:p>
      <w:pPr>
        <w:ind w:firstLine="425"/>
        <w:jc w:val="both"/>
      </w:pPr>
      <w:r>
        <w:t>Las limitaciones del trabajo son las siguientes: (i) la calidad de las series EVA varía entre municipios y años, con subregistro en zonas de presencia institucional débil; (ii) las variables climáticas anualizadas pierden la estacionalidad intra-anual relevante para un cultivo de ciclo corto; (iii) la matriz de pesos KNN con k = 8 es una elección heurística cuya sensibilidad no fue explorada exhaustivamente; (iv) el modelo lineal asume linealidad e independencia que, según las pruebas diagnósticas, se cumplen solo de manera aproximada.</w:t>
      </w:r>
    </w:p>
    <w:p>
      <w:pPr>
        <w:ind w:firstLine="425"/>
        <w:jc w:val="both"/>
      </w:pPr>
      <w:r>
        <w:t>Como trabajo futuro se proponen tres extensiones: la incorporación de modelos espaciales explícitos (SAR, SEM o GWR) para absorber la autocorrelación residual; la sustitución de las variables climáticas anualizadas por agregados estacionalmente alineados al calendario de siembra; y la incorporación de variables edafológicas a escala fina provenientes del IGAC.</w:t>
      </w:r>
    </w:p>
    <w:p>
      <w:r>
        <w:rPr>
          <w:rFonts w:ascii="Times New Roman" w:hAnsi="Times New Roman"/>
          <w:b/>
          <w:sz w:val="24"/>
        </w:rPr>
        <w:t>9. Referencias</w:t>
      </w:r>
    </w:p>
    <w:p>
      <w:pPr>
        <w:ind w:firstLine="425"/>
        <w:jc w:val="both"/>
      </w:pPr>
      <w:r>
        <w:t>AGRONET — Ministerio de Agricultura y Desarrollo Rural. Evaluaciones Agropecuarias Municipales (EVA).</w:t>
      </w:r>
    </w:p>
    <w:p>
      <w:pPr>
        <w:ind w:firstLine="425"/>
        <w:jc w:val="both"/>
      </w:pPr>
      <w:r>
        <w:t>DANE. Marco Geoestadístico Nacional, capa de municipios.</w:t>
      </w:r>
    </w:p>
    <w:p>
      <w:pPr>
        <w:ind w:firstLine="425"/>
        <w:jc w:val="both"/>
      </w:pPr>
      <w:r>
        <w:t>IDEAM. Series climáticas anualizadas municipales.</w:t>
      </w:r>
    </w:p>
    <w:p>
      <w:pPr>
        <w:ind w:firstLine="425"/>
        <w:jc w:val="both"/>
      </w:pPr>
      <w:r>
        <w:t>DNP. TerriData, plataforma de indicadores municipales.</w:t>
      </w:r>
    </w:p>
    <w:p>
      <w:pPr>
        <w:ind w:firstLine="425"/>
        <w:jc w:val="both"/>
      </w:pPr>
      <w:r>
        <w:t>Anselin, L. (1995). Local Indicators of Spatial Association — LISA. Geographical Analysis, 27(2), 93–115.</w:t>
      </w:r>
    </w:p>
    <w:p>
      <w:pPr>
        <w:ind w:firstLine="425"/>
        <w:jc w:val="both"/>
      </w:pPr>
      <w:r>
        <w:t>Moran, P. A. P. (1950). Notes on Continuous Stochastic Phenomena. Biometrika, 37(1/2), 17–23.</w:t>
      </w:r>
    </w:p>
    <w:p>
      <w:pPr>
        <w:ind w:firstLine="425"/>
        <w:jc w:val="both"/>
      </w:pPr>
      <w:r>
        <w:t>Cressie, N. (1993). Statistics for Spatial Data. Wiley.</w:t>
      </w:r>
    </w:p>
    <w:p>
      <w:pPr>
        <w:ind w:firstLine="425"/>
        <w:jc w:val="both"/>
      </w:pPr>
      <w:r>
        <w:t>Hoerl, A. E., &amp; Kennard, R. W. (1970). Ridge Regression: Biased Estimation for Nonorthogonal Problems. Technometrics, 12(1), 55–67.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