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D0FF" w14:textId="77777777" w:rsidR="0013674E" w:rsidRPr="0013674E" w:rsidRDefault="0013674E" w:rsidP="0013674E">
      <w:pPr>
        <w:rPr>
          <w:b/>
          <w:bCs/>
        </w:rPr>
      </w:pPr>
      <w:r w:rsidRPr="0013674E">
        <w:rPr>
          <w:b/>
          <w:bCs/>
        </w:rPr>
        <w:t>3 Discussion</w:t>
      </w:r>
    </w:p>
    <w:p w14:paraId="18DAAFFD" w14:textId="77777777" w:rsidR="0013674E" w:rsidRPr="0013674E" w:rsidRDefault="0013674E" w:rsidP="0013674E">
      <w:pPr>
        <w:rPr>
          <w:b/>
          <w:bCs/>
        </w:rPr>
      </w:pPr>
      <w:r w:rsidRPr="0013674E">
        <w:rPr>
          <w:b/>
          <w:bCs/>
        </w:rPr>
        <w:t>3.1 Ethical Issues Anticipated and Connected to Ethical Frameworks</w:t>
      </w:r>
    </w:p>
    <w:p w14:paraId="189E3F60" w14:textId="388C7124" w:rsidR="0013674E" w:rsidRPr="0013674E" w:rsidRDefault="0013674E" w:rsidP="0013674E">
      <w:r w:rsidRPr="0013674E">
        <w:t xml:space="preserve">An important ethical question is what our tool would count as sustainable research. Hasselbalch and van </w:t>
      </w:r>
      <w:proofErr w:type="spellStart"/>
      <w:r w:rsidRPr="0013674E">
        <w:t>Wynsberghe</w:t>
      </w:r>
      <w:proofErr w:type="spellEnd"/>
      <w:r w:rsidRPr="0013674E">
        <w:t xml:space="preserve"> (2025) examine sustainability through a sociotechnical perspective that includes environmental impacts and relationships of power. Applying this perspective, we should examine who defines the assessment criteria and whose interests they represent. If electricity consumption becomes the dominant criterion, an energy-intensive experiment could receive </w:t>
      </w:r>
      <w:proofErr w:type="gramStart"/>
      <w:r w:rsidRPr="0013674E">
        <w:t>an</w:t>
      </w:r>
      <w:proofErr w:type="gramEnd"/>
      <w:r w:rsidRPr="0013674E">
        <w:t xml:space="preserve"> </w:t>
      </w:r>
      <w:r>
        <w:rPr>
          <w:rFonts w:hint="eastAsia"/>
        </w:rPr>
        <w:t>disastrous</w:t>
      </w:r>
      <w:r w:rsidRPr="0013674E">
        <w:t xml:space="preserve"> assessment despite its scientific importance. We therefore propose presenting environmental indicators alongside researchers’ explanations of purpose and necessity. Comparisons should concern activities with comparable objectives and acceptable research quality. The choice of criteria would still require discussion with the client </w:t>
      </w:r>
      <w:r>
        <w:rPr>
          <w:rFonts w:hint="eastAsia"/>
        </w:rPr>
        <w:t>during</w:t>
      </w:r>
      <w:r w:rsidRPr="0013674E">
        <w:t xml:space="preserve"> </w:t>
      </w:r>
      <w:r>
        <w:rPr>
          <w:rFonts w:hint="eastAsia"/>
        </w:rPr>
        <w:t>following</w:t>
      </w:r>
      <w:r w:rsidRPr="0013674E">
        <w:t xml:space="preserve"> phases.</w:t>
      </w:r>
    </w:p>
    <w:p w14:paraId="09F1FDC6" w14:textId="77777777" w:rsidR="0013674E" w:rsidRPr="0013674E" w:rsidRDefault="0013674E" w:rsidP="0013674E">
      <w:r w:rsidRPr="0013674E">
        <w:t>A second concern is the apparent authority of numerical estimates. Lacoste et al. (2019) identify hardware, runtime and electricity supply as important factors in estimating emissions from machine learning training. Although their study does not validate our proposed assessment method, it illustrates why contextual information matters. For our tool, incomplete activity records could produce misleading results if estimates were displayed without qualification. Researchers might then change their practices based on differences that are smaller than the uncertainty in the calculation. We propose distinguishing measured values from estimates and identifying unavailable information. Each result should show its source and calculation boundary, with an opportunity for correction. This supports informed judgment, although providing an explanation cannot ensure that users will examine it.</w:t>
      </w:r>
    </w:p>
    <w:p w14:paraId="23A15BBD" w14:textId="7089F8E0" w:rsidR="0013674E" w:rsidRPr="0013674E" w:rsidRDefault="0013674E" w:rsidP="0013674E">
      <w:r w:rsidRPr="0013674E">
        <w:t xml:space="preserve">The assessment tool’s own resource consumption also requires justification. Lin (2023) highlights environmental costs across AI development and deployment and argues for transparency </w:t>
      </w:r>
      <w:r w:rsidR="00A376B1" w:rsidRPr="0013674E">
        <w:t>in</w:t>
      </w:r>
      <w:r w:rsidRPr="0013674E">
        <w:t xml:space="preserve"> energy use. For our project, an environmental benefit should remain a hypothesis until evaluated. Where a calculation can be performed through a fixed formula, we propose using that method and reserving AI for tasks whose additional value can be demonstrated, such as interpreting activity descriptions. The resulting workflow should be compared with a structured non-AI assessment. Any improvement in feedback must be considered alongside the additional computation and review effort.</w:t>
      </w:r>
    </w:p>
    <w:p w14:paraId="00492E17" w14:textId="77777777" w:rsidR="0013674E" w:rsidRPr="0013674E" w:rsidRDefault="0013674E" w:rsidP="0013674E">
      <w:pPr>
        <w:rPr>
          <w:b/>
          <w:bCs/>
        </w:rPr>
      </w:pPr>
      <w:r w:rsidRPr="0013674E">
        <w:rPr>
          <w:b/>
          <w:bCs/>
        </w:rPr>
        <w:t>3.2 Design Barriers and Challenges Anticipated</w:t>
      </w:r>
    </w:p>
    <w:p w14:paraId="1279E653" w14:textId="77777777" w:rsidR="0013674E" w:rsidRPr="0013674E" w:rsidRDefault="0013674E" w:rsidP="0013674E">
      <w:r w:rsidRPr="0013674E">
        <w:lastRenderedPageBreak/>
        <w:t>The first practical barrier is defining a manageable assessment boundary. A research activity may involve shared equipment or computing services whose consumption cannot be attributed directly to one task. Our proposed next step is to map one representative workflow with the client and identify the information available at each stage. Any initial calculation should state its exclusions. An estimate covering equipment operation, for example, should not be presented as a complete lifecycle assessment. Testing the workflow on a limited case would help establish whether the required information can realistically be collected.</w:t>
      </w:r>
    </w:p>
    <w:p w14:paraId="6985B9F2" w14:textId="4814D363" w:rsidR="0013674E" w:rsidRPr="0013674E" w:rsidRDefault="0013674E" w:rsidP="0013674E">
      <w:r w:rsidRPr="0013674E">
        <w:t xml:space="preserve">A further challenge is maintaining the evidence behind the recommendations. Equipment parameters and assessment criteria may change, while guidance developed for one setting may not apply elsewhere. We propose recording a source, version and review date for each reference dataset or guidance item. A designated maintainer would need authority to correct or withdraw outdated advice. This </w:t>
      </w:r>
      <w:r w:rsidR="00A376B1" w:rsidRPr="0013674E">
        <w:t>applies to</w:t>
      </w:r>
      <w:r w:rsidRPr="0013674E">
        <w:t xml:space="preserve"> the institutional level of responsibility discussed by Hasselbalch and van </w:t>
      </w:r>
      <w:proofErr w:type="spellStart"/>
      <w:r w:rsidRPr="0013674E">
        <w:t>Wynsberghe</w:t>
      </w:r>
      <w:proofErr w:type="spellEnd"/>
      <w:r w:rsidRPr="0013674E">
        <w:t xml:space="preserve"> (2025) to our proposed tool. Who could perform this work at TU/e, and with what resources, remains to be established.</w:t>
      </w:r>
    </w:p>
    <w:p w14:paraId="4A3B5F2C" w14:textId="75F02785" w:rsidR="0013674E" w:rsidRPr="0013674E" w:rsidRDefault="0013674E" w:rsidP="0013674E">
      <w:r w:rsidRPr="0013674E">
        <w:t xml:space="preserve">Maintenance and repair recommendations require </w:t>
      </w:r>
      <w:r w:rsidR="00A376B1" w:rsidRPr="0013674E">
        <w:t>caution</w:t>
      </w:r>
      <w:r w:rsidRPr="0013674E">
        <w:t>. If this feature is included, a suggestion to replace equipment should consider the consequences of replacement as well as potential operating savings. Where the necessary evidence is unavailable, the tool should identify questions for further assessment rather than recommend a preferred option. Detailed repair guidance would also require appropriate technical expertise.</w:t>
      </w:r>
    </w:p>
    <w:p w14:paraId="62BEFA5E" w14:textId="6C965CAC" w:rsidR="0013674E" w:rsidRPr="0013674E" w:rsidRDefault="0013674E" w:rsidP="0013674E">
      <w:r w:rsidRPr="0013674E">
        <w:t xml:space="preserve">Finally, the usefulness of the output needs evaluation. We propose asking intended users to compare AI-assisted feedback with a structured checklist on the same example cases. </w:t>
      </w:r>
      <w:r w:rsidR="00A376B1" w:rsidRPr="0013674E">
        <w:t>Evaluations</w:t>
      </w:r>
      <w:r w:rsidRPr="0013674E">
        <w:t xml:space="preserve"> should examine whether recommendations follow from the supplied evidence, whether significant issues are </w:t>
      </w:r>
      <w:proofErr w:type="gramStart"/>
      <w:r w:rsidRPr="0013674E">
        <w:t>missed</w:t>
      </w:r>
      <w:proofErr w:type="gramEnd"/>
      <w:r w:rsidRPr="0013674E">
        <w:t>, and how much correction is required. This would help determine whether the proposed assistance warrants further development. Reliable operation and environmental improvement have not yet been demonstrated.</w:t>
      </w:r>
    </w:p>
    <w:p w14:paraId="5397CAC1" w14:textId="77777777" w:rsidR="0013674E" w:rsidRPr="0013674E" w:rsidRDefault="0013674E" w:rsidP="0013674E">
      <w:pPr>
        <w:rPr>
          <w:b/>
          <w:bCs/>
        </w:rPr>
      </w:pPr>
      <w:r w:rsidRPr="0013674E">
        <w:rPr>
          <w:b/>
          <w:bCs/>
        </w:rPr>
        <w:t>4 References</w:t>
      </w:r>
    </w:p>
    <w:p w14:paraId="014A2974" w14:textId="77777777" w:rsidR="0013674E" w:rsidRPr="0013674E" w:rsidRDefault="0013674E" w:rsidP="0013674E">
      <w:r w:rsidRPr="0013674E">
        <w:t xml:space="preserve">Hasselbalch, G., &amp; van </w:t>
      </w:r>
      <w:proofErr w:type="spellStart"/>
      <w:r w:rsidRPr="0013674E">
        <w:t>Wynsberghe</w:t>
      </w:r>
      <w:proofErr w:type="spellEnd"/>
      <w:r w:rsidRPr="0013674E">
        <w:t xml:space="preserve">, A. (2025). Artificial intelligence, power and sustainability. In N. A. </w:t>
      </w:r>
      <w:proofErr w:type="spellStart"/>
      <w:r w:rsidRPr="0013674E">
        <w:t>Smuha</w:t>
      </w:r>
      <w:proofErr w:type="spellEnd"/>
      <w:r w:rsidRPr="0013674E">
        <w:t xml:space="preserve"> (Ed.), </w:t>
      </w:r>
      <w:r w:rsidRPr="0013674E">
        <w:rPr>
          <w:i/>
          <w:iCs/>
        </w:rPr>
        <w:t>The Cambridge handbook of the law, ethics and policy of artificial intelligence</w:t>
      </w:r>
      <w:r w:rsidRPr="0013674E">
        <w:t xml:space="preserve"> (pp. 117–130). Cambridge University Press. </w:t>
      </w:r>
      <w:hyperlink r:id="rId6" w:history="1">
        <w:r w:rsidRPr="0013674E">
          <w:rPr>
            <w:rStyle w:val="Hyperlink"/>
          </w:rPr>
          <w:t>https://doi.org/10.1017/9781009367783.008</w:t>
        </w:r>
      </w:hyperlink>
    </w:p>
    <w:p w14:paraId="15250ABB" w14:textId="77777777" w:rsidR="0013674E" w:rsidRPr="0013674E" w:rsidRDefault="0013674E" w:rsidP="0013674E">
      <w:r w:rsidRPr="0013674E">
        <w:lastRenderedPageBreak/>
        <w:t xml:space="preserve">Lacoste, A., Luccioni, A., Schmidt, V., &amp; </w:t>
      </w:r>
      <w:proofErr w:type="spellStart"/>
      <w:r w:rsidRPr="0013674E">
        <w:t>Dandres</w:t>
      </w:r>
      <w:proofErr w:type="spellEnd"/>
      <w:r w:rsidRPr="0013674E">
        <w:t xml:space="preserve">, T. (2019). </w:t>
      </w:r>
      <w:r w:rsidRPr="0013674E">
        <w:rPr>
          <w:i/>
          <w:iCs/>
        </w:rPr>
        <w:t>Quantifying the carbon emissions of machine learning</w:t>
      </w:r>
      <w:r w:rsidRPr="0013674E">
        <w:t xml:space="preserve"> [Preprint]. </w:t>
      </w:r>
      <w:proofErr w:type="spellStart"/>
      <w:r w:rsidRPr="0013674E">
        <w:t>arXiv</w:t>
      </w:r>
      <w:proofErr w:type="spellEnd"/>
      <w:r w:rsidRPr="0013674E">
        <w:t xml:space="preserve">. </w:t>
      </w:r>
      <w:hyperlink r:id="rId7" w:history="1">
        <w:r w:rsidRPr="0013674E">
          <w:rPr>
            <w:rStyle w:val="Hyperlink"/>
          </w:rPr>
          <w:t>https://doi.org/10.48550/arXiv.1910.09700</w:t>
        </w:r>
      </w:hyperlink>
    </w:p>
    <w:p w14:paraId="3559C366" w14:textId="53C28F97" w:rsidR="00F66F1C" w:rsidRDefault="0013674E" w:rsidP="006A3094">
      <w:r w:rsidRPr="0013674E">
        <w:t xml:space="preserve">Lin, P. K. (2023). The cost of training a machine: Lighting the way for a climate-aware policy framework that addresses artificial intelligence’s carbon footprint problem. </w:t>
      </w:r>
      <w:r w:rsidRPr="0013674E">
        <w:rPr>
          <w:i/>
          <w:iCs/>
        </w:rPr>
        <w:t>Fordham Environmental Law Review, 34</w:t>
      </w:r>
      <w:r w:rsidRPr="0013674E">
        <w:t xml:space="preserve">(2). </w:t>
      </w:r>
      <w:hyperlink r:id="rId8" w:history="1">
        <w:r w:rsidRPr="0013674E">
          <w:rPr>
            <w:rStyle w:val="Hyperlink"/>
          </w:rPr>
          <w:t>https://ir.lawnet.fordham.edu/elr/vol34/iss2/1/</w:t>
        </w:r>
      </w:hyperlink>
    </w:p>
    <w:sectPr w:rsidR="00F66F1C">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27F27" w14:textId="77777777" w:rsidR="00E1284B" w:rsidRDefault="00E1284B" w:rsidP="006A3094">
      <w:pPr>
        <w:spacing w:after="0" w:line="240" w:lineRule="auto"/>
      </w:pPr>
      <w:r>
        <w:separator/>
      </w:r>
    </w:p>
  </w:endnote>
  <w:endnote w:type="continuationSeparator" w:id="0">
    <w:p w14:paraId="0D9436CF" w14:textId="77777777" w:rsidR="00E1284B" w:rsidRDefault="00E1284B" w:rsidP="006A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A00D7" w14:textId="77777777" w:rsidR="00E1284B" w:rsidRDefault="00E1284B" w:rsidP="006A3094">
      <w:pPr>
        <w:spacing w:after="0" w:line="240" w:lineRule="auto"/>
      </w:pPr>
      <w:r>
        <w:separator/>
      </w:r>
    </w:p>
  </w:footnote>
  <w:footnote w:type="continuationSeparator" w:id="0">
    <w:p w14:paraId="08CA998E" w14:textId="77777777" w:rsidR="00E1284B" w:rsidRDefault="00E1284B" w:rsidP="006A30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06"/>
    <w:rsid w:val="00006762"/>
    <w:rsid w:val="0013674E"/>
    <w:rsid w:val="002D1BF1"/>
    <w:rsid w:val="003C3419"/>
    <w:rsid w:val="004B6863"/>
    <w:rsid w:val="006A3094"/>
    <w:rsid w:val="0087756C"/>
    <w:rsid w:val="009B5DA4"/>
    <w:rsid w:val="00A376B1"/>
    <w:rsid w:val="00A94806"/>
    <w:rsid w:val="00C256E7"/>
    <w:rsid w:val="00D04F81"/>
    <w:rsid w:val="00D32BB0"/>
    <w:rsid w:val="00D82F1D"/>
    <w:rsid w:val="00E1284B"/>
    <w:rsid w:val="00F66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7EB5C"/>
  <w15:chartTrackingRefBased/>
  <w15:docId w15:val="{6E1B9866-E113-4F6F-AED5-9D3622DA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806"/>
    <w:rPr>
      <w:rFonts w:eastAsiaTheme="majorEastAsia" w:cstheme="majorBidi"/>
      <w:color w:val="272727" w:themeColor="text1" w:themeTint="D8"/>
    </w:rPr>
  </w:style>
  <w:style w:type="paragraph" w:styleId="Title">
    <w:name w:val="Title"/>
    <w:basedOn w:val="Normal"/>
    <w:next w:val="Normal"/>
    <w:link w:val="TitleChar"/>
    <w:uiPriority w:val="10"/>
    <w:qFormat/>
    <w:rsid w:val="00A94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806"/>
    <w:pPr>
      <w:spacing w:before="160"/>
      <w:jc w:val="center"/>
    </w:pPr>
    <w:rPr>
      <w:i/>
      <w:iCs/>
      <w:color w:val="404040" w:themeColor="text1" w:themeTint="BF"/>
    </w:rPr>
  </w:style>
  <w:style w:type="character" w:customStyle="1" w:styleId="QuoteChar">
    <w:name w:val="Quote Char"/>
    <w:basedOn w:val="DefaultParagraphFont"/>
    <w:link w:val="Quote"/>
    <w:uiPriority w:val="29"/>
    <w:rsid w:val="00A94806"/>
    <w:rPr>
      <w:i/>
      <w:iCs/>
      <w:color w:val="404040" w:themeColor="text1" w:themeTint="BF"/>
    </w:rPr>
  </w:style>
  <w:style w:type="paragraph" w:styleId="ListParagraph">
    <w:name w:val="List Paragraph"/>
    <w:basedOn w:val="Normal"/>
    <w:uiPriority w:val="34"/>
    <w:qFormat/>
    <w:rsid w:val="00A94806"/>
    <w:pPr>
      <w:ind w:left="720"/>
      <w:contextualSpacing/>
    </w:pPr>
  </w:style>
  <w:style w:type="character" w:styleId="IntenseEmphasis">
    <w:name w:val="Intense Emphasis"/>
    <w:basedOn w:val="DefaultParagraphFont"/>
    <w:uiPriority w:val="21"/>
    <w:qFormat/>
    <w:rsid w:val="00A94806"/>
    <w:rPr>
      <w:i/>
      <w:iCs/>
      <w:color w:val="0F4761" w:themeColor="accent1" w:themeShade="BF"/>
    </w:rPr>
  </w:style>
  <w:style w:type="paragraph" w:styleId="IntenseQuote">
    <w:name w:val="Intense Quote"/>
    <w:basedOn w:val="Normal"/>
    <w:next w:val="Normal"/>
    <w:link w:val="IntenseQuoteChar"/>
    <w:uiPriority w:val="30"/>
    <w:qFormat/>
    <w:rsid w:val="00A94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806"/>
    <w:rPr>
      <w:i/>
      <w:iCs/>
      <w:color w:val="0F4761" w:themeColor="accent1" w:themeShade="BF"/>
    </w:rPr>
  </w:style>
  <w:style w:type="character" w:styleId="IntenseReference">
    <w:name w:val="Intense Reference"/>
    <w:basedOn w:val="DefaultParagraphFont"/>
    <w:uiPriority w:val="32"/>
    <w:qFormat/>
    <w:rsid w:val="00A94806"/>
    <w:rPr>
      <w:b/>
      <w:bCs/>
      <w:smallCaps/>
      <w:color w:val="0F4761" w:themeColor="accent1" w:themeShade="BF"/>
      <w:spacing w:val="5"/>
    </w:rPr>
  </w:style>
  <w:style w:type="paragraph" w:styleId="Header">
    <w:name w:val="header"/>
    <w:basedOn w:val="Normal"/>
    <w:link w:val="HeaderChar"/>
    <w:uiPriority w:val="99"/>
    <w:unhideWhenUsed/>
    <w:rsid w:val="006A3094"/>
    <w:pPr>
      <w:tabs>
        <w:tab w:val="center" w:pos="4320"/>
        <w:tab w:val="right" w:pos="8640"/>
      </w:tabs>
      <w:spacing w:after="0" w:line="240" w:lineRule="auto"/>
    </w:pPr>
  </w:style>
  <w:style w:type="character" w:customStyle="1" w:styleId="HeaderChar">
    <w:name w:val="Header Char"/>
    <w:basedOn w:val="DefaultParagraphFont"/>
    <w:link w:val="Header"/>
    <w:uiPriority w:val="99"/>
    <w:rsid w:val="006A3094"/>
  </w:style>
  <w:style w:type="paragraph" w:styleId="Footer">
    <w:name w:val="footer"/>
    <w:basedOn w:val="Normal"/>
    <w:link w:val="FooterChar"/>
    <w:uiPriority w:val="99"/>
    <w:unhideWhenUsed/>
    <w:rsid w:val="006A3094"/>
    <w:pPr>
      <w:tabs>
        <w:tab w:val="center" w:pos="4320"/>
        <w:tab w:val="right" w:pos="8640"/>
      </w:tabs>
      <w:spacing w:after="0" w:line="240" w:lineRule="auto"/>
    </w:pPr>
  </w:style>
  <w:style w:type="character" w:customStyle="1" w:styleId="FooterChar">
    <w:name w:val="Footer Char"/>
    <w:basedOn w:val="DefaultParagraphFont"/>
    <w:link w:val="Footer"/>
    <w:uiPriority w:val="99"/>
    <w:rsid w:val="006A3094"/>
  </w:style>
  <w:style w:type="character" w:styleId="Hyperlink">
    <w:name w:val="Hyperlink"/>
    <w:basedOn w:val="DefaultParagraphFont"/>
    <w:uiPriority w:val="99"/>
    <w:unhideWhenUsed/>
    <w:rsid w:val="0013674E"/>
    <w:rPr>
      <w:color w:val="467886" w:themeColor="hyperlink"/>
      <w:u w:val="single"/>
    </w:rPr>
  </w:style>
  <w:style w:type="character" w:styleId="UnresolvedMention">
    <w:name w:val="Unresolved Mention"/>
    <w:basedOn w:val="DefaultParagraphFont"/>
    <w:uiPriority w:val="99"/>
    <w:semiHidden/>
    <w:unhideWhenUsed/>
    <w:rsid w:val="00136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lawnet.fordham.edu/elr/vol34/iss2/1/" TargetMode="External"/><Relationship Id="rId3" Type="http://schemas.openxmlformats.org/officeDocument/2006/relationships/webSettings" Target="webSettings.xml"/><Relationship Id="rId7" Type="http://schemas.openxmlformats.org/officeDocument/2006/relationships/hyperlink" Target="https://doi.org/10.48550/arXiv.1910.097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7/9781009367783.008"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499</Words>
  <Characters>5113</Characters>
  <Application>Microsoft Office Word</Application>
  <DocSecurity>0</DocSecurity>
  <Lines>639</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Yehao</dc:creator>
  <cp:keywords/>
  <dc:description/>
  <cp:lastModifiedBy>Chen, Yehao</cp:lastModifiedBy>
  <cp:revision>5</cp:revision>
  <dcterms:created xsi:type="dcterms:W3CDTF">2026-09-17T07:54:00Z</dcterms:created>
  <dcterms:modified xsi:type="dcterms:W3CDTF">2026-09-18T10:28:00Z</dcterms:modified>
</cp:coreProperties>
</file>