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320" w:rsidRDefault="00497B53" w:rsidP="00497B53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济南</w:t>
      </w:r>
      <w:r w:rsidR="00056DC1" w:rsidRPr="00AE58A3">
        <w:rPr>
          <w:rFonts w:eastAsia="黑体" w:hint="eastAsia"/>
          <w:b/>
          <w:bCs/>
          <w:sz w:val="36"/>
        </w:rPr>
        <w:t>大学</w:t>
      </w:r>
      <w:r>
        <w:rPr>
          <w:rFonts w:eastAsia="黑体" w:hint="eastAsia"/>
          <w:b/>
          <w:bCs/>
          <w:sz w:val="36"/>
        </w:rPr>
        <w:t>信息科学</w:t>
      </w:r>
      <w:r>
        <w:rPr>
          <w:rFonts w:eastAsia="黑体"/>
          <w:b/>
          <w:bCs/>
          <w:sz w:val="36"/>
        </w:rPr>
        <w:t>与</w:t>
      </w:r>
      <w:r>
        <w:rPr>
          <w:rFonts w:eastAsia="黑体" w:hint="eastAsia"/>
          <w:b/>
          <w:bCs/>
          <w:sz w:val="36"/>
        </w:rPr>
        <w:t>工程</w:t>
      </w:r>
      <w:r w:rsidR="00AE7379">
        <w:rPr>
          <w:rFonts w:eastAsia="黑体" w:hint="eastAsia"/>
          <w:b/>
          <w:bCs/>
          <w:sz w:val="36"/>
        </w:rPr>
        <w:t>学院</w:t>
      </w:r>
    </w:p>
    <w:p w:rsidR="00056DC1" w:rsidRDefault="00056DC1" w:rsidP="00497B53">
      <w:pPr>
        <w:jc w:val="center"/>
        <w:rPr>
          <w:rFonts w:eastAsia="黑体"/>
          <w:b/>
          <w:bCs/>
          <w:sz w:val="36"/>
        </w:rPr>
      </w:pPr>
      <w:r w:rsidRPr="00AE58A3">
        <w:rPr>
          <w:rFonts w:eastAsia="黑体" w:hint="eastAsia"/>
          <w:b/>
          <w:bCs/>
          <w:sz w:val="36"/>
        </w:rPr>
        <w:t>本科毕业</w:t>
      </w:r>
      <w:r w:rsidR="00497B53">
        <w:rPr>
          <w:rFonts w:eastAsia="黑体" w:hint="eastAsia"/>
          <w:b/>
          <w:bCs/>
          <w:sz w:val="36"/>
        </w:rPr>
        <w:t>论文</w:t>
      </w:r>
      <w:r w:rsidRPr="00AE58A3">
        <w:rPr>
          <w:rFonts w:eastAsia="黑体" w:hint="eastAsia"/>
          <w:b/>
          <w:bCs/>
          <w:sz w:val="36"/>
        </w:rPr>
        <w:t>（</w:t>
      </w:r>
      <w:r w:rsidR="00497B53">
        <w:rPr>
          <w:rFonts w:eastAsia="黑体" w:hint="eastAsia"/>
          <w:b/>
          <w:bCs/>
          <w:sz w:val="36"/>
        </w:rPr>
        <w:t>设计</w:t>
      </w:r>
      <w:r w:rsidRPr="00AE58A3">
        <w:rPr>
          <w:rFonts w:eastAsia="黑体" w:hint="eastAsia"/>
          <w:b/>
          <w:bCs/>
          <w:sz w:val="36"/>
        </w:rPr>
        <w:t>）</w:t>
      </w:r>
      <w:r w:rsidR="007C377E">
        <w:rPr>
          <w:rFonts w:eastAsia="黑体" w:hint="eastAsia"/>
          <w:b/>
          <w:bCs/>
          <w:sz w:val="36"/>
        </w:rPr>
        <w:t>中期</w:t>
      </w:r>
      <w:r w:rsidR="0009791D">
        <w:rPr>
          <w:rFonts w:eastAsia="黑体" w:hint="eastAsia"/>
          <w:b/>
          <w:bCs/>
          <w:sz w:val="36"/>
        </w:rPr>
        <w:t>评分</w:t>
      </w:r>
      <w:r w:rsidRPr="00AE58A3">
        <w:rPr>
          <w:rFonts w:eastAsia="黑体" w:hint="eastAsia"/>
          <w:b/>
          <w:bCs/>
          <w:sz w:val="36"/>
        </w:rPr>
        <w:t>表</w:t>
      </w:r>
    </w:p>
    <w:p w:rsidR="00194320" w:rsidRDefault="00194320" w:rsidP="009A382F">
      <w:pPr>
        <w:rPr>
          <w:rFonts w:ascii="黑体" w:eastAsia="黑体" w:hAnsi="黑体"/>
          <w:b/>
          <w:bCs/>
          <w:sz w:val="24"/>
        </w:rPr>
      </w:pPr>
    </w:p>
    <w:tbl>
      <w:tblPr>
        <w:tblStyle w:val="a6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843"/>
        <w:gridCol w:w="1276"/>
        <w:gridCol w:w="1984"/>
        <w:gridCol w:w="1276"/>
        <w:gridCol w:w="2018"/>
      </w:tblGrid>
      <w:tr w:rsidR="00194320" w:rsidRPr="00194320" w:rsidTr="00AA6CD9">
        <w:trPr>
          <w:jc w:val="center"/>
        </w:trPr>
        <w:tc>
          <w:tcPr>
            <w:tcW w:w="1242" w:type="dxa"/>
            <w:vAlign w:val="bottom"/>
          </w:tcPr>
          <w:p w:rsidR="00194320" w:rsidRPr="00B70B2D" w:rsidRDefault="00194320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班</w:t>
            </w:r>
            <w:r w:rsid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</w:t>
            </w: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194320" w:rsidRPr="00B70B2D" w:rsidRDefault="00B70B2D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学    号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rFonts w:eastAsia="黑体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194320" w:rsidRPr="00B70B2D" w:rsidRDefault="00194320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姓</w:t>
            </w:r>
            <w:r w:rsid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</w:t>
            </w: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rFonts w:eastAsiaTheme="minorEastAsia"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94320" w:rsidTr="00AA6CD9">
        <w:trPr>
          <w:trHeight w:val="681"/>
          <w:jc w:val="center"/>
        </w:trPr>
        <w:tc>
          <w:tcPr>
            <w:tcW w:w="1242" w:type="dxa"/>
            <w:vAlign w:val="bottom"/>
          </w:tcPr>
          <w:p w:rsidR="00194320" w:rsidRPr="00B70B2D" w:rsidRDefault="00194320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B70B2D">
              <w:rPr>
                <w:rFonts w:ascii="黑体" w:eastAsia="黑体" w:hAnsi="黑体"/>
                <w:b/>
                <w:bCs/>
                <w:sz w:val="24"/>
                <w:szCs w:val="24"/>
              </w:rPr>
              <w:t>题</w:t>
            </w:r>
            <w:r w:rsid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</w:t>
            </w:r>
            <w:r w:rsidR="00B70B2D">
              <w:rPr>
                <w:rFonts w:ascii="黑体" w:eastAsia="黑体" w:hAnsi="黑体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8397" w:type="dxa"/>
            <w:gridSpan w:val="5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rFonts w:eastAsiaTheme="minorEastAsia"/>
                <w:bCs/>
                <w:sz w:val="24"/>
                <w:szCs w:val="24"/>
              </w:rPr>
            </w:pPr>
          </w:p>
        </w:tc>
      </w:tr>
    </w:tbl>
    <w:p w:rsidR="00056DC1" w:rsidRPr="00C34864" w:rsidRDefault="00056DC1" w:rsidP="00C34864">
      <w:pPr>
        <w:spacing w:before="240" w:line="400" w:lineRule="exact"/>
        <w:rPr>
          <w:rFonts w:ascii="仿宋" w:eastAsia="仿宋" w:hAnsi="仿宋"/>
          <w:b/>
          <w:bCs/>
          <w:sz w:val="24"/>
          <w:szCs w:val="28"/>
        </w:rPr>
      </w:pPr>
    </w:p>
    <w:tbl>
      <w:tblPr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A0" w:firstRow="1" w:lastRow="0" w:firstColumn="1" w:lastColumn="0" w:noHBand="0" w:noVBand="0"/>
      </w:tblPr>
      <w:tblGrid>
        <w:gridCol w:w="458"/>
        <w:gridCol w:w="3365"/>
        <w:gridCol w:w="850"/>
        <w:gridCol w:w="2696"/>
        <w:gridCol w:w="1131"/>
        <w:gridCol w:w="992"/>
      </w:tblGrid>
      <w:tr w:rsidR="00194320" w:rsidRPr="00AA6CD9" w:rsidTr="00AA6CD9">
        <w:trPr>
          <w:trHeight w:val="171"/>
        </w:trPr>
        <w:tc>
          <w:tcPr>
            <w:tcW w:w="458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 w:hint="eastAsia"/>
                <w:b/>
                <w:szCs w:val="21"/>
              </w:rPr>
              <w:t>序号</w:t>
            </w:r>
          </w:p>
        </w:tc>
        <w:tc>
          <w:tcPr>
            <w:tcW w:w="3365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/>
                <w:b/>
                <w:szCs w:val="21"/>
              </w:rPr>
              <w:t>评价项目</w:t>
            </w:r>
          </w:p>
        </w:tc>
        <w:tc>
          <w:tcPr>
            <w:tcW w:w="850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/>
                <w:b/>
                <w:szCs w:val="21"/>
              </w:rPr>
              <w:t>评价指标点</w:t>
            </w:r>
          </w:p>
        </w:tc>
        <w:tc>
          <w:tcPr>
            <w:tcW w:w="3827" w:type="dxa"/>
            <w:gridSpan w:val="2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 w:hint="eastAsia"/>
                <w:b/>
                <w:szCs w:val="21"/>
              </w:rPr>
              <w:t>评判标准</w:t>
            </w:r>
          </w:p>
        </w:tc>
        <w:tc>
          <w:tcPr>
            <w:tcW w:w="992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 w:hint="eastAsia"/>
                <w:b/>
                <w:szCs w:val="21"/>
              </w:rPr>
              <w:t>得分</w:t>
            </w:r>
          </w:p>
        </w:tc>
      </w:tr>
      <w:tr w:rsidR="00194320" w:rsidRPr="00AA6CD9" w:rsidTr="00AF206C">
        <w:trPr>
          <w:trHeight w:val="2048"/>
        </w:trPr>
        <w:tc>
          <w:tcPr>
            <w:tcW w:w="458" w:type="dxa"/>
            <w:vAlign w:val="center"/>
          </w:tcPr>
          <w:p w:rsidR="00194320" w:rsidRPr="00AA6CD9" w:rsidRDefault="00194320" w:rsidP="00AF206C">
            <w:pPr>
              <w:spacing w:beforeLines="20" w:before="62" w:afterLines="20" w:after="62" w:line="32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rFonts w:eastAsia="仿宋"/>
                <w:szCs w:val="21"/>
              </w:rPr>
              <w:t>1</w:t>
            </w:r>
          </w:p>
        </w:tc>
        <w:tc>
          <w:tcPr>
            <w:tcW w:w="3365" w:type="dxa"/>
            <w:vAlign w:val="center"/>
          </w:tcPr>
          <w:p w:rsidR="00194320" w:rsidRPr="00AA6CD9" w:rsidRDefault="00194320" w:rsidP="00AF206C">
            <w:pPr>
              <w:spacing w:line="320" w:lineRule="exact"/>
              <w:rPr>
                <w:szCs w:val="21"/>
              </w:rPr>
            </w:pPr>
            <w:r w:rsidRPr="00AA6CD9">
              <w:rPr>
                <w:rFonts w:ascii="宋体" w:hAnsi="宋体" w:hint="eastAsia"/>
                <w:b/>
                <w:color w:val="000000"/>
                <w:szCs w:val="21"/>
              </w:rPr>
              <w:t>研究：</w:t>
            </w:r>
            <w:r w:rsidRPr="00AA6CD9">
              <w:rPr>
                <w:rFonts w:ascii="宋体" w:hAnsi="宋体" w:hint="eastAsia"/>
                <w:color w:val="000000"/>
                <w:szCs w:val="21"/>
              </w:rPr>
              <w:t>能够基于科学原理并采用科学方法对复杂工程问题进行研究，包括设计实验、分析与解释数据、并通过信息综合得到合理有效的结论。</w:t>
            </w:r>
          </w:p>
        </w:tc>
        <w:tc>
          <w:tcPr>
            <w:tcW w:w="850" w:type="dxa"/>
            <w:vAlign w:val="center"/>
          </w:tcPr>
          <w:p w:rsidR="00194320" w:rsidRPr="00AA6CD9" w:rsidRDefault="00194320" w:rsidP="00AF206C">
            <w:pPr>
              <w:spacing w:line="32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szCs w:val="21"/>
              </w:rPr>
              <w:t xml:space="preserve">4-4 </w:t>
            </w:r>
          </w:p>
        </w:tc>
        <w:tc>
          <w:tcPr>
            <w:tcW w:w="2696" w:type="dxa"/>
            <w:vAlign w:val="center"/>
          </w:tcPr>
          <w:p w:rsidR="00194320" w:rsidRPr="00AA6CD9" w:rsidRDefault="00F7528E" w:rsidP="00AF206C">
            <w:pPr>
              <w:spacing w:line="32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能够</w:t>
            </w:r>
            <w:r w:rsidRPr="00AA6CD9">
              <w:rPr>
                <w:szCs w:val="21"/>
              </w:rPr>
              <w:t>采集、整理和分析实验数据，通过信息综合得到合理有效的结论</w:t>
            </w:r>
            <w:r w:rsidR="00EC5D19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194320" w:rsidRPr="00AA6CD9" w:rsidRDefault="00194320" w:rsidP="00AF206C">
            <w:pPr>
              <w:spacing w:line="320" w:lineRule="exact"/>
              <w:jc w:val="left"/>
              <w:rPr>
                <w:rFonts w:eastAsia="仿宋"/>
                <w:szCs w:val="21"/>
              </w:rPr>
            </w:pPr>
            <w:r w:rsidRPr="00AA6CD9">
              <w:rPr>
                <w:rFonts w:eastAsia="仿宋" w:hint="eastAsia"/>
                <w:szCs w:val="21"/>
              </w:rPr>
              <w:t>满分</w:t>
            </w:r>
            <w:r w:rsidRPr="00AA6CD9">
              <w:rPr>
                <w:rFonts w:eastAsia="仿宋"/>
                <w:szCs w:val="21"/>
              </w:rPr>
              <w:t>30</w:t>
            </w:r>
          </w:p>
        </w:tc>
        <w:tc>
          <w:tcPr>
            <w:tcW w:w="992" w:type="dxa"/>
            <w:vAlign w:val="center"/>
          </w:tcPr>
          <w:p w:rsidR="00194320" w:rsidRPr="00AA6CD9" w:rsidRDefault="00194320" w:rsidP="00AF206C">
            <w:pPr>
              <w:spacing w:line="32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194320" w:rsidRPr="00AA6CD9" w:rsidTr="00AF206C">
        <w:trPr>
          <w:trHeight w:val="2048"/>
        </w:trPr>
        <w:tc>
          <w:tcPr>
            <w:tcW w:w="458" w:type="dxa"/>
            <w:vAlign w:val="center"/>
          </w:tcPr>
          <w:p w:rsidR="00194320" w:rsidRPr="00AA6CD9" w:rsidRDefault="00194320" w:rsidP="00AF206C">
            <w:pPr>
              <w:spacing w:beforeLines="20" w:before="62" w:afterLines="20" w:after="62" w:line="32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rFonts w:eastAsia="仿宋"/>
                <w:szCs w:val="21"/>
              </w:rPr>
              <w:t>2</w:t>
            </w:r>
          </w:p>
        </w:tc>
        <w:tc>
          <w:tcPr>
            <w:tcW w:w="3365" w:type="dxa"/>
            <w:vAlign w:val="center"/>
          </w:tcPr>
          <w:p w:rsidR="00194320" w:rsidRPr="00AA6CD9" w:rsidRDefault="00194320" w:rsidP="00AF206C">
            <w:pPr>
              <w:spacing w:line="320" w:lineRule="exact"/>
              <w:rPr>
                <w:szCs w:val="21"/>
              </w:rPr>
            </w:pPr>
            <w:r w:rsidRPr="00AA6CD9">
              <w:rPr>
                <w:rFonts w:ascii="宋体" w:hAnsi="宋体" w:hint="eastAsia"/>
                <w:b/>
                <w:color w:val="000000"/>
                <w:szCs w:val="21"/>
              </w:rPr>
              <w:t>使用现代工具：</w:t>
            </w:r>
            <w:r w:rsidRPr="00AA6CD9">
              <w:rPr>
                <w:rFonts w:ascii="宋体" w:hAnsi="宋体" w:hint="eastAsia"/>
                <w:color w:val="000000"/>
                <w:szCs w:val="21"/>
              </w:rPr>
              <w:t>能够针对复杂工程问题，开发、选择与使用恰当的技术、资源、现代工程工具和信息技术工具，包括对复杂工程问题的预测与模拟，并能够理解其局限性。</w:t>
            </w:r>
          </w:p>
        </w:tc>
        <w:tc>
          <w:tcPr>
            <w:tcW w:w="850" w:type="dxa"/>
            <w:vAlign w:val="center"/>
          </w:tcPr>
          <w:p w:rsidR="00194320" w:rsidRPr="00AA6CD9" w:rsidRDefault="00194320" w:rsidP="00AF206C">
            <w:pPr>
              <w:spacing w:line="32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szCs w:val="21"/>
              </w:rPr>
              <w:t>5-3</w:t>
            </w:r>
          </w:p>
        </w:tc>
        <w:tc>
          <w:tcPr>
            <w:tcW w:w="2696" w:type="dxa"/>
            <w:vAlign w:val="center"/>
          </w:tcPr>
          <w:p w:rsidR="00194320" w:rsidRPr="00AA6CD9" w:rsidRDefault="00F7528E" w:rsidP="00AF206C">
            <w:pPr>
              <w:spacing w:line="32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选择</w:t>
            </w:r>
            <w:r w:rsidRPr="00AA6CD9">
              <w:rPr>
                <w:szCs w:val="21"/>
              </w:rPr>
              <w:t>与使用恰当的技术、资源和现代工具来</w:t>
            </w:r>
            <w:r w:rsidRPr="00AA6CD9">
              <w:rPr>
                <w:rFonts w:hint="eastAsia"/>
                <w:szCs w:val="21"/>
              </w:rPr>
              <w:t>解决</w:t>
            </w:r>
            <w:r w:rsidRPr="00AA6CD9">
              <w:rPr>
                <w:szCs w:val="21"/>
              </w:rPr>
              <w:t>复杂工程问题</w:t>
            </w:r>
            <w:r w:rsidR="00EC5D19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194320" w:rsidRPr="00AA6CD9" w:rsidRDefault="00AA6CD9" w:rsidP="00AF206C">
            <w:pPr>
              <w:spacing w:line="320" w:lineRule="exact"/>
              <w:jc w:val="left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满分</w:t>
            </w:r>
            <w:r w:rsidR="003B30CC">
              <w:rPr>
                <w:rFonts w:eastAsia="仿宋"/>
                <w:szCs w:val="21"/>
              </w:rPr>
              <w:t>4</w:t>
            </w:r>
            <w:r w:rsidR="00194320" w:rsidRPr="00AA6CD9">
              <w:rPr>
                <w:rFonts w:eastAsia="仿宋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194320" w:rsidRPr="00AA6CD9" w:rsidRDefault="00194320" w:rsidP="00AF206C">
            <w:pPr>
              <w:spacing w:line="32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F7528E" w:rsidRPr="00AA6CD9" w:rsidTr="00AF206C">
        <w:trPr>
          <w:trHeight w:val="2048"/>
        </w:trPr>
        <w:tc>
          <w:tcPr>
            <w:tcW w:w="458" w:type="dxa"/>
            <w:vAlign w:val="center"/>
          </w:tcPr>
          <w:p w:rsidR="00F7528E" w:rsidRPr="00AA6CD9" w:rsidRDefault="003B30CC" w:rsidP="00AF206C">
            <w:pPr>
              <w:spacing w:beforeLines="20" w:before="62" w:afterLines="20" w:after="62" w:line="320" w:lineRule="exact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3</w:t>
            </w:r>
          </w:p>
        </w:tc>
        <w:tc>
          <w:tcPr>
            <w:tcW w:w="3365" w:type="dxa"/>
            <w:vAlign w:val="center"/>
          </w:tcPr>
          <w:p w:rsidR="00F7528E" w:rsidRPr="00AA6CD9" w:rsidRDefault="00F7528E" w:rsidP="00AF206C">
            <w:pPr>
              <w:spacing w:line="320" w:lineRule="exact"/>
              <w:rPr>
                <w:szCs w:val="21"/>
              </w:rPr>
            </w:pPr>
            <w:r w:rsidRPr="00AA6CD9">
              <w:rPr>
                <w:rFonts w:ascii="宋体" w:hAnsi="宋体" w:hint="eastAsia"/>
                <w:b/>
                <w:color w:val="000000"/>
                <w:szCs w:val="21"/>
              </w:rPr>
              <w:t>项目管理：</w:t>
            </w:r>
            <w:r w:rsidRPr="00AA6CD9">
              <w:rPr>
                <w:rFonts w:ascii="宋体" w:hAnsi="宋体" w:hint="eastAsia"/>
                <w:color w:val="000000"/>
                <w:szCs w:val="21"/>
              </w:rPr>
              <w:t>理解并掌握工程管理原理与经济决策方法，并能在多学科环境中应用。</w:t>
            </w:r>
          </w:p>
        </w:tc>
        <w:tc>
          <w:tcPr>
            <w:tcW w:w="850" w:type="dxa"/>
            <w:vAlign w:val="center"/>
          </w:tcPr>
          <w:p w:rsidR="00F7528E" w:rsidRPr="00AA6CD9" w:rsidRDefault="00F7528E" w:rsidP="00AF206C">
            <w:pPr>
              <w:spacing w:line="32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szCs w:val="21"/>
              </w:rPr>
              <w:t>11-2</w:t>
            </w:r>
          </w:p>
        </w:tc>
        <w:tc>
          <w:tcPr>
            <w:tcW w:w="2696" w:type="dxa"/>
            <w:vAlign w:val="center"/>
          </w:tcPr>
          <w:p w:rsidR="00F7528E" w:rsidRPr="00AA6CD9" w:rsidRDefault="00AA6CD9" w:rsidP="00AF206C">
            <w:pPr>
              <w:spacing w:line="32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掌握</w:t>
            </w:r>
            <w:r w:rsidRPr="00AA6CD9">
              <w:rPr>
                <w:szCs w:val="21"/>
              </w:rPr>
              <w:t>计算机领域工程实践中产品调研和分析、设计研发、运行维护等方面的工程管理与经济决策</w:t>
            </w:r>
            <w:r w:rsidRPr="00AA6CD9">
              <w:rPr>
                <w:rFonts w:hint="eastAsia"/>
                <w:szCs w:val="21"/>
              </w:rPr>
              <w:t>方法</w:t>
            </w:r>
            <w:r w:rsidRPr="00AA6CD9">
              <w:rPr>
                <w:szCs w:val="21"/>
              </w:rPr>
              <w:t>和程序</w:t>
            </w:r>
            <w:r w:rsidR="00EC5D19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F7528E" w:rsidRPr="00AA6CD9" w:rsidRDefault="00AA6CD9" w:rsidP="00AF206C">
            <w:pPr>
              <w:spacing w:line="320" w:lineRule="exact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满分</w:t>
            </w:r>
            <w:r w:rsidR="00F7528E" w:rsidRPr="00AA6CD9">
              <w:rPr>
                <w:rFonts w:eastAsia="仿宋" w:hint="eastAsia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:rsidR="00F7528E" w:rsidRPr="00AA6CD9" w:rsidRDefault="00F7528E" w:rsidP="00AF206C">
            <w:pPr>
              <w:spacing w:line="32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F7528E" w:rsidRPr="00AA6CD9" w:rsidTr="00AF206C">
        <w:trPr>
          <w:trHeight w:val="2048"/>
        </w:trPr>
        <w:tc>
          <w:tcPr>
            <w:tcW w:w="458" w:type="dxa"/>
            <w:vAlign w:val="center"/>
          </w:tcPr>
          <w:p w:rsidR="00F7528E" w:rsidRPr="00AA6CD9" w:rsidRDefault="003B30CC" w:rsidP="00AF206C">
            <w:pPr>
              <w:spacing w:beforeLines="20" w:before="62" w:afterLines="20" w:after="62" w:line="320" w:lineRule="exact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4</w:t>
            </w:r>
          </w:p>
        </w:tc>
        <w:tc>
          <w:tcPr>
            <w:tcW w:w="3365" w:type="dxa"/>
            <w:vAlign w:val="center"/>
          </w:tcPr>
          <w:p w:rsidR="00F7528E" w:rsidRPr="00AA6CD9" w:rsidRDefault="00F7528E" w:rsidP="00AF206C">
            <w:pPr>
              <w:spacing w:line="320" w:lineRule="exact"/>
              <w:rPr>
                <w:szCs w:val="21"/>
              </w:rPr>
            </w:pPr>
            <w:r w:rsidRPr="00AA6CD9">
              <w:rPr>
                <w:rFonts w:ascii="宋体" w:hAnsi="宋体" w:hint="eastAsia"/>
                <w:b/>
                <w:color w:val="000000"/>
                <w:szCs w:val="21"/>
              </w:rPr>
              <w:t>终身学习：</w:t>
            </w:r>
            <w:r w:rsidRPr="00AA6CD9">
              <w:rPr>
                <w:rFonts w:ascii="宋体" w:hAnsi="宋体" w:hint="eastAsia"/>
                <w:color w:val="000000"/>
                <w:szCs w:val="21"/>
              </w:rPr>
              <w:t>具有自主学习和终身学习的意识，有不断学习和适应发展的能力。</w:t>
            </w:r>
          </w:p>
        </w:tc>
        <w:tc>
          <w:tcPr>
            <w:tcW w:w="850" w:type="dxa"/>
            <w:vAlign w:val="center"/>
          </w:tcPr>
          <w:p w:rsidR="00F7528E" w:rsidRPr="00AA6CD9" w:rsidRDefault="00F7528E" w:rsidP="00AF206C">
            <w:pPr>
              <w:spacing w:line="32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szCs w:val="21"/>
              </w:rPr>
              <w:t>12-2</w:t>
            </w:r>
          </w:p>
        </w:tc>
        <w:tc>
          <w:tcPr>
            <w:tcW w:w="2696" w:type="dxa"/>
            <w:vAlign w:val="center"/>
          </w:tcPr>
          <w:p w:rsidR="00F7528E" w:rsidRPr="00AA6CD9" w:rsidRDefault="00AA6CD9" w:rsidP="00AF206C">
            <w:pPr>
              <w:spacing w:line="32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能够</w:t>
            </w:r>
            <w:r w:rsidRPr="00AA6CD9">
              <w:rPr>
                <w:szCs w:val="21"/>
              </w:rPr>
              <w:t>主动学习新技术、新知识</w:t>
            </w:r>
            <w:r w:rsidRPr="00AA6CD9">
              <w:rPr>
                <w:rFonts w:hint="eastAsia"/>
                <w:szCs w:val="21"/>
              </w:rPr>
              <w:t>，有</w:t>
            </w:r>
            <w:r w:rsidRPr="00AA6CD9">
              <w:rPr>
                <w:szCs w:val="21"/>
              </w:rPr>
              <w:t>不断学习和适应计算机领域发展的能力</w:t>
            </w:r>
            <w:r w:rsidR="00EC5D19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F7528E" w:rsidRPr="00AA6CD9" w:rsidRDefault="00AA6CD9" w:rsidP="00AF206C">
            <w:pPr>
              <w:spacing w:line="320" w:lineRule="exact"/>
              <w:jc w:val="left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满分</w:t>
            </w:r>
            <w:r w:rsidR="003B30CC">
              <w:rPr>
                <w:rFonts w:eastAsia="仿宋"/>
                <w:szCs w:val="21"/>
              </w:rPr>
              <w:t>2</w:t>
            </w:r>
            <w:r w:rsidR="00F7528E" w:rsidRPr="00AA6CD9">
              <w:rPr>
                <w:rFonts w:eastAsia="仿宋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F7528E" w:rsidRPr="00AA6CD9" w:rsidRDefault="00F7528E" w:rsidP="00AF206C">
            <w:pPr>
              <w:spacing w:line="32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F7528E" w:rsidRPr="00AA6CD9" w:rsidTr="00AA6CD9">
        <w:trPr>
          <w:trHeight w:val="745"/>
        </w:trPr>
        <w:tc>
          <w:tcPr>
            <w:tcW w:w="7369" w:type="dxa"/>
            <w:gridSpan w:val="4"/>
            <w:vAlign w:val="center"/>
          </w:tcPr>
          <w:p w:rsidR="00F7528E" w:rsidRPr="00AA6CD9" w:rsidRDefault="00F7528E" w:rsidP="00AA6CD9">
            <w:pPr>
              <w:spacing w:line="240" w:lineRule="exact"/>
              <w:jc w:val="center"/>
              <w:rPr>
                <w:rFonts w:hAnsi="宋体"/>
                <w:szCs w:val="21"/>
              </w:rPr>
            </w:pPr>
            <w:r w:rsidRPr="00AA6CD9">
              <w:rPr>
                <w:rFonts w:hAnsi="宋体" w:hint="eastAsia"/>
                <w:szCs w:val="21"/>
              </w:rPr>
              <w:t>合</w:t>
            </w:r>
            <w:r w:rsidR="00AA6CD9">
              <w:rPr>
                <w:rFonts w:hAnsi="宋体" w:hint="eastAsia"/>
                <w:szCs w:val="21"/>
              </w:rPr>
              <w:t xml:space="preserve">  </w:t>
            </w:r>
            <w:r w:rsidRPr="00AA6CD9">
              <w:rPr>
                <w:rFonts w:hAnsi="宋体" w:hint="eastAsia"/>
                <w:szCs w:val="21"/>
              </w:rPr>
              <w:t>计</w:t>
            </w:r>
          </w:p>
        </w:tc>
        <w:tc>
          <w:tcPr>
            <w:tcW w:w="1131" w:type="dxa"/>
            <w:vAlign w:val="center"/>
          </w:tcPr>
          <w:p w:rsidR="00F7528E" w:rsidRPr="00AA6CD9" w:rsidRDefault="00F7528E" w:rsidP="00AA6CD9">
            <w:pPr>
              <w:spacing w:line="240" w:lineRule="exact"/>
              <w:jc w:val="left"/>
              <w:rPr>
                <w:rFonts w:eastAsia="仿宋"/>
                <w:szCs w:val="21"/>
              </w:rPr>
            </w:pPr>
            <w:r w:rsidRPr="00AA6CD9">
              <w:rPr>
                <w:rFonts w:eastAsia="仿宋"/>
                <w:szCs w:val="21"/>
              </w:rPr>
              <w:t>满分</w:t>
            </w:r>
            <w:r w:rsidRPr="00AA6CD9">
              <w:rPr>
                <w:rFonts w:eastAsia="仿宋" w:hint="eastAsia"/>
                <w:szCs w:val="21"/>
              </w:rPr>
              <w:t>100</w:t>
            </w:r>
          </w:p>
        </w:tc>
        <w:tc>
          <w:tcPr>
            <w:tcW w:w="992" w:type="dxa"/>
            <w:vAlign w:val="center"/>
          </w:tcPr>
          <w:p w:rsidR="00F7528E" w:rsidRPr="00AA6CD9" w:rsidRDefault="00F7528E" w:rsidP="00AA6CD9">
            <w:pPr>
              <w:spacing w:line="240" w:lineRule="exact"/>
              <w:jc w:val="center"/>
              <w:rPr>
                <w:rFonts w:eastAsia="仿宋"/>
                <w:szCs w:val="21"/>
              </w:rPr>
            </w:pPr>
          </w:p>
        </w:tc>
      </w:tr>
    </w:tbl>
    <w:p w:rsidR="003B30CC" w:rsidRDefault="003B30CC" w:rsidP="004425B0">
      <w:pPr>
        <w:spacing w:beforeLines="50" w:before="156" w:line="400" w:lineRule="exact"/>
        <w:rPr>
          <w:rFonts w:eastAsia="仿宋"/>
          <w:b/>
          <w:bCs/>
          <w:sz w:val="28"/>
          <w:szCs w:val="28"/>
        </w:rPr>
      </w:pPr>
    </w:p>
    <w:p w:rsidR="00056DC1" w:rsidRPr="002A7D2B" w:rsidRDefault="007C377E" w:rsidP="00AA6CD9">
      <w:pPr>
        <w:spacing w:beforeLines="50" w:before="156" w:line="400" w:lineRule="exact"/>
        <w:rPr>
          <w:rFonts w:eastAsia="仿宋"/>
          <w:b/>
          <w:bCs/>
          <w:sz w:val="24"/>
          <w:szCs w:val="28"/>
        </w:rPr>
      </w:pPr>
      <w:r>
        <w:rPr>
          <w:rFonts w:eastAsia="仿宋" w:hint="eastAsia"/>
          <w:b/>
          <w:bCs/>
          <w:sz w:val="24"/>
          <w:szCs w:val="28"/>
        </w:rPr>
        <w:t>负责教师</w:t>
      </w:r>
      <w:r w:rsidR="00056DC1" w:rsidRPr="002A7D2B">
        <w:rPr>
          <w:rFonts w:eastAsia="仿宋" w:hint="eastAsia"/>
          <w:b/>
          <w:bCs/>
          <w:sz w:val="24"/>
          <w:szCs w:val="28"/>
        </w:rPr>
        <w:t>签字：</w:t>
      </w:r>
      <w:r w:rsidR="00056DC1" w:rsidRPr="002A7D2B">
        <w:rPr>
          <w:rFonts w:eastAsia="仿宋"/>
          <w:b/>
          <w:bCs/>
          <w:sz w:val="24"/>
          <w:szCs w:val="28"/>
          <w:u w:val="single"/>
        </w:rPr>
        <w:tab/>
      </w:r>
      <w:r w:rsidR="00056DC1" w:rsidRPr="002A7D2B">
        <w:rPr>
          <w:rFonts w:eastAsia="仿宋"/>
          <w:b/>
          <w:bCs/>
          <w:sz w:val="24"/>
          <w:szCs w:val="28"/>
          <w:u w:val="single"/>
        </w:rPr>
        <w:tab/>
      </w:r>
      <w:r w:rsidR="00AA6CD9">
        <w:rPr>
          <w:rFonts w:eastAsia="仿宋"/>
          <w:b/>
          <w:bCs/>
          <w:sz w:val="24"/>
          <w:szCs w:val="28"/>
          <w:u w:val="single"/>
        </w:rPr>
        <w:t xml:space="preserve">      </w:t>
      </w:r>
      <w:r w:rsidR="00056DC1" w:rsidRPr="002A7D2B">
        <w:rPr>
          <w:rFonts w:eastAsia="仿宋"/>
          <w:b/>
          <w:bCs/>
          <w:sz w:val="24"/>
          <w:szCs w:val="28"/>
          <w:u w:val="single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AA6CD9">
        <w:rPr>
          <w:rFonts w:eastAsia="仿宋"/>
          <w:b/>
          <w:bCs/>
          <w:sz w:val="24"/>
          <w:szCs w:val="28"/>
        </w:rPr>
        <w:t xml:space="preserve">                </w:t>
      </w:r>
      <w:r w:rsidR="00DA4912">
        <w:rPr>
          <w:rFonts w:eastAsia="仿宋"/>
          <w:b/>
          <w:bCs/>
          <w:sz w:val="24"/>
          <w:szCs w:val="28"/>
        </w:rPr>
        <w:t xml:space="preserve"> </w:t>
      </w:r>
      <w:r w:rsidR="00AA6CD9">
        <w:rPr>
          <w:rFonts w:eastAsia="仿宋"/>
          <w:b/>
          <w:bCs/>
          <w:sz w:val="24"/>
          <w:szCs w:val="28"/>
        </w:rPr>
        <w:t xml:space="preserve">       </w:t>
      </w:r>
      <w:r w:rsidR="00056DC1" w:rsidRPr="002A7D2B">
        <w:rPr>
          <w:rFonts w:eastAsia="仿宋" w:hint="eastAsia"/>
          <w:b/>
          <w:bCs/>
          <w:sz w:val="24"/>
          <w:szCs w:val="28"/>
        </w:rPr>
        <w:t>年</w:t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 w:hint="eastAsia"/>
          <w:b/>
          <w:bCs/>
          <w:sz w:val="24"/>
          <w:szCs w:val="28"/>
        </w:rPr>
        <w:t>月</w:t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 w:hint="eastAsia"/>
          <w:b/>
          <w:bCs/>
          <w:sz w:val="24"/>
          <w:szCs w:val="28"/>
        </w:rPr>
        <w:t>日</w:t>
      </w:r>
    </w:p>
    <w:sectPr w:rsidR="00056DC1" w:rsidRPr="002A7D2B" w:rsidSect="00194320">
      <w:pgSz w:w="11906" w:h="16838"/>
      <w:pgMar w:top="1134" w:right="1077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BE1" w:rsidRDefault="00282BE1" w:rsidP="006A433B">
      <w:r>
        <w:separator/>
      </w:r>
    </w:p>
  </w:endnote>
  <w:endnote w:type="continuationSeparator" w:id="0">
    <w:p w:rsidR="00282BE1" w:rsidRDefault="00282BE1" w:rsidP="006A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BE1" w:rsidRDefault="00282BE1" w:rsidP="006A433B">
      <w:r>
        <w:separator/>
      </w:r>
    </w:p>
  </w:footnote>
  <w:footnote w:type="continuationSeparator" w:id="0">
    <w:p w:rsidR="00282BE1" w:rsidRDefault="00282BE1" w:rsidP="006A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1C"/>
    <w:rsid w:val="000238AE"/>
    <w:rsid w:val="00053FF7"/>
    <w:rsid w:val="00056DC1"/>
    <w:rsid w:val="0009791D"/>
    <w:rsid w:val="000A7447"/>
    <w:rsid w:val="000F19E5"/>
    <w:rsid w:val="00122C48"/>
    <w:rsid w:val="00173A1A"/>
    <w:rsid w:val="00174E25"/>
    <w:rsid w:val="00194320"/>
    <w:rsid w:val="00212122"/>
    <w:rsid w:val="00282BE1"/>
    <w:rsid w:val="002935FF"/>
    <w:rsid w:val="002A7D2B"/>
    <w:rsid w:val="002E2EF1"/>
    <w:rsid w:val="002E5A8E"/>
    <w:rsid w:val="003A110D"/>
    <w:rsid w:val="003B30CC"/>
    <w:rsid w:val="003C16DB"/>
    <w:rsid w:val="003C2253"/>
    <w:rsid w:val="003D1E92"/>
    <w:rsid w:val="003D728C"/>
    <w:rsid w:val="00401BEF"/>
    <w:rsid w:val="0043581C"/>
    <w:rsid w:val="004425B0"/>
    <w:rsid w:val="0044570B"/>
    <w:rsid w:val="00446A78"/>
    <w:rsid w:val="00466735"/>
    <w:rsid w:val="004811B1"/>
    <w:rsid w:val="0049218D"/>
    <w:rsid w:val="00497B53"/>
    <w:rsid w:val="004B4302"/>
    <w:rsid w:val="004D6034"/>
    <w:rsid w:val="0055233D"/>
    <w:rsid w:val="00556348"/>
    <w:rsid w:val="005751C7"/>
    <w:rsid w:val="005F32F3"/>
    <w:rsid w:val="00655DDC"/>
    <w:rsid w:val="006A433B"/>
    <w:rsid w:val="0073643D"/>
    <w:rsid w:val="007C377E"/>
    <w:rsid w:val="007E6781"/>
    <w:rsid w:val="008406F4"/>
    <w:rsid w:val="008A3FA9"/>
    <w:rsid w:val="008F2C8B"/>
    <w:rsid w:val="00901A7C"/>
    <w:rsid w:val="009166A0"/>
    <w:rsid w:val="009A382F"/>
    <w:rsid w:val="009A3DD3"/>
    <w:rsid w:val="009A7B0D"/>
    <w:rsid w:val="009B03FB"/>
    <w:rsid w:val="009C3208"/>
    <w:rsid w:val="009F52B7"/>
    <w:rsid w:val="00A020A1"/>
    <w:rsid w:val="00A055E1"/>
    <w:rsid w:val="00A66789"/>
    <w:rsid w:val="00A911A0"/>
    <w:rsid w:val="00AA6CD9"/>
    <w:rsid w:val="00AD1CCB"/>
    <w:rsid w:val="00AE58A3"/>
    <w:rsid w:val="00AE7379"/>
    <w:rsid w:val="00AF206C"/>
    <w:rsid w:val="00B54A18"/>
    <w:rsid w:val="00B70B2D"/>
    <w:rsid w:val="00C30A11"/>
    <w:rsid w:val="00C34864"/>
    <w:rsid w:val="00C63896"/>
    <w:rsid w:val="00C73A22"/>
    <w:rsid w:val="00CB16C4"/>
    <w:rsid w:val="00CC1C22"/>
    <w:rsid w:val="00CE5495"/>
    <w:rsid w:val="00D47315"/>
    <w:rsid w:val="00D54D2D"/>
    <w:rsid w:val="00D944BA"/>
    <w:rsid w:val="00DA4912"/>
    <w:rsid w:val="00DD0236"/>
    <w:rsid w:val="00E271F5"/>
    <w:rsid w:val="00E8362A"/>
    <w:rsid w:val="00E9065C"/>
    <w:rsid w:val="00EC5D19"/>
    <w:rsid w:val="00F127D7"/>
    <w:rsid w:val="00F40D49"/>
    <w:rsid w:val="00F43BF0"/>
    <w:rsid w:val="00F7340C"/>
    <w:rsid w:val="00F7528E"/>
    <w:rsid w:val="00F80281"/>
    <w:rsid w:val="00FA4D03"/>
    <w:rsid w:val="00FE02D6"/>
    <w:rsid w:val="00FF1B4E"/>
    <w:rsid w:val="00FF3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02D51A3-0CC6-4CAE-AF0E-A3481B89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81C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99"/>
    <w:semiHidden/>
    <w:rsid w:val="0043581C"/>
    <w:pPr>
      <w:tabs>
        <w:tab w:val="right" w:leader="dot" w:pos="8296"/>
      </w:tabs>
      <w:spacing w:beforeLines="50" w:line="400" w:lineRule="exact"/>
      <w:jc w:val="center"/>
    </w:pPr>
    <w:rPr>
      <w:rFonts w:eastAsia="黑体"/>
      <w:sz w:val="32"/>
      <w:szCs w:val="20"/>
    </w:rPr>
  </w:style>
  <w:style w:type="paragraph" w:styleId="a3">
    <w:name w:val="List Paragraph"/>
    <w:basedOn w:val="a"/>
    <w:uiPriority w:val="99"/>
    <w:qFormat/>
    <w:rsid w:val="0043581C"/>
    <w:pPr>
      <w:ind w:firstLineChars="200" w:firstLine="420"/>
    </w:pPr>
    <w:rPr>
      <w:szCs w:val="24"/>
    </w:rPr>
  </w:style>
  <w:style w:type="paragraph" w:styleId="a4">
    <w:name w:val="header"/>
    <w:basedOn w:val="a"/>
    <w:link w:val="Char"/>
    <w:uiPriority w:val="99"/>
    <w:unhideWhenUsed/>
    <w:rsid w:val="006A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6A433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4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6A433B"/>
    <w:rPr>
      <w:rFonts w:ascii="Times New Roman" w:eastAsia="宋体" w:hAnsi="Times New Roman"/>
      <w:sz w:val="18"/>
      <w:szCs w:val="18"/>
    </w:rPr>
  </w:style>
  <w:style w:type="table" w:styleId="a6">
    <w:name w:val="Table Grid"/>
    <w:basedOn w:val="a1"/>
    <w:locked/>
    <w:rsid w:val="00194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5E413-AD63-4CB6-B472-BC0DEED58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Shaun Zhang</dc:creator>
  <cp:lastModifiedBy>Jingshan</cp:lastModifiedBy>
  <cp:revision>9</cp:revision>
  <cp:lastPrinted>2017-03-15T09:12:00Z</cp:lastPrinted>
  <dcterms:created xsi:type="dcterms:W3CDTF">2018-05-02T06:23:00Z</dcterms:created>
  <dcterms:modified xsi:type="dcterms:W3CDTF">2018-05-22T03:44:00Z</dcterms:modified>
</cp:coreProperties>
</file>