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5C05" w14:textId="77777777" w:rsidR="00E060C5" w:rsidRDefault="00E060C5" w:rsidP="00E060C5">
      <w:pPr>
        <w:rPr>
          <w:b/>
          <w:sz w:val="20"/>
          <w:lang w:eastAsia="ar-SA"/>
        </w:rPr>
      </w:pPr>
      <w:r>
        <w:rPr>
          <w:b/>
          <w:sz w:val="20"/>
        </w:rPr>
        <w:t xml:space="preserve">klauzula </w:t>
      </w:r>
    </w:p>
    <w:p w14:paraId="3736F3E6" w14:textId="29A57040" w:rsidR="00E060C5" w:rsidRDefault="00E060C5" w:rsidP="00E060C5">
      <w:pPr>
        <w:rPr>
          <w:sz w:val="20"/>
        </w:rPr>
      </w:pPr>
      <w:r>
        <w:rPr>
          <w:sz w:val="20"/>
        </w:rPr>
        <w:t xml:space="preserve">wzór </w:t>
      </w:r>
      <w:r w:rsidR="00F174AB">
        <w:rPr>
          <w:sz w:val="20"/>
        </w:rPr>
        <w:t>umowy</w:t>
      </w:r>
      <w:r>
        <w:rPr>
          <w:sz w:val="20"/>
        </w:rPr>
        <w:t xml:space="preserve">: materiał szkoleniowy </w:t>
      </w:r>
    </w:p>
    <w:p w14:paraId="52378E5A" w14:textId="77777777" w:rsidR="00E060C5" w:rsidRDefault="00E060C5" w:rsidP="00E060C5">
      <w:pPr>
        <w:rPr>
          <w:sz w:val="20"/>
        </w:rPr>
      </w:pPr>
      <w:r>
        <w:rPr>
          <w:sz w:val="20"/>
        </w:rPr>
        <w:t xml:space="preserve">autor zezwala każdemu na wykorzystanie </w:t>
      </w:r>
    </w:p>
    <w:p w14:paraId="385CFDB2" w14:textId="77777777" w:rsidR="00E060C5" w:rsidRDefault="00E060C5" w:rsidP="00E060C5">
      <w:pPr>
        <w:rPr>
          <w:sz w:val="20"/>
        </w:rPr>
      </w:pPr>
      <w:r>
        <w:rPr>
          <w:sz w:val="20"/>
        </w:rPr>
        <w:t xml:space="preserve">w dowolnej formie i na własne ryzyko </w:t>
      </w:r>
    </w:p>
    <w:p w14:paraId="627D57D3" w14:textId="77777777" w:rsidR="00E060C5" w:rsidRDefault="00E060C5" w:rsidP="00E060C5">
      <w:pPr>
        <w:rPr>
          <w:sz w:val="20"/>
        </w:rPr>
      </w:pPr>
      <w:r>
        <w:rPr>
          <w:sz w:val="20"/>
        </w:rPr>
        <w:t xml:space="preserve">ale odpowiedzialność autora wzoru jest wyłączona </w:t>
      </w:r>
    </w:p>
    <w:p w14:paraId="4540980B" w14:textId="77777777" w:rsidR="00A0440E" w:rsidRDefault="00A0440E" w:rsidP="007C11A8">
      <w:pPr>
        <w:pStyle w:val="Nagwek1"/>
        <w:rPr>
          <w:rFonts w:ascii="Verdana" w:hAnsi="Verdana"/>
          <w:sz w:val="28"/>
          <w:szCs w:val="28"/>
        </w:rPr>
      </w:pPr>
    </w:p>
    <w:p w14:paraId="103167C9" w14:textId="77777777" w:rsidR="00A0440E" w:rsidRDefault="00A0440E" w:rsidP="007C11A8">
      <w:pPr>
        <w:pStyle w:val="Nagwek1"/>
        <w:rPr>
          <w:rFonts w:ascii="Verdana" w:hAnsi="Verdana"/>
          <w:sz w:val="28"/>
          <w:szCs w:val="28"/>
        </w:rPr>
      </w:pPr>
    </w:p>
    <w:p w14:paraId="5B8685A9" w14:textId="5A15C4F2" w:rsidR="007C11A8" w:rsidRPr="00B0388B" w:rsidRDefault="00B0388B" w:rsidP="007C11A8">
      <w:pPr>
        <w:pStyle w:val="Nagwek1"/>
        <w:rPr>
          <w:rFonts w:ascii="Verdana" w:eastAsia="Arial Unicode MS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UMOWA DAROWIZNY </w:t>
      </w:r>
    </w:p>
    <w:p w14:paraId="52C29BE8" w14:textId="77777777" w:rsidR="007C11A8" w:rsidRDefault="007C11A8" w:rsidP="007C11A8">
      <w:pPr>
        <w:ind w:left="225"/>
        <w:jc w:val="both"/>
      </w:pPr>
    </w:p>
    <w:p w14:paraId="0EE3E242" w14:textId="5E871B72" w:rsidR="00D661D8" w:rsidRPr="00B0388B" w:rsidRDefault="007C11A8" w:rsidP="007C11A8">
      <w:pPr>
        <w:ind w:left="225"/>
        <w:jc w:val="both"/>
        <w:rPr>
          <w:rFonts w:ascii="Arial" w:hAnsi="Arial" w:cs="Arial"/>
          <w:sz w:val="22"/>
          <w:szCs w:val="22"/>
        </w:rPr>
      </w:pPr>
      <w:r w:rsidRPr="00B0388B">
        <w:rPr>
          <w:rFonts w:ascii="Arial" w:hAnsi="Arial" w:cs="Arial"/>
          <w:sz w:val="22"/>
          <w:szCs w:val="22"/>
        </w:rPr>
        <w:t xml:space="preserve">Zawarta w dniu </w:t>
      </w:r>
      <w:r w:rsidR="00F174AB">
        <w:rPr>
          <w:rFonts w:ascii="Arial" w:hAnsi="Arial" w:cs="Arial"/>
          <w:sz w:val="22"/>
          <w:szCs w:val="22"/>
        </w:rPr>
        <w:t>10</w:t>
      </w:r>
      <w:r w:rsidR="00DD194D">
        <w:rPr>
          <w:rFonts w:ascii="Arial" w:hAnsi="Arial" w:cs="Arial"/>
          <w:sz w:val="22"/>
          <w:szCs w:val="22"/>
        </w:rPr>
        <w:t xml:space="preserve"> maja 2</w:t>
      </w:r>
      <w:r w:rsidR="003824BE">
        <w:rPr>
          <w:rFonts w:ascii="Arial" w:hAnsi="Arial" w:cs="Arial"/>
          <w:sz w:val="22"/>
          <w:szCs w:val="22"/>
        </w:rPr>
        <w:t>0</w:t>
      </w:r>
      <w:r w:rsidR="00DD194D">
        <w:rPr>
          <w:rFonts w:ascii="Arial" w:hAnsi="Arial" w:cs="Arial"/>
          <w:sz w:val="22"/>
          <w:szCs w:val="22"/>
        </w:rPr>
        <w:t>20</w:t>
      </w:r>
      <w:r w:rsidR="003824BE">
        <w:rPr>
          <w:rFonts w:ascii="Arial" w:hAnsi="Arial" w:cs="Arial"/>
          <w:sz w:val="22"/>
          <w:szCs w:val="22"/>
        </w:rPr>
        <w:t xml:space="preserve"> </w:t>
      </w:r>
      <w:r w:rsidR="00381600">
        <w:rPr>
          <w:rFonts w:ascii="Arial" w:hAnsi="Arial" w:cs="Arial"/>
          <w:sz w:val="22"/>
          <w:szCs w:val="22"/>
        </w:rPr>
        <w:t xml:space="preserve"> r. </w:t>
      </w:r>
      <w:r w:rsidR="00D661D8" w:rsidRPr="00B0388B">
        <w:rPr>
          <w:rFonts w:ascii="Arial" w:hAnsi="Arial" w:cs="Arial"/>
          <w:sz w:val="22"/>
          <w:szCs w:val="22"/>
        </w:rPr>
        <w:t xml:space="preserve"> </w:t>
      </w:r>
      <w:r w:rsidRPr="00B0388B">
        <w:rPr>
          <w:rFonts w:ascii="Arial" w:hAnsi="Arial" w:cs="Arial"/>
          <w:sz w:val="22"/>
          <w:szCs w:val="22"/>
        </w:rPr>
        <w:t>pomiędzy</w:t>
      </w:r>
      <w:r w:rsidR="007E4257">
        <w:rPr>
          <w:rFonts w:ascii="Arial" w:hAnsi="Arial" w:cs="Arial"/>
          <w:sz w:val="22"/>
          <w:szCs w:val="22"/>
        </w:rPr>
        <w:t>:</w:t>
      </w:r>
    </w:p>
    <w:p w14:paraId="576BC2AF" w14:textId="77777777" w:rsidR="00D661D8" w:rsidRPr="00B0388B" w:rsidRDefault="00D661D8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5C18A311" w14:textId="150B42F7" w:rsidR="0078079E" w:rsidRDefault="003824BE" w:rsidP="007C11A8">
      <w:pPr>
        <w:ind w:left="2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Janem Kowalskim</w:t>
      </w:r>
      <w:r w:rsidR="007C11A8" w:rsidRPr="00BF5375">
        <w:rPr>
          <w:rFonts w:ascii="Arial" w:hAnsi="Arial" w:cs="Arial"/>
          <w:b/>
          <w:sz w:val="22"/>
          <w:szCs w:val="22"/>
        </w:rPr>
        <w:t>,</w:t>
      </w:r>
      <w:r w:rsidR="005D14F1">
        <w:rPr>
          <w:rFonts w:ascii="Arial" w:hAnsi="Arial" w:cs="Arial"/>
          <w:sz w:val="22"/>
          <w:szCs w:val="22"/>
        </w:rPr>
        <w:t xml:space="preserve"> zamieszkały w </w:t>
      </w:r>
      <w:r w:rsidR="008C78A1">
        <w:rPr>
          <w:rFonts w:ascii="Arial" w:hAnsi="Arial" w:cs="Arial"/>
          <w:sz w:val="22"/>
          <w:szCs w:val="22"/>
        </w:rPr>
        <w:t>W</w:t>
      </w:r>
      <w:r w:rsidR="005D14F1">
        <w:rPr>
          <w:rFonts w:ascii="Arial" w:hAnsi="Arial" w:cs="Arial"/>
          <w:sz w:val="22"/>
          <w:szCs w:val="22"/>
        </w:rPr>
        <w:t xml:space="preserve">arszawie, adres </w:t>
      </w:r>
      <w:r>
        <w:rPr>
          <w:rFonts w:ascii="Arial" w:hAnsi="Arial" w:cs="Arial"/>
          <w:sz w:val="22"/>
          <w:szCs w:val="22"/>
        </w:rPr>
        <w:t xml:space="preserve">00-571 Warszawa </w:t>
      </w:r>
      <w:r w:rsidR="0078079E" w:rsidRPr="00B0388B">
        <w:rPr>
          <w:rFonts w:ascii="Arial" w:hAnsi="Arial" w:cs="Arial"/>
          <w:sz w:val="22"/>
          <w:szCs w:val="22"/>
        </w:rPr>
        <w:t>przy ul</w:t>
      </w:r>
      <w:r w:rsidR="00BB2BA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Mickiewicza 12 </w:t>
      </w:r>
      <w:r w:rsidR="00FB500F" w:rsidRPr="00B0388B">
        <w:rPr>
          <w:rFonts w:ascii="Arial" w:hAnsi="Arial" w:cs="Arial"/>
          <w:sz w:val="22"/>
          <w:szCs w:val="22"/>
        </w:rPr>
        <w:t>num</w:t>
      </w:r>
      <w:r w:rsidR="007C11A8" w:rsidRPr="00B0388B">
        <w:rPr>
          <w:rFonts w:ascii="Arial" w:hAnsi="Arial" w:cs="Arial"/>
          <w:sz w:val="22"/>
          <w:szCs w:val="22"/>
        </w:rPr>
        <w:t xml:space="preserve">er </w:t>
      </w:r>
      <w:proofErr w:type="spellStart"/>
      <w:r w:rsidR="007C11A8" w:rsidRPr="00B0388B">
        <w:rPr>
          <w:rFonts w:ascii="Arial" w:hAnsi="Arial" w:cs="Arial"/>
          <w:sz w:val="22"/>
          <w:szCs w:val="22"/>
        </w:rPr>
        <w:t>dow</w:t>
      </w:r>
      <w:proofErr w:type="spellEnd"/>
      <w:r w:rsidR="007C11A8" w:rsidRPr="00B0388B">
        <w:rPr>
          <w:rFonts w:ascii="Arial" w:hAnsi="Arial" w:cs="Arial"/>
          <w:sz w:val="22"/>
          <w:szCs w:val="22"/>
        </w:rPr>
        <w:t>. os.</w:t>
      </w:r>
      <w:r w:rsidR="007E42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DGJ 08971</w:t>
      </w:r>
      <w:r w:rsidR="004434F6">
        <w:rPr>
          <w:rFonts w:ascii="Arial" w:hAnsi="Arial" w:cs="Arial"/>
          <w:sz w:val="22"/>
          <w:szCs w:val="22"/>
        </w:rPr>
        <w:t xml:space="preserve"> </w:t>
      </w:r>
      <w:r w:rsidR="005D14F1">
        <w:rPr>
          <w:rFonts w:ascii="Arial" w:hAnsi="Arial" w:cs="Arial"/>
          <w:sz w:val="22"/>
          <w:szCs w:val="22"/>
        </w:rPr>
        <w:t xml:space="preserve">wydanym przez Prezydenta m. st. Warszawy, ważnym do dnia </w:t>
      </w:r>
      <w:r w:rsidR="00FA7331">
        <w:rPr>
          <w:rFonts w:ascii="Arial" w:hAnsi="Arial" w:cs="Arial"/>
          <w:sz w:val="22"/>
          <w:szCs w:val="22"/>
        </w:rPr>
        <w:t>12</w:t>
      </w:r>
      <w:r w:rsidR="005D14F1">
        <w:rPr>
          <w:rFonts w:ascii="Arial" w:hAnsi="Arial" w:cs="Arial"/>
          <w:sz w:val="22"/>
          <w:szCs w:val="22"/>
        </w:rPr>
        <w:t xml:space="preserve"> września 20</w:t>
      </w:r>
      <w:r w:rsidR="005E58F6">
        <w:rPr>
          <w:rFonts w:ascii="Arial" w:hAnsi="Arial" w:cs="Arial"/>
          <w:sz w:val="22"/>
          <w:szCs w:val="22"/>
        </w:rPr>
        <w:t>2</w:t>
      </w:r>
      <w:r w:rsidR="005D14F1">
        <w:rPr>
          <w:rFonts w:ascii="Arial" w:hAnsi="Arial" w:cs="Arial"/>
          <w:sz w:val="22"/>
          <w:szCs w:val="22"/>
        </w:rPr>
        <w:t xml:space="preserve">4 r. </w:t>
      </w:r>
      <w:r w:rsidR="004434F6">
        <w:rPr>
          <w:rFonts w:ascii="Arial" w:hAnsi="Arial" w:cs="Arial"/>
          <w:sz w:val="22"/>
          <w:szCs w:val="22"/>
        </w:rPr>
        <w:t xml:space="preserve">; </w:t>
      </w:r>
      <w:r w:rsidR="006E50F1">
        <w:rPr>
          <w:rFonts w:ascii="Arial" w:hAnsi="Arial" w:cs="Arial"/>
          <w:sz w:val="22"/>
          <w:szCs w:val="22"/>
        </w:rPr>
        <w:t xml:space="preserve"> </w:t>
      </w:r>
      <w:r w:rsidR="00904F03">
        <w:rPr>
          <w:rFonts w:ascii="Arial" w:hAnsi="Arial" w:cs="Arial"/>
          <w:sz w:val="22"/>
          <w:szCs w:val="22"/>
        </w:rPr>
        <w:t xml:space="preserve">Pesel </w:t>
      </w:r>
      <w:r w:rsidR="008C78A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1020204697</w:t>
      </w:r>
      <w:r w:rsidR="003030E7">
        <w:rPr>
          <w:rFonts w:ascii="Arial" w:hAnsi="Arial" w:cs="Arial"/>
          <w:sz w:val="22"/>
          <w:szCs w:val="22"/>
        </w:rPr>
        <w:t xml:space="preserve"> </w:t>
      </w:r>
      <w:r w:rsidR="00383047" w:rsidRPr="00B0388B">
        <w:rPr>
          <w:rFonts w:ascii="Arial" w:hAnsi="Arial" w:cs="Arial"/>
          <w:sz w:val="22"/>
          <w:szCs w:val="22"/>
        </w:rPr>
        <w:t>zwan</w:t>
      </w:r>
      <w:r w:rsidR="006E50F1">
        <w:rPr>
          <w:rFonts w:ascii="Arial" w:hAnsi="Arial" w:cs="Arial"/>
          <w:sz w:val="22"/>
          <w:szCs w:val="22"/>
        </w:rPr>
        <w:t xml:space="preserve">ą </w:t>
      </w:r>
      <w:r w:rsidR="007C11A8" w:rsidRPr="00B0388B">
        <w:rPr>
          <w:rFonts w:ascii="Arial" w:hAnsi="Arial" w:cs="Arial"/>
          <w:sz w:val="22"/>
          <w:szCs w:val="22"/>
        </w:rPr>
        <w:t xml:space="preserve">dalej „Darczyńcą” </w:t>
      </w:r>
    </w:p>
    <w:p w14:paraId="3834A7CE" w14:textId="77777777" w:rsidR="007E4257" w:rsidRDefault="007E4257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57166180" w14:textId="6E4F33BD" w:rsidR="00FB1287" w:rsidRPr="00B0388B" w:rsidRDefault="00FB1287" w:rsidP="00FB1287">
      <w:pPr>
        <w:ind w:left="225"/>
        <w:jc w:val="both"/>
        <w:rPr>
          <w:rFonts w:ascii="Arial" w:hAnsi="Arial" w:cs="Arial"/>
          <w:sz w:val="22"/>
          <w:szCs w:val="22"/>
        </w:rPr>
      </w:pPr>
      <w:r w:rsidRPr="00FB1287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824BE">
        <w:rPr>
          <w:rFonts w:ascii="Arial" w:hAnsi="Arial" w:cs="Arial"/>
          <w:b/>
          <w:sz w:val="22"/>
          <w:szCs w:val="22"/>
        </w:rPr>
        <w:t>Markiem Kowalskim</w:t>
      </w:r>
      <w:r w:rsidRPr="00BF5375">
        <w:rPr>
          <w:rFonts w:ascii="Arial" w:hAnsi="Arial" w:cs="Arial"/>
          <w:b/>
          <w:sz w:val="22"/>
          <w:szCs w:val="22"/>
        </w:rPr>
        <w:t>,</w:t>
      </w:r>
      <w:r w:rsidRPr="00B0388B">
        <w:rPr>
          <w:rFonts w:ascii="Arial" w:hAnsi="Arial" w:cs="Arial"/>
          <w:sz w:val="22"/>
          <w:szCs w:val="22"/>
        </w:rPr>
        <w:t xml:space="preserve"> zam. </w:t>
      </w:r>
      <w:r w:rsidR="008C78A1">
        <w:rPr>
          <w:rFonts w:ascii="Arial" w:hAnsi="Arial" w:cs="Arial"/>
          <w:sz w:val="22"/>
          <w:szCs w:val="22"/>
        </w:rPr>
        <w:t xml:space="preserve">zamieszkały w Warszawie, adres 00-571 Warszawa </w:t>
      </w:r>
      <w:r w:rsidR="008C78A1" w:rsidRPr="00B0388B">
        <w:rPr>
          <w:rFonts w:ascii="Arial" w:hAnsi="Arial" w:cs="Arial"/>
          <w:sz w:val="22"/>
          <w:szCs w:val="22"/>
        </w:rPr>
        <w:t>przy ul</w:t>
      </w:r>
      <w:r w:rsidR="008C78A1">
        <w:rPr>
          <w:rFonts w:ascii="Arial" w:hAnsi="Arial" w:cs="Arial"/>
          <w:sz w:val="22"/>
          <w:szCs w:val="22"/>
        </w:rPr>
        <w:t xml:space="preserve">. Mickiewicza 12 </w:t>
      </w:r>
      <w:r w:rsidR="008C78A1" w:rsidRPr="00B0388B">
        <w:rPr>
          <w:rFonts w:ascii="Arial" w:hAnsi="Arial" w:cs="Arial"/>
          <w:sz w:val="22"/>
          <w:szCs w:val="22"/>
        </w:rPr>
        <w:t xml:space="preserve">numer </w:t>
      </w:r>
      <w:proofErr w:type="spellStart"/>
      <w:r w:rsidR="008C78A1" w:rsidRPr="00B0388B">
        <w:rPr>
          <w:rFonts w:ascii="Arial" w:hAnsi="Arial" w:cs="Arial"/>
          <w:sz w:val="22"/>
          <w:szCs w:val="22"/>
        </w:rPr>
        <w:t>dow</w:t>
      </w:r>
      <w:proofErr w:type="spellEnd"/>
      <w:r w:rsidR="008C78A1" w:rsidRPr="00B0388B">
        <w:rPr>
          <w:rFonts w:ascii="Arial" w:hAnsi="Arial" w:cs="Arial"/>
          <w:sz w:val="22"/>
          <w:szCs w:val="22"/>
        </w:rPr>
        <w:t>. os.</w:t>
      </w:r>
      <w:r w:rsidR="008C78A1">
        <w:rPr>
          <w:rFonts w:ascii="Arial" w:hAnsi="Arial" w:cs="Arial"/>
          <w:sz w:val="22"/>
          <w:szCs w:val="22"/>
        </w:rPr>
        <w:t xml:space="preserve"> AGB 4</w:t>
      </w:r>
      <w:r w:rsidR="005E58F6">
        <w:rPr>
          <w:rFonts w:ascii="Arial" w:hAnsi="Arial" w:cs="Arial"/>
          <w:sz w:val="22"/>
          <w:szCs w:val="22"/>
        </w:rPr>
        <w:t>6</w:t>
      </w:r>
      <w:r w:rsidR="008C78A1">
        <w:rPr>
          <w:rFonts w:ascii="Arial" w:hAnsi="Arial" w:cs="Arial"/>
          <w:sz w:val="22"/>
          <w:szCs w:val="22"/>
        </w:rPr>
        <w:t xml:space="preserve">971 wydanym przez Prezydenta m. st. Warszawy, ważnym do dnia 28 </w:t>
      </w:r>
      <w:r w:rsidR="005E58F6">
        <w:rPr>
          <w:rFonts w:ascii="Arial" w:hAnsi="Arial" w:cs="Arial"/>
          <w:sz w:val="22"/>
          <w:szCs w:val="22"/>
        </w:rPr>
        <w:t xml:space="preserve">lutego </w:t>
      </w:r>
      <w:r w:rsidR="008C78A1">
        <w:rPr>
          <w:rFonts w:ascii="Arial" w:hAnsi="Arial" w:cs="Arial"/>
          <w:sz w:val="22"/>
          <w:szCs w:val="22"/>
        </w:rPr>
        <w:t xml:space="preserve"> 20</w:t>
      </w:r>
      <w:r w:rsidR="00D8642F">
        <w:rPr>
          <w:rFonts w:ascii="Arial" w:hAnsi="Arial" w:cs="Arial"/>
          <w:sz w:val="22"/>
          <w:szCs w:val="22"/>
        </w:rPr>
        <w:t>22</w:t>
      </w:r>
      <w:r w:rsidR="008C78A1">
        <w:rPr>
          <w:rFonts w:ascii="Arial" w:hAnsi="Arial" w:cs="Arial"/>
          <w:sz w:val="22"/>
          <w:szCs w:val="22"/>
        </w:rPr>
        <w:t xml:space="preserve"> r. ;  Pesel 81020204697 </w:t>
      </w:r>
      <w:r w:rsidR="008C78A1" w:rsidRPr="00B0388B">
        <w:rPr>
          <w:rFonts w:ascii="Arial" w:hAnsi="Arial" w:cs="Arial"/>
          <w:sz w:val="22"/>
          <w:szCs w:val="22"/>
        </w:rPr>
        <w:t>zwan</w:t>
      </w:r>
      <w:r w:rsidR="008C78A1">
        <w:rPr>
          <w:rFonts w:ascii="Arial" w:hAnsi="Arial" w:cs="Arial"/>
          <w:sz w:val="22"/>
          <w:szCs w:val="22"/>
        </w:rPr>
        <w:t xml:space="preserve">ą </w:t>
      </w:r>
      <w:r w:rsidRPr="00B0388B">
        <w:rPr>
          <w:rFonts w:ascii="Arial" w:hAnsi="Arial" w:cs="Arial"/>
          <w:sz w:val="22"/>
          <w:szCs w:val="22"/>
        </w:rPr>
        <w:t>dalej „Obdarowan</w:t>
      </w:r>
      <w:r w:rsidR="00F27F70">
        <w:rPr>
          <w:rFonts w:ascii="Arial" w:hAnsi="Arial" w:cs="Arial"/>
          <w:sz w:val="22"/>
          <w:szCs w:val="22"/>
        </w:rPr>
        <w:t>ym</w:t>
      </w:r>
      <w:r w:rsidRPr="00B0388B">
        <w:rPr>
          <w:rFonts w:ascii="Arial" w:hAnsi="Arial" w:cs="Arial"/>
          <w:sz w:val="22"/>
          <w:szCs w:val="22"/>
        </w:rPr>
        <w:t>”.</w:t>
      </w:r>
    </w:p>
    <w:p w14:paraId="10A75946" w14:textId="77777777" w:rsidR="007C11A8" w:rsidRPr="00B0388B" w:rsidRDefault="007C11A8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7F1889E0" w14:textId="77777777" w:rsidR="007C11A8" w:rsidRPr="00B0388B" w:rsidRDefault="007C11A8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 w:rsidRPr="00B0388B">
        <w:rPr>
          <w:rFonts w:ascii="Arial" w:hAnsi="Arial" w:cs="Arial"/>
          <w:b/>
          <w:bCs/>
          <w:sz w:val="22"/>
          <w:szCs w:val="22"/>
        </w:rPr>
        <w:t>§ 1</w:t>
      </w:r>
    </w:p>
    <w:p w14:paraId="6B6E4019" w14:textId="77777777" w:rsidR="007C11A8" w:rsidRPr="00B0388B" w:rsidRDefault="007C11A8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7F9DE44E" w14:textId="1B50B9CD" w:rsidR="007C11A8" w:rsidRPr="00B0388B" w:rsidRDefault="007C11A8" w:rsidP="00D661D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0388B">
        <w:rPr>
          <w:rFonts w:ascii="Arial" w:hAnsi="Arial" w:cs="Arial"/>
          <w:sz w:val="22"/>
          <w:szCs w:val="22"/>
        </w:rPr>
        <w:t xml:space="preserve">Darczyńca daruje </w:t>
      </w:r>
      <w:r w:rsidR="00D661D8" w:rsidRPr="00B0388B">
        <w:rPr>
          <w:rFonts w:ascii="Arial" w:hAnsi="Arial" w:cs="Arial"/>
          <w:sz w:val="22"/>
          <w:szCs w:val="22"/>
        </w:rPr>
        <w:t>swo</w:t>
      </w:r>
      <w:r w:rsidR="007E4257">
        <w:rPr>
          <w:rFonts w:ascii="Arial" w:hAnsi="Arial" w:cs="Arial"/>
          <w:sz w:val="22"/>
          <w:szCs w:val="22"/>
        </w:rPr>
        <w:t>j</w:t>
      </w:r>
      <w:r w:rsidR="00F27F70">
        <w:rPr>
          <w:rFonts w:ascii="Arial" w:hAnsi="Arial" w:cs="Arial"/>
          <w:sz w:val="22"/>
          <w:szCs w:val="22"/>
        </w:rPr>
        <w:t xml:space="preserve">emu tylko synowi będącemu w związku małżeńskim </w:t>
      </w:r>
      <w:r w:rsidR="007E4257">
        <w:rPr>
          <w:rFonts w:ascii="Arial" w:hAnsi="Arial" w:cs="Arial"/>
          <w:sz w:val="22"/>
          <w:szCs w:val="22"/>
        </w:rPr>
        <w:t xml:space="preserve"> </w:t>
      </w:r>
      <w:r w:rsidR="00D661D8" w:rsidRPr="00B0388B">
        <w:rPr>
          <w:rFonts w:ascii="Arial" w:hAnsi="Arial" w:cs="Arial"/>
          <w:sz w:val="22"/>
          <w:szCs w:val="22"/>
        </w:rPr>
        <w:t>k</w:t>
      </w:r>
      <w:r w:rsidRPr="00B0388B">
        <w:rPr>
          <w:rFonts w:ascii="Arial" w:hAnsi="Arial" w:cs="Arial"/>
          <w:sz w:val="22"/>
          <w:szCs w:val="22"/>
        </w:rPr>
        <w:t xml:space="preserve">wotę w wysokości </w:t>
      </w:r>
      <w:r w:rsidR="00490F28">
        <w:rPr>
          <w:rFonts w:ascii="Arial" w:hAnsi="Arial" w:cs="Arial"/>
          <w:sz w:val="22"/>
          <w:szCs w:val="22"/>
        </w:rPr>
        <w:t>2</w:t>
      </w:r>
      <w:r w:rsidR="00324A2B">
        <w:rPr>
          <w:rFonts w:ascii="Arial" w:hAnsi="Arial" w:cs="Arial"/>
          <w:sz w:val="22"/>
          <w:szCs w:val="22"/>
        </w:rPr>
        <w:t xml:space="preserve">50.000,00 </w:t>
      </w:r>
      <w:r w:rsidR="00DD194D">
        <w:rPr>
          <w:rFonts w:ascii="Arial" w:hAnsi="Arial" w:cs="Arial"/>
          <w:sz w:val="22"/>
          <w:szCs w:val="22"/>
        </w:rPr>
        <w:t>zł</w:t>
      </w:r>
      <w:r w:rsidR="00324A2B">
        <w:rPr>
          <w:rFonts w:ascii="Arial" w:hAnsi="Arial" w:cs="Arial"/>
          <w:sz w:val="22"/>
          <w:szCs w:val="22"/>
        </w:rPr>
        <w:t xml:space="preserve">. </w:t>
      </w:r>
      <w:r w:rsidRPr="00B0388B">
        <w:rPr>
          <w:rFonts w:ascii="Arial" w:hAnsi="Arial" w:cs="Arial"/>
          <w:sz w:val="22"/>
          <w:szCs w:val="22"/>
        </w:rPr>
        <w:t>(słownie</w:t>
      </w:r>
      <w:r w:rsidR="00D661D8" w:rsidRPr="00B0388B">
        <w:rPr>
          <w:rFonts w:ascii="Arial" w:hAnsi="Arial" w:cs="Arial"/>
          <w:sz w:val="22"/>
          <w:szCs w:val="22"/>
        </w:rPr>
        <w:t>:</w:t>
      </w:r>
      <w:r w:rsidRPr="00B0388B">
        <w:rPr>
          <w:rFonts w:ascii="Arial" w:hAnsi="Arial" w:cs="Arial"/>
          <w:sz w:val="22"/>
          <w:szCs w:val="22"/>
        </w:rPr>
        <w:t xml:space="preserve"> </w:t>
      </w:r>
      <w:r w:rsidR="00490F28">
        <w:rPr>
          <w:rFonts w:ascii="Arial" w:hAnsi="Arial" w:cs="Arial"/>
          <w:sz w:val="22"/>
          <w:szCs w:val="22"/>
        </w:rPr>
        <w:t xml:space="preserve">dwieście </w:t>
      </w:r>
      <w:r w:rsidR="00324A2B">
        <w:rPr>
          <w:rFonts w:ascii="Arial" w:hAnsi="Arial" w:cs="Arial"/>
          <w:sz w:val="22"/>
          <w:szCs w:val="22"/>
        </w:rPr>
        <w:t xml:space="preserve">pięćdziesiąt tysięcy </w:t>
      </w:r>
      <w:r w:rsidR="00833113">
        <w:rPr>
          <w:rFonts w:ascii="Arial" w:hAnsi="Arial" w:cs="Arial"/>
          <w:sz w:val="22"/>
          <w:szCs w:val="22"/>
        </w:rPr>
        <w:t>złotych)</w:t>
      </w:r>
      <w:r w:rsidR="00D661D8" w:rsidRPr="00B0388B">
        <w:rPr>
          <w:rFonts w:ascii="Arial" w:hAnsi="Arial" w:cs="Arial"/>
          <w:sz w:val="22"/>
          <w:szCs w:val="22"/>
        </w:rPr>
        <w:t xml:space="preserve">. </w:t>
      </w:r>
      <w:r w:rsidRPr="00B0388B">
        <w:rPr>
          <w:rFonts w:ascii="Arial" w:hAnsi="Arial" w:cs="Arial"/>
          <w:sz w:val="22"/>
          <w:szCs w:val="22"/>
        </w:rPr>
        <w:t xml:space="preserve"> </w:t>
      </w:r>
    </w:p>
    <w:p w14:paraId="674C93D2" w14:textId="77777777" w:rsidR="007C11A8" w:rsidRPr="00B0388B" w:rsidRDefault="007C11A8" w:rsidP="0078079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0388B">
        <w:rPr>
          <w:rFonts w:ascii="Arial" w:hAnsi="Arial" w:cs="Arial"/>
          <w:sz w:val="22"/>
          <w:szCs w:val="22"/>
        </w:rPr>
        <w:t>Obdarowan</w:t>
      </w:r>
      <w:r w:rsidR="00F27F70">
        <w:rPr>
          <w:rFonts w:ascii="Arial" w:hAnsi="Arial" w:cs="Arial"/>
          <w:sz w:val="22"/>
          <w:szCs w:val="22"/>
        </w:rPr>
        <w:t>y</w:t>
      </w:r>
      <w:r w:rsidRPr="00B0388B">
        <w:rPr>
          <w:rFonts w:ascii="Arial" w:hAnsi="Arial" w:cs="Arial"/>
          <w:sz w:val="22"/>
          <w:szCs w:val="22"/>
        </w:rPr>
        <w:t xml:space="preserve"> oświadcza, że kwotę darowizny przyjmuje.</w:t>
      </w:r>
      <w:r w:rsidR="0078079E" w:rsidRPr="00B0388B">
        <w:rPr>
          <w:rFonts w:ascii="Arial" w:hAnsi="Arial" w:cs="Arial"/>
          <w:sz w:val="22"/>
          <w:szCs w:val="22"/>
        </w:rPr>
        <w:t xml:space="preserve"> </w:t>
      </w:r>
    </w:p>
    <w:p w14:paraId="7FCFD97E" w14:textId="77777777" w:rsidR="007C11A8" w:rsidRPr="00B0388B" w:rsidRDefault="007C11A8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63D7C0CA" w14:textId="77777777" w:rsidR="007C11A8" w:rsidRPr="00714E56" w:rsidRDefault="00B0388B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 w:rsidRPr="00714E56">
        <w:rPr>
          <w:rFonts w:ascii="Arial" w:hAnsi="Arial" w:cs="Arial"/>
          <w:b/>
          <w:bCs/>
          <w:sz w:val="22"/>
          <w:szCs w:val="22"/>
        </w:rPr>
        <w:t>§ 2</w:t>
      </w:r>
    </w:p>
    <w:p w14:paraId="670BF5B3" w14:textId="77777777" w:rsidR="007C11A8" w:rsidRPr="00714E56" w:rsidRDefault="007C11A8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50DDB895" w14:textId="77777777" w:rsidR="007C11A8" w:rsidRPr="00714E56" w:rsidRDefault="007C11A8" w:rsidP="007C11A8">
      <w:pPr>
        <w:ind w:left="225"/>
        <w:jc w:val="both"/>
        <w:rPr>
          <w:rFonts w:ascii="Arial" w:hAnsi="Arial" w:cs="Arial"/>
          <w:sz w:val="22"/>
          <w:szCs w:val="22"/>
        </w:rPr>
      </w:pPr>
      <w:r w:rsidRPr="00714E56">
        <w:rPr>
          <w:rFonts w:ascii="Arial" w:hAnsi="Arial" w:cs="Arial"/>
          <w:sz w:val="22"/>
          <w:szCs w:val="22"/>
        </w:rPr>
        <w:t>Strony oświadczają, iż niniejsza darowizna jest pierwszą darowizną mi</w:t>
      </w:r>
      <w:r w:rsidR="008D057B">
        <w:rPr>
          <w:rFonts w:ascii="Arial" w:hAnsi="Arial" w:cs="Arial"/>
          <w:sz w:val="22"/>
          <w:szCs w:val="22"/>
        </w:rPr>
        <w:t>ę</w:t>
      </w:r>
      <w:r w:rsidRPr="00714E56">
        <w:rPr>
          <w:rFonts w:ascii="Arial" w:hAnsi="Arial" w:cs="Arial"/>
          <w:sz w:val="22"/>
          <w:szCs w:val="22"/>
        </w:rPr>
        <w:t xml:space="preserve">dzy stronami w ostatnich 5 latach. </w:t>
      </w:r>
    </w:p>
    <w:p w14:paraId="64FEFCD3" w14:textId="77777777" w:rsidR="002D6B79" w:rsidRPr="00714E56" w:rsidRDefault="002D6B79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25361C8C" w14:textId="77777777" w:rsidR="007C11A8" w:rsidRPr="00B0388B" w:rsidRDefault="00B0388B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§ 3</w:t>
      </w:r>
    </w:p>
    <w:p w14:paraId="27F1DDEF" w14:textId="77777777" w:rsidR="007C11A8" w:rsidRPr="00B0388B" w:rsidRDefault="007C11A8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</w:p>
    <w:p w14:paraId="04DBE0B6" w14:textId="77777777" w:rsidR="007C11A8" w:rsidRDefault="00782F09" w:rsidP="007C11A8">
      <w:pPr>
        <w:ind w:left="2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Kwota darowizny zostaje przekazana na rachunek bankowy Obdarowanego nr 00-0011-8818-1818-8009-8765-432</w:t>
      </w:r>
      <w:r w:rsidR="003F188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</w:t>
      </w:r>
      <w:r w:rsidR="00F27F70">
        <w:rPr>
          <w:rFonts w:ascii="Arial" w:hAnsi="Arial" w:cs="Arial"/>
          <w:sz w:val="22"/>
          <w:szCs w:val="22"/>
        </w:rPr>
        <w:t>w dniu zawarcia niniejszej umowy.</w:t>
      </w:r>
    </w:p>
    <w:p w14:paraId="02485327" w14:textId="77777777" w:rsidR="00163488" w:rsidRPr="00B0388B" w:rsidRDefault="00163488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2BAAB904" w14:textId="77777777" w:rsidR="007C11A8" w:rsidRPr="00B0388B" w:rsidRDefault="00B0388B" w:rsidP="007C11A8">
      <w:pPr>
        <w:ind w:left="225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§ 4</w:t>
      </w:r>
    </w:p>
    <w:p w14:paraId="4F888A9F" w14:textId="77777777" w:rsidR="007C11A8" w:rsidRPr="00B0388B" w:rsidRDefault="007C11A8" w:rsidP="007C11A8">
      <w:pPr>
        <w:ind w:left="225"/>
        <w:jc w:val="center"/>
        <w:rPr>
          <w:rFonts w:ascii="Arial" w:hAnsi="Arial" w:cs="Arial"/>
          <w:sz w:val="22"/>
          <w:szCs w:val="22"/>
        </w:rPr>
      </w:pPr>
    </w:p>
    <w:p w14:paraId="443AE122" w14:textId="77777777" w:rsidR="007C11A8" w:rsidRPr="00B0388B" w:rsidRDefault="007C11A8" w:rsidP="00B0388B">
      <w:pPr>
        <w:numPr>
          <w:ilvl w:val="0"/>
          <w:numId w:val="2"/>
        </w:numPr>
        <w:tabs>
          <w:tab w:val="clear" w:pos="945"/>
          <w:tab w:val="num" w:pos="540"/>
        </w:tabs>
        <w:ind w:left="540"/>
        <w:jc w:val="both"/>
        <w:rPr>
          <w:rFonts w:ascii="Arial" w:hAnsi="Arial" w:cs="Arial"/>
          <w:sz w:val="22"/>
          <w:szCs w:val="22"/>
        </w:rPr>
      </w:pPr>
      <w:r w:rsidRPr="00B0388B">
        <w:rPr>
          <w:rFonts w:ascii="Arial" w:hAnsi="Arial" w:cs="Arial"/>
          <w:sz w:val="22"/>
          <w:szCs w:val="22"/>
        </w:rPr>
        <w:t>W sprawach nie uregulowanych niniejszą umową, a dotyczących jej przedmiotu, stosuje się przepisy kodeksu cywilnego.</w:t>
      </w:r>
    </w:p>
    <w:p w14:paraId="21DBBA5B" w14:textId="77777777" w:rsidR="007C11A8" w:rsidRPr="00B0388B" w:rsidRDefault="007C11A8" w:rsidP="00B0388B">
      <w:pPr>
        <w:numPr>
          <w:ilvl w:val="0"/>
          <w:numId w:val="2"/>
        </w:numPr>
        <w:tabs>
          <w:tab w:val="clear" w:pos="945"/>
          <w:tab w:val="num" w:pos="540"/>
        </w:tabs>
        <w:ind w:left="540"/>
        <w:jc w:val="both"/>
        <w:rPr>
          <w:rFonts w:ascii="Arial" w:hAnsi="Arial" w:cs="Arial"/>
          <w:sz w:val="22"/>
          <w:szCs w:val="22"/>
        </w:rPr>
      </w:pPr>
      <w:r w:rsidRPr="00B0388B">
        <w:rPr>
          <w:rFonts w:ascii="Arial" w:hAnsi="Arial" w:cs="Arial"/>
          <w:sz w:val="22"/>
          <w:szCs w:val="22"/>
        </w:rPr>
        <w:t>Umowę sporządzono w dwóch jednobrzmiących egzemplarzach, po jednym egzemplarzu dla każdej ze Stron.</w:t>
      </w:r>
    </w:p>
    <w:p w14:paraId="05890935" w14:textId="77777777" w:rsidR="007C11A8" w:rsidRDefault="007C11A8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7532E90D" w14:textId="77777777" w:rsidR="00833113" w:rsidRDefault="00833113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3D239DC5" w14:textId="77777777" w:rsidR="00833113" w:rsidRPr="00B0388B" w:rsidRDefault="00833113" w:rsidP="007C11A8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1A6866C2" w14:textId="77777777" w:rsidR="007C11A8" w:rsidRPr="00B0388B" w:rsidRDefault="007C11A8" w:rsidP="007C11A8">
      <w:pPr>
        <w:ind w:left="225"/>
        <w:jc w:val="both"/>
        <w:rPr>
          <w:rFonts w:ascii="Arial" w:hAnsi="Arial" w:cs="Arial"/>
          <w:b/>
          <w:bCs/>
          <w:sz w:val="22"/>
          <w:szCs w:val="22"/>
        </w:rPr>
      </w:pPr>
      <w:r w:rsidRPr="00B0388B">
        <w:rPr>
          <w:rFonts w:ascii="Arial" w:hAnsi="Arial" w:cs="Arial"/>
          <w:b/>
          <w:bCs/>
          <w:sz w:val="22"/>
          <w:szCs w:val="22"/>
        </w:rPr>
        <w:t>............................................                                                       .........................................</w:t>
      </w:r>
    </w:p>
    <w:p w14:paraId="323AF24D" w14:textId="77777777" w:rsidR="007C11A8" w:rsidRPr="00B0388B" w:rsidRDefault="007C11A8" w:rsidP="007C11A8">
      <w:pPr>
        <w:ind w:left="225"/>
        <w:jc w:val="both"/>
        <w:rPr>
          <w:rFonts w:ascii="Arial" w:hAnsi="Arial" w:cs="Arial"/>
          <w:b/>
          <w:bCs/>
          <w:sz w:val="22"/>
          <w:szCs w:val="22"/>
        </w:rPr>
      </w:pPr>
      <w:r w:rsidRPr="00B0388B">
        <w:rPr>
          <w:rFonts w:ascii="Arial" w:hAnsi="Arial" w:cs="Arial"/>
          <w:b/>
          <w:bCs/>
          <w:sz w:val="22"/>
          <w:szCs w:val="22"/>
        </w:rPr>
        <w:t>        Darczyńca                                                                                 Obdarowan</w:t>
      </w:r>
      <w:r w:rsidR="00F27F70">
        <w:rPr>
          <w:rFonts w:ascii="Arial" w:hAnsi="Arial" w:cs="Arial"/>
          <w:b/>
          <w:bCs/>
          <w:sz w:val="22"/>
          <w:szCs w:val="22"/>
        </w:rPr>
        <w:t>y</w:t>
      </w:r>
    </w:p>
    <w:p w14:paraId="1A6E34F0" w14:textId="77777777" w:rsidR="00382137" w:rsidRDefault="00382137">
      <w:pPr>
        <w:rPr>
          <w:rFonts w:ascii="Arial" w:hAnsi="Arial" w:cs="Arial"/>
          <w:sz w:val="22"/>
          <w:szCs w:val="22"/>
        </w:rPr>
      </w:pPr>
    </w:p>
    <w:p w14:paraId="10F1A12C" w14:textId="0CADE4FE" w:rsidR="00736947" w:rsidRDefault="00736947">
      <w:pPr>
        <w:rPr>
          <w:rFonts w:ascii="Arial" w:hAnsi="Arial" w:cs="Arial"/>
          <w:sz w:val="22"/>
          <w:szCs w:val="22"/>
        </w:rPr>
      </w:pPr>
    </w:p>
    <w:p w14:paraId="0636A743" w14:textId="79BB77A6" w:rsidR="00584BEA" w:rsidRDefault="00584BEA">
      <w:pPr>
        <w:rPr>
          <w:rFonts w:ascii="Arial" w:hAnsi="Arial" w:cs="Arial"/>
          <w:sz w:val="22"/>
          <w:szCs w:val="22"/>
        </w:rPr>
      </w:pPr>
    </w:p>
    <w:p w14:paraId="27EA11FE" w14:textId="59C10C52" w:rsidR="00584BEA" w:rsidRDefault="00584BEA">
      <w:pPr>
        <w:rPr>
          <w:rFonts w:ascii="Arial" w:hAnsi="Arial" w:cs="Arial"/>
          <w:sz w:val="22"/>
          <w:szCs w:val="22"/>
        </w:rPr>
      </w:pPr>
    </w:p>
    <w:p w14:paraId="5E0297D4" w14:textId="24878B64" w:rsidR="00584BEA" w:rsidRDefault="00584BEA">
      <w:pPr>
        <w:rPr>
          <w:rFonts w:ascii="Arial" w:hAnsi="Arial" w:cs="Arial"/>
          <w:sz w:val="22"/>
          <w:szCs w:val="22"/>
        </w:rPr>
      </w:pPr>
    </w:p>
    <w:p w14:paraId="7EFB39F7" w14:textId="06EBB33E" w:rsidR="00584BEA" w:rsidRDefault="00584BEA">
      <w:pPr>
        <w:rPr>
          <w:rFonts w:ascii="Arial" w:hAnsi="Arial" w:cs="Arial"/>
          <w:sz w:val="22"/>
          <w:szCs w:val="22"/>
        </w:rPr>
      </w:pPr>
    </w:p>
    <w:p w14:paraId="1B480467" w14:textId="77777777" w:rsidR="00584BEA" w:rsidRDefault="00584BEA">
      <w:pPr>
        <w:rPr>
          <w:rFonts w:ascii="Arial" w:hAnsi="Arial" w:cs="Arial"/>
          <w:sz w:val="22"/>
          <w:szCs w:val="22"/>
        </w:rPr>
      </w:pPr>
    </w:p>
    <w:p w14:paraId="20C0E17D" w14:textId="77777777" w:rsidR="005A7A68" w:rsidRDefault="005A7A68">
      <w:pPr>
        <w:rPr>
          <w:rFonts w:ascii="Arial" w:hAnsi="Arial" w:cs="Arial"/>
          <w:sz w:val="22"/>
          <w:szCs w:val="22"/>
        </w:rPr>
      </w:pPr>
    </w:p>
    <w:p w14:paraId="22973D59" w14:textId="77777777" w:rsidR="005A7A68" w:rsidRDefault="005A7A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Komentarz </w:t>
      </w:r>
    </w:p>
    <w:p w14:paraId="1F193702" w14:textId="77777777" w:rsidR="005A7A68" w:rsidRDefault="005A7A68">
      <w:pPr>
        <w:rPr>
          <w:rFonts w:ascii="Arial" w:hAnsi="Arial" w:cs="Arial"/>
          <w:sz w:val="22"/>
          <w:szCs w:val="22"/>
        </w:rPr>
      </w:pPr>
    </w:p>
    <w:p w14:paraId="255FF9A1" w14:textId="77777777" w:rsidR="00DC4B08" w:rsidRPr="00EB4C95" w:rsidRDefault="00DC4B08" w:rsidP="00DC4B08">
      <w:pPr>
        <w:rPr>
          <w:rFonts w:ascii="Arial" w:hAnsi="Arial" w:cs="Arial"/>
          <w:b/>
          <w:sz w:val="20"/>
          <w:szCs w:val="20"/>
        </w:rPr>
      </w:pPr>
      <w:r w:rsidRPr="00EB4C95">
        <w:rPr>
          <w:rFonts w:ascii="Arial" w:hAnsi="Arial" w:cs="Arial"/>
          <w:b/>
          <w:color w:val="000000"/>
          <w:sz w:val="20"/>
          <w:szCs w:val="20"/>
        </w:rPr>
        <w:t>USTAWA z dnia 28 lipca 1983 r. o podatku od spadków i darowizn</w:t>
      </w:r>
    </w:p>
    <w:p w14:paraId="6DF86E47" w14:textId="77777777" w:rsidR="009A6224" w:rsidRPr="009A6224" w:rsidRDefault="009A6224" w:rsidP="009A6224">
      <w:pPr>
        <w:spacing w:before="320"/>
        <w:rPr>
          <w:rFonts w:ascii="Arial" w:hAnsi="Arial" w:cs="Arial"/>
          <w:sz w:val="20"/>
          <w:szCs w:val="20"/>
        </w:rPr>
      </w:pPr>
      <w:r w:rsidRPr="009A6224">
        <w:rPr>
          <w:rFonts w:ascii="Arial" w:hAnsi="Arial" w:cs="Arial"/>
          <w:sz w:val="20"/>
          <w:szCs w:val="20"/>
        </w:rPr>
        <w:t>Art. 4a. [Zwolnienia podmiotowe]</w:t>
      </w:r>
    </w:p>
    <w:p w14:paraId="6EAB7CFF" w14:textId="77777777" w:rsidR="009A6224" w:rsidRPr="009A6224" w:rsidRDefault="009A6224" w:rsidP="009A6224">
      <w:pPr>
        <w:rPr>
          <w:rFonts w:ascii="Arial" w:hAnsi="Arial" w:cs="Arial"/>
          <w:sz w:val="20"/>
          <w:szCs w:val="20"/>
        </w:rPr>
      </w:pPr>
      <w:r w:rsidRPr="009A6224">
        <w:rPr>
          <w:rFonts w:ascii="Arial" w:hAnsi="Arial" w:cs="Arial"/>
          <w:sz w:val="20"/>
          <w:szCs w:val="20"/>
        </w:rPr>
        <w:t xml:space="preserve">1. Zwalnia się od podatku nabycie własności rzeczy lub praw majątkowych przez </w:t>
      </w:r>
      <w:r w:rsidRPr="009A6224">
        <w:rPr>
          <w:rFonts w:ascii="Arial" w:hAnsi="Arial" w:cs="Arial"/>
          <w:b/>
          <w:sz w:val="20"/>
          <w:szCs w:val="20"/>
          <w:u w:val="single"/>
        </w:rPr>
        <w:t>małżonka, zstępnych, wstępnych, pasierba, rodzeństwo, ojczyma i macochę,</w:t>
      </w:r>
      <w:r w:rsidRPr="009A6224">
        <w:rPr>
          <w:rFonts w:ascii="Arial" w:hAnsi="Arial" w:cs="Arial"/>
          <w:sz w:val="20"/>
          <w:szCs w:val="20"/>
        </w:rPr>
        <w:t xml:space="preserve"> jeżeli:</w:t>
      </w:r>
    </w:p>
    <w:p w14:paraId="43E72F5C" w14:textId="77777777" w:rsidR="009A6224" w:rsidRPr="009A6224" w:rsidRDefault="009A6224" w:rsidP="009A6224">
      <w:pPr>
        <w:spacing w:before="107"/>
        <w:ind w:left="373"/>
        <w:rPr>
          <w:rFonts w:ascii="Arial" w:hAnsi="Arial" w:cs="Arial"/>
          <w:sz w:val="20"/>
          <w:szCs w:val="20"/>
        </w:rPr>
      </w:pPr>
      <w:bookmarkStart w:id="0" w:name="art(4(a))ust(1)pkt(1)"/>
      <w:r w:rsidRPr="009A6224">
        <w:rPr>
          <w:rFonts w:ascii="Arial" w:hAnsi="Arial" w:cs="Arial"/>
          <w:sz w:val="20"/>
          <w:szCs w:val="20"/>
        </w:rPr>
        <w:t xml:space="preserve">1)  zgłoszą nabycie własności rzeczy lub praw majątkowych właściwemu naczelnikowi </w:t>
      </w:r>
      <w:r w:rsidRPr="009A6224">
        <w:rPr>
          <w:rFonts w:ascii="Arial" w:hAnsi="Arial" w:cs="Arial"/>
          <w:b/>
          <w:sz w:val="20"/>
          <w:szCs w:val="20"/>
          <w:u w:val="single"/>
        </w:rPr>
        <w:t>urzędu skarbowego w terminie 6 miesięcy od dnia powstania obowiązku podatkowego</w:t>
      </w:r>
      <w:r w:rsidRPr="009A6224">
        <w:rPr>
          <w:rFonts w:ascii="Arial" w:hAnsi="Arial" w:cs="Arial"/>
          <w:sz w:val="20"/>
          <w:szCs w:val="20"/>
        </w:rPr>
        <w:t xml:space="preserve"> powstałego na podstawie art. 6 ust. 1 pkt 2-8 i ust. 2, a w przypadku nabycia w drodze dziedziczenia w terminie 6 miesięcy od dnia uprawomocnienia się orzeczenia sądu stwierdzającego nabycie spadku, z zastrzeżeniem ust. 2 i 4, oraz</w:t>
      </w:r>
    </w:p>
    <w:p w14:paraId="1710A57B" w14:textId="77777777" w:rsidR="009A6224" w:rsidRPr="009A6224" w:rsidRDefault="009A6224" w:rsidP="009A6224">
      <w:pPr>
        <w:spacing w:before="107"/>
        <w:ind w:left="373"/>
        <w:rPr>
          <w:rFonts w:ascii="Arial" w:hAnsi="Arial" w:cs="Arial"/>
          <w:sz w:val="20"/>
          <w:szCs w:val="20"/>
        </w:rPr>
      </w:pPr>
      <w:bookmarkStart w:id="1" w:name="art(4(a))ust(1)pkt(2)"/>
      <w:bookmarkEnd w:id="0"/>
      <w:r w:rsidRPr="009A6224">
        <w:rPr>
          <w:rFonts w:ascii="Arial" w:hAnsi="Arial" w:cs="Arial"/>
          <w:sz w:val="20"/>
          <w:szCs w:val="20"/>
        </w:rPr>
        <w:t>2)  w przypadku gdy przedmiotem nabycia tytułem darowizny lub polecenia darczyńcy są środki pieniężne, a wartość majątku nabytego łącznie od tej samej osoby w okresie 5 lat poprzedzających rok, w którym nastąpiło ostatnie nabycie, doliczona do wartości rzeczy i praw majątkowych ostatnio nabytych, przekracza kwotę określoną w art. 9 ust. 1 pkt 1 - udokumentują ich otrzymanie dowodem przekazania na rachunek płatniczy nabywcy, na jego rachunek, inny niż płatniczy, w banku lub spółdzielczej kasie oszczędnościowo-kredytowej lub przekazem pocztowym.</w:t>
      </w:r>
    </w:p>
    <w:p w14:paraId="74A916FA" w14:textId="77777777" w:rsidR="009A6224" w:rsidRPr="009A6224" w:rsidRDefault="009A6224" w:rsidP="009A6224">
      <w:pPr>
        <w:rPr>
          <w:rFonts w:ascii="Arial" w:hAnsi="Arial" w:cs="Arial"/>
          <w:sz w:val="20"/>
          <w:szCs w:val="20"/>
        </w:rPr>
      </w:pPr>
      <w:bookmarkStart w:id="2" w:name="art(4(a))ust(1)"/>
      <w:bookmarkEnd w:id="1"/>
      <w:bookmarkEnd w:id="2"/>
    </w:p>
    <w:p w14:paraId="15E376F9" w14:textId="77777777" w:rsidR="008300D1" w:rsidRPr="00244986" w:rsidRDefault="008300D1" w:rsidP="008300D1">
      <w:pPr>
        <w:spacing w:before="146"/>
        <w:rPr>
          <w:b/>
          <w:color w:val="FF0000"/>
        </w:rPr>
      </w:pPr>
      <w:r w:rsidRPr="00244986">
        <w:rPr>
          <w:b/>
          <w:color w:val="FF0000"/>
        </w:rPr>
        <w:t>Ustawa  z dnia 26 lipca 1991 r. o podatku dochodowym od osób fizycznych</w:t>
      </w:r>
    </w:p>
    <w:p w14:paraId="5257F590" w14:textId="77777777" w:rsidR="00796F70" w:rsidRPr="00244986" w:rsidRDefault="00796F70">
      <w:pPr>
        <w:rPr>
          <w:rFonts w:ascii="Arial" w:hAnsi="Arial" w:cs="Arial"/>
          <w:color w:val="FF0000"/>
          <w:sz w:val="20"/>
          <w:szCs w:val="20"/>
        </w:rPr>
      </w:pPr>
    </w:p>
    <w:p w14:paraId="13747D9E" w14:textId="77777777" w:rsidR="00796F70" w:rsidRPr="00244986" w:rsidRDefault="00796F70" w:rsidP="00796F70">
      <w:pPr>
        <w:rPr>
          <w:rFonts w:ascii="Arial" w:hAnsi="Arial" w:cs="Arial"/>
          <w:color w:val="FF0000"/>
          <w:sz w:val="20"/>
          <w:szCs w:val="20"/>
        </w:rPr>
      </w:pPr>
      <w:r w:rsidRPr="00244986">
        <w:rPr>
          <w:rFonts w:ascii="Arial" w:hAnsi="Arial" w:cs="Arial"/>
          <w:b/>
          <w:color w:val="FF0000"/>
          <w:sz w:val="20"/>
          <w:szCs w:val="20"/>
        </w:rPr>
        <w:t xml:space="preserve">Art.  25e.  [Wysokość podatku] </w:t>
      </w:r>
    </w:p>
    <w:p w14:paraId="7703C3E0" w14:textId="77777777" w:rsidR="00796F70" w:rsidRPr="00244986" w:rsidRDefault="00796F70" w:rsidP="00796F70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244986">
        <w:rPr>
          <w:rFonts w:ascii="Arial" w:hAnsi="Arial" w:cs="Arial"/>
          <w:color w:val="FF0000"/>
          <w:sz w:val="20"/>
          <w:szCs w:val="20"/>
        </w:rPr>
        <w:t xml:space="preserve">Od przychodów nieznajdujących pokrycia w ujawnionych źródłach lub pochodzących ze źródeł nieujawnionych, z zastrzeżeniem art. 25g ust. 7, </w:t>
      </w:r>
      <w:r w:rsidRPr="00244986">
        <w:rPr>
          <w:rFonts w:ascii="Arial" w:hAnsi="Arial" w:cs="Arial"/>
          <w:b/>
          <w:color w:val="FF0000"/>
          <w:sz w:val="20"/>
          <w:szCs w:val="20"/>
          <w:u w:val="single"/>
        </w:rPr>
        <w:t>zryczałtowany podatek dochodowy wynosi 75% podstawy opodatkowania.</w:t>
      </w:r>
    </w:p>
    <w:p w14:paraId="667E7264" w14:textId="77777777" w:rsidR="00796F70" w:rsidRPr="00244986" w:rsidRDefault="00796F70" w:rsidP="00796F70">
      <w:pPr>
        <w:spacing w:before="80"/>
        <w:rPr>
          <w:rFonts w:ascii="Arial" w:hAnsi="Arial" w:cs="Arial"/>
          <w:color w:val="FF0000"/>
          <w:sz w:val="20"/>
          <w:szCs w:val="20"/>
        </w:rPr>
      </w:pPr>
    </w:p>
    <w:p w14:paraId="1BF756A6" w14:textId="77777777" w:rsidR="00796F70" w:rsidRPr="00263709" w:rsidRDefault="00796F70" w:rsidP="00796F70">
      <w:pPr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b/>
          <w:color w:val="000000"/>
          <w:sz w:val="20"/>
          <w:szCs w:val="20"/>
        </w:rPr>
        <w:t xml:space="preserve">Art.  25g.  [Ciężar dowodu] </w:t>
      </w:r>
    </w:p>
    <w:p w14:paraId="7AC3DC7E" w14:textId="77777777" w:rsidR="00796F70" w:rsidRPr="00263709" w:rsidRDefault="00796F70" w:rsidP="00796F70">
      <w:pPr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>1.  W toku postępowania podatkowego albo w toku kontroli celno-skarbowej ciężar dowodu w zakresie wykazania przychodów (dochodów) opodatkowanych lub przychodów (dochodów) nieopodatkowanych stanowiących pokrycie wydatku spoczywa na podatniku.</w:t>
      </w:r>
    </w:p>
    <w:p w14:paraId="46EEC4D6" w14:textId="77777777" w:rsidR="00796F70" w:rsidRPr="00263709" w:rsidRDefault="00796F70" w:rsidP="00796F70">
      <w:pPr>
        <w:spacing w:before="26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>2.  Przepisu ust. 1 nie stosuje się do przychodów (dochodów) opodatkowanych lub przychodów (dochodów) nieopodatkowanych znanych organowi z urzędu lub możliwych do ustalenia przez organ na podstawie:</w:t>
      </w:r>
    </w:p>
    <w:p w14:paraId="51021158" w14:textId="77777777" w:rsidR="00796F70" w:rsidRPr="00263709" w:rsidRDefault="00796F70" w:rsidP="00796F70">
      <w:pPr>
        <w:spacing w:before="26"/>
        <w:ind w:left="373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>1) posiadanych przez niego ewidencji, rejestrów lub innych danych;</w:t>
      </w:r>
    </w:p>
    <w:p w14:paraId="5760415F" w14:textId="77777777" w:rsidR="00796F70" w:rsidRPr="00263709" w:rsidRDefault="00796F70" w:rsidP="00796F70">
      <w:pPr>
        <w:spacing w:before="26"/>
        <w:ind w:left="373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 xml:space="preserve">2) rejestrów publicznych posiadanych przez inne podmioty publiczne, do których organ ma dostęp drogą elektroniczną na zasadach określonych w przepisach </w:t>
      </w:r>
      <w:r w:rsidRPr="00263709">
        <w:rPr>
          <w:rFonts w:ascii="Arial" w:hAnsi="Arial" w:cs="Arial"/>
          <w:color w:val="1B1B1B"/>
          <w:sz w:val="20"/>
          <w:szCs w:val="20"/>
        </w:rPr>
        <w:t>ustawy</w:t>
      </w:r>
      <w:r w:rsidRPr="00263709">
        <w:rPr>
          <w:rFonts w:ascii="Arial" w:hAnsi="Arial" w:cs="Arial"/>
          <w:color w:val="000000"/>
          <w:sz w:val="20"/>
          <w:szCs w:val="20"/>
        </w:rPr>
        <w:t xml:space="preserve"> z dnia 17 lutego 2005 r. o informatyzacji działalności podmiotów realizujących zadania publiczne (Dz. U. z 2017 r. poz. 570).</w:t>
      </w:r>
    </w:p>
    <w:p w14:paraId="22B8C2A3" w14:textId="77777777" w:rsidR="00796F70" w:rsidRPr="00263709" w:rsidRDefault="00796F70" w:rsidP="00796F70">
      <w:pPr>
        <w:spacing w:before="26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 xml:space="preserve">3.  Jeżeli w toku postępowania podatkowego albo w toku kontroli celno-skarbowej podatnik nie udowodni uzyskania przychodów (dochodów) opodatkowanych lub przychodów (dochodów) nieopodatkowanych, o których mowa w art. 25b ust. 4 pkt 3, stanowiących pokrycie wydatku i </w:t>
      </w:r>
      <w:r w:rsidRPr="00263709">
        <w:rPr>
          <w:rFonts w:ascii="Arial" w:hAnsi="Arial" w:cs="Arial"/>
          <w:b/>
          <w:color w:val="000000"/>
          <w:sz w:val="20"/>
          <w:szCs w:val="20"/>
          <w:u w:val="single"/>
        </w:rPr>
        <w:t>nastąpiło przedawnienie zobowiązania podatkowego w stosunku do tych przychodów (dochodów), to ich uzyskanie podatnik może uprawdopodobnić.</w:t>
      </w:r>
      <w:r w:rsidRPr="00263709">
        <w:rPr>
          <w:rFonts w:ascii="Arial" w:hAnsi="Arial" w:cs="Arial"/>
          <w:color w:val="000000"/>
          <w:sz w:val="20"/>
          <w:szCs w:val="20"/>
        </w:rPr>
        <w:t xml:space="preserve"> W przypadku nieudowodnienia lub nieuprawdopodobnienia przychodów (dochodów), o których mowa w zdaniu pierwszym, przychody (dochody) te uznaje się za przychody, o których mowa w art. 25b ust. 1.</w:t>
      </w:r>
    </w:p>
    <w:p w14:paraId="250FBAFD" w14:textId="77777777" w:rsidR="00796F70" w:rsidRPr="00263709" w:rsidRDefault="00796F70" w:rsidP="009E2385">
      <w:pPr>
        <w:rPr>
          <w:rFonts w:ascii="Arial" w:hAnsi="Arial" w:cs="Arial"/>
          <w:sz w:val="20"/>
          <w:szCs w:val="20"/>
        </w:rPr>
      </w:pPr>
    </w:p>
    <w:p w14:paraId="6785323B" w14:textId="77777777" w:rsidR="005C5FB9" w:rsidRPr="00752369" w:rsidRDefault="005C5FB9" w:rsidP="005C5FB9">
      <w:pPr>
        <w:spacing w:before="146"/>
        <w:rPr>
          <w:rFonts w:ascii="Arial" w:hAnsi="Arial" w:cs="Arial"/>
          <w:b/>
          <w:sz w:val="22"/>
          <w:szCs w:val="22"/>
        </w:rPr>
      </w:pPr>
      <w:r w:rsidRPr="00752369">
        <w:rPr>
          <w:rFonts w:ascii="Arial" w:hAnsi="Arial" w:cs="Arial"/>
          <w:b/>
          <w:color w:val="000000"/>
          <w:sz w:val="22"/>
          <w:szCs w:val="22"/>
        </w:rPr>
        <w:t>Ustawa z dnia 29 sierpnia 1997 r. Ordynacja podatkowa</w:t>
      </w:r>
    </w:p>
    <w:p w14:paraId="7BE4F5B8" w14:textId="77777777" w:rsidR="005C5FB9" w:rsidRPr="00263709" w:rsidRDefault="005C5FB9" w:rsidP="009E2385">
      <w:pPr>
        <w:rPr>
          <w:rFonts w:ascii="Arial" w:hAnsi="Arial" w:cs="Arial"/>
          <w:sz w:val="20"/>
          <w:szCs w:val="20"/>
        </w:rPr>
      </w:pPr>
    </w:p>
    <w:p w14:paraId="19B39074" w14:textId="77777777" w:rsidR="005C5FB9" w:rsidRPr="00263709" w:rsidRDefault="005C5FB9" w:rsidP="005C5FB9">
      <w:pPr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b/>
          <w:color w:val="000000"/>
          <w:sz w:val="20"/>
          <w:szCs w:val="20"/>
        </w:rPr>
        <w:t xml:space="preserve">Art.  68.  [Przedawnienie prawa do wydania decyzji podatkowej] </w:t>
      </w:r>
    </w:p>
    <w:p w14:paraId="18B96851" w14:textId="77777777" w:rsidR="005C5FB9" w:rsidRPr="00263709" w:rsidRDefault="005C5FB9" w:rsidP="005C5FB9">
      <w:pPr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b/>
          <w:color w:val="000000"/>
          <w:sz w:val="20"/>
          <w:szCs w:val="20"/>
        </w:rPr>
        <w:t xml:space="preserve">§  1.  </w:t>
      </w:r>
      <w:r w:rsidRPr="00263709">
        <w:rPr>
          <w:rFonts w:ascii="Arial" w:hAnsi="Arial" w:cs="Arial"/>
          <w:color w:val="000000"/>
          <w:sz w:val="20"/>
          <w:szCs w:val="20"/>
        </w:rPr>
        <w:t>Zobowiązanie podatkowe, o którym mowa w art. 21 § 1 pkt 2, nie powstaje, jeżeli decyzja ustalająca to zobowiązanie została doręczona po upływie 3 lat, licząc od końca roku kalendarzowego, w którym powstał obowiązek podatkowy.</w:t>
      </w:r>
    </w:p>
    <w:p w14:paraId="1BE3AB6B" w14:textId="77777777" w:rsidR="005C5FB9" w:rsidRPr="00263709" w:rsidRDefault="005C5FB9" w:rsidP="005C5FB9">
      <w:pPr>
        <w:spacing w:before="26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b/>
          <w:color w:val="000000"/>
          <w:sz w:val="20"/>
          <w:szCs w:val="20"/>
        </w:rPr>
        <w:t xml:space="preserve">§  2.  </w:t>
      </w:r>
      <w:r w:rsidRPr="00263709">
        <w:rPr>
          <w:rFonts w:ascii="Arial" w:hAnsi="Arial" w:cs="Arial"/>
          <w:color w:val="000000"/>
          <w:sz w:val="20"/>
          <w:szCs w:val="20"/>
        </w:rPr>
        <w:t>Jeżeli podatnik:</w:t>
      </w:r>
    </w:p>
    <w:p w14:paraId="0833DFFF" w14:textId="77777777" w:rsidR="005C5FB9" w:rsidRPr="00263709" w:rsidRDefault="005C5FB9" w:rsidP="005C5FB9">
      <w:pPr>
        <w:spacing w:before="26"/>
        <w:ind w:left="373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>1) nie złożył deklaracji w terminie przewidzianym w przepisach prawa podatkowego,</w:t>
      </w:r>
    </w:p>
    <w:p w14:paraId="4924EEFC" w14:textId="77777777" w:rsidR="005C5FB9" w:rsidRPr="00263709" w:rsidRDefault="005C5FB9" w:rsidP="005C5FB9">
      <w:pPr>
        <w:spacing w:before="26"/>
        <w:ind w:left="373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color w:val="000000"/>
          <w:sz w:val="20"/>
          <w:szCs w:val="20"/>
        </w:rPr>
        <w:t>2) w złożonej deklaracji nie ujawnił wszystkich danych niezbędnych do ustalenia wysokości zobowiązania podatkowego,</w:t>
      </w:r>
    </w:p>
    <w:p w14:paraId="28F11FFA" w14:textId="77777777" w:rsidR="005C5FB9" w:rsidRPr="00263709" w:rsidRDefault="005C5FB9" w:rsidP="005C5FB9">
      <w:pPr>
        <w:spacing w:before="25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63709"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zobowiązanie podatkowe, o którym mowa w § 1, nie powstaje, pod warunkiem że decyzja ustalająca wysokość tego zobowiązania została doręczona po upływie 5 lat, licząc od końca roku kalendarzowego, w którym powstał obowiązek podatkowy.</w:t>
      </w:r>
    </w:p>
    <w:p w14:paraId="456478E9" w14:textId="77777777" w:rsidR="005C5FB9" w:rsidRPr="00263709" w:rsidRDefault="005C5FB9" w:rsidP="005C5FB9">
      <w:pPr>
        <w:spacing w:before="26"/>
        <w:rPr>
          <w:rFonts w:ascii="Arial" w:hAnsi="Arial" w:cs="Arial"/>
          <w:b/>
          <w:color w:val="000000"/>
          <w:sz w:val="20"/>
          <w:szCs w:val="20"/>
        </w:rPr>
      </w:pPr>
    </w:p>
    <w:p w14:paraId="3A7F5A3D" w14:textId="77777777" w:rsidR="005C5FB9" w:rsidRPr="00263709" w:rsidRDefault="005C5FB9" w:rsidP="005C5FB9">
      <w:pPr>
        <w:spacing w:before="26"/>
        <w:rPr>
          <w:rFonts w:ascii="Arial" w:hAnsi="Arial" w:cs="Arial"/>
          <w:sz w:val="20"/>
          <w:szCs w:val="20"/>
        </w:rPr>
      </w:pPr>
      <w:r w:rsidRPr="00263709">
        <w:rPr>
          <w:rFonts w:ascii="Arial" w:hAnsi="Arial" w:cs="Arial"/>
          <w:b/>
          <w:color w:val="000000"/>
          <w:sz w:val="20"/>
          <w:szCs w:val="20"/>
        </w:rPr>
        <w:t xml:space="preserve">§  4a.  </w:t>
      </w:r>
      <w:r w:rsidRPr="00263709">
        <w:rPr>
          <w:rFonts w:ascii="Arial" w:hAnsi="Arial" w:cs="Arial"/>
          <w:color w:val="000000"/>
          <w:sz w:val="20"/>
          <w:szCs w:val="20"/>
        </w:rPr>
        <w:t xml:space="preserve">Zobowiązanie podatkowe z tytułu opodatkowania przychodów nieznajdujących pokrycia w ujawnionych źródłach lub pochodzących ze źródeł nieujawnionych nie powstaje, jeżeli decyzja ustalająca to zobowiązanie została </w:t>
      </w:r>
      <w:r w:rsidRPr="00263709">
        <w:rPr>
          <w:rFonts w:ascii="Arial" w:hAnsi="Arial" w:cs="Arial"/>
          <w:b/>
          <w:color w:val="000000"/>
          <w:sz w:val="20"/>
          <w:szCs w:val="20"/>
          <w:u w:val="single"/>
        </w:rPr>
        <w:t>doręczona po upływie 5 lat, licząc</w:t>
      </w:r>
      <w:r w:rsidRPr="00263709">
        <w:rPr>
          <w:rFonts w:ascii="Arial" w:hAnsi="Arial" w:cs="Arial"/>
          <w:color w:val="000000"/>
          <w:sz w:val="20"/>
          <w:szCs w:val="20"/>
        </w:rPr>
        <w:t xml:space="preserve"> od końca roku kalendarzowego, w którym powstał obowiązek podatkowy w tym zakresie.</w:t>
      </w:r>
    </w:p>
    <w:p w14:paraId="42B59699" w14:textId="77777777" w:rsidR="005C5FB9" w:rsidRPr="00263709" w:rsidRDefault="005C5FB9" w:rsidP="009E2385">
      <w:pPr>
        <w:rPr>
          <w:rFonts w:ascii="Arial" w:hAnsi="Arial" w:cs="Arial"/>
          <w:sz w:val="20"/>
          <w:szCs w:val="20"/>
        </w:rPr>
      </w:pPr>
    </w:p>
    <w:p w14:paraId="4B5F4D83" w14:textId="77777777" w:rsidR="0019439C" w:rsidRPr="00EB4C95" w:rsidRDefault="00EB4C95" w:rsidP="009E23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podstawie </w:t>
      </w:r>
      <w:r w:rsidR="0019439C" w:rsidRPr="00EB4C95">
        <w:rPr>
          <w:rFonts w:ascii="Arial" w:hAnsi="Arial" w:cs="Arial"/>
          <w:sz w:val="20"/>
          <w:szCs w:val="20"/>
        </w:rPr>
        <w:t>art. 54 § 1 kodeksu karnego skarbowego z 10 września 1999 r. (dalej KKS), ,,</w:t>
      </w:r>
      <w:r w:rsidR="0019439C" w:rsidRPr="00EB4C95">
        <w:rPr>
          <w:rStyle w:val="Uwydatnienie"/>
          <w:rFonts w:ascii="Arial" w:hAnsi="Arial" w:cs="Arial"/>
          <w:sz w:val="20"/>
          <w:szCs w:val="20"/>
        </w:rPr>
        <w:t xml:space="preserve">podatnik, który uchylając się od opodatkowania, nie ujawnia właściwemu organowi przedmiotu lub podstawy opodatkowania lub nie składa deklaracji, przez co naraża podatek na </w:t>
      </w:r>
      <w:proofErr w:type="spellStart"/>
      <w:r w:rsidR="0019439C" w:rsidRPr="00EB4C95">
        <w:rPr>
          <w:rStyle w:val="Uwydatnienie"/>
          <w:rFonts w:ascii="Arial" w:hAnsi="Arial" w:cs="Arial"/>
          <w:sz w:val="20"/>
          <w:szCs w:val="20"/>
        </w:rPr>
        <w:t>uszczuplenie,podlega</w:t>
      </w:r>
      <w:proofErr w:type="spellEnd"/>
      <w:r w:rsidR="0019439C" w:rsidRPr="00EB4C95">
        <w:rPr>
          <w:rStyle w:val="Uwydatnienie"/>
          <w:rFonts w:ascii="Arial" w:hAnsi="Arial" w:cs="Arial"/>
          <w:sz w:val="20"/>
          <w:szCs w:val="20"/>
        </w:rPr>
        <w:t xml:space="preserve"> karze grzywny do 720 stawek dziennych albo karze pozbawienia wolności, albo obu tym karom łącznie”</w:t>
      </w:r>
      <w:r w:rsidR="0019439C" w:rsidRPr="00EB4C95">
        <w:rPr>
          <w:rFonts w:ascii="Arial" w:hAnsi="Arial" w:cs="Arial"/>
          <w:sz w:val="20"/>
          <w:szCs w:val="20"/>
        </w:rPr>
        <w:t>.</w:t>
      </w:r>
    </w:p>
    <w:sectPr w:rsidR="0019439C" w:rsidRPr="00EB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CF0"/>
    <w:multiLevelType w:val="hybridMultilevel"/>
    <w:tmpl w:val="C34A6F60"/>
    <w:lvl w:ilvl="0" w:tplc="21E22D56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620B1199"/>
    <w:multiLevelType w:val="hybridMultilevel"/>
    <w:tmpl w:val="A0EC2762"/>
    <w:lvl w:ilvl="0" w:tplc="0415000F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401B2"/>
    <w:rsid w:val="00083D65"/>
    <w:rsid w:val="00100A8E"/>
    <w:rsid w:val="00135A7F"/>
    <w:rsid w:val="00163488"/>
    <w:rsid w:val="0019439C"/>
    <w:rsid w:val="001A4B1C"/>
    <w:rsid w:val="00215D99"/>
    <w:rsid w:val="00244986"/>
    <w:rsid w:val="00263709"/>
    <w:rsid w:val="00273506"/>
    <w:rsid w:val="00284382"/>
    <w:rsid w:val="00297D79"/>
    <w:rsid w:val="002D6B79"/>
    <w:rsid w:val="003030E7"/>
    <w:rsid w:val="00324A2B"/>
    <w:rsid w:val="00327949"/>
    <w:rsid w:val="00332E91"/>
    <w:rsid w:val="00365E35"/>
    <w:rsid w:val="00381600"/>
    <w:rsid w:val="00382137"/>
    <w:rsid w:val="003824BE"/>
    <w:rsid w:val="00383047"/>
    <w:rsid w:val="003E1FFF"/>
    <w:rsid w:val="003F1889"/>
    <w:rsid w:val="004434F6"/>
    <w:rsid w:val="00490F28"/>
    <w:rsid w:val="004F2A0D"/>
    <w:rsid w:val="00546DAA"/>
    <w:rsid w:val="00560FCB"/>
    <w:rsid w:val="0056184B"/>
    <w:rsid w:val="00562A26"/>
    <w:rsid w:val="00584BEA"/>
    <w:rsid w:val="00594B26"/>
    <w:rsid w:val="005A7A68"/>
    <w:rsid w:val="005A7C14"/>
    <w:rsid w:val="005C5FB9"/>
    <w:rsid w:val="005D14F1"/>
    <w:rsid w:val="005E58F6"/>
    <w:rsid w:val="00617950"/>
    <w:rsid w:val="006414FF"/>
    <w:rsid w:val="00667035"/>
    <w:rsid w:val="00671302"/>
    <w:rsid w:val="00690E1D"/>
    <w:rsid w:val="006E0775"/>
    <w:rsid w:val="006E47A6"/>
    <w:rsid w:val="006E50F1"/>
    <w:rsid w:val="00714E56"/>
    <w:rsid w:val="00736947"/>
    <w:rsid w:val="00752369"/>
    <w:rsid w:val="0078079E"/>
    <w:rsid w:val="00782F09"/>
    <w:rsid w:val="00796F70"/>
    <w:rsid w:val="007C11A8"/>
    <w:rsid w:val="007E4257"/>
    <w:rsid w:val="007E6D71"/>
    <w:rsid w:val="00821A45"/>
    <w:rsid w:val="00824477"/>
    <w:rsid w:val="008300D1"/>
    <w:rsid w:val="00833113"/>
    <w:rsid w:val="0084436E"/>
    <w:rsid w:val="008C2698"/>
    <w:rsid w:val="008C78A1"/>
    <w:rsid w:val="008D057B"/>
    <w:rsid w:val="00904F03"/>
    <w:rsid w:val="00945B34"/>
    <w:rsid w:val="009A6224"/>
    <w:rsid w:val="009E2385"/>
    <w:rsid w:val="00A0440E"/>
    <w:rsid w:val="00A87D50"/>
    <w:rsid w:val="00AD15E1"/>
    <w:rsid w:val="00B0388B"/>
    <w:rsid w:val="00B46D74"/>
    <w:rsid w:val="00BA091C"/>
    <w:rsid w:val="00BB1C3E"/>
    <w:rsid w:val="00BB2BAB"/>
    <w:rsid w:val="00BF5375"/>
    <w:rsid w:val="00C165FA"/>
    <w:rsid w:val="00C455FA"/>
    <w:rsid w:val="00D646D8"/>
    <w:rsid w:val="00D661D8"/>
    <w:rsid w:val="00D82626"/>
    <w:rsid w:val="00D8642F"/>
    <w:rsid w:val="00DC4B08"/>
    <w:rsid w:val="00DD04F1"/>
    <w:rsid w:val="00DD194D"/>
    <w:rsid w:val="00DE054D"/>
    <w:rsid w:val="00E060C5"/>
    <w:rsid w:val="00E554A6"/>
    <w:rsid w:val="00E63E5F"/>
    <w:rsid w:val="00E6433F"/>
    <w:rsid w:val="00EA3CF5"/>
    <w:rsid w:val="00EB4C95"/>
    <w:rsid w:val="00EB6B11"/>
    <w:rsid w:val="00EC44D1"/>
    <w:rsid w:val="00ED3188"/>
    <w:rsid w:val="00F117A2"/>
    <w:rsid w:val="00F174AB"/>
    <w:rsid w:val="00F27F70"/>
    <w:rsid w:val="00F31895"/>
    <w:rsid w:val="00F36247"/>
    <w:rsid w:val="00FA7331"/>
    <w:rsid w:val="00FB1287"/>
    <w:rsid w:val="00FB3F38"/>
    <w:rsid w:val="00F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B76DD"/>
  <w15:chartTrackingRefBased/>
  <w15:docId w15:val="{1368FB4A-C0E1-49FC-8E85-3CB35BAF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11A8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7C11A8"/>
    <w:pPr>
      <w:keepNext/>
      <w:ind w:left="225"/>
      <w:jc w:val="center"/>
      <w:outlineLvl w:val="0"/>
    </w:pPr>
    <w:rPr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Tekstpodstawowywcity">
    <w:name w:val="Body Text Indent"/>
    <w:basedOn w:val="Normalny"/>
    <w:rsid w:val="007C11A8"/>
    <w:pPr>
      <w:ind w:left="225"/>
      <w:jc w:val="both"/>
    </w:pPr>
  </w:style>
  <w:style w:type="paragraph" w:styleId="Tekstdymka">
    <w:name w:val="Balloon Text"/>
    <w:basedOn w:val="Normalny"/>
    <w:semiHidden/>
    <w:rsid w:val="00383047"/>
    <w:rPr>
      <w:rFonts w:ascii="Tahoma" w:hAnsi="Tahoma" w:cs="Tahoma"/>
      <w:sz w:val="16"/>
      <w:szCs w:val="16"/>
    </w:rPr>
  </w:style>
  <w:style w:type="paragraph" w:customStyle="1" w:styleId="TitleStyle">
    <w:name w:val="TitleStyle"/>
    <w:rsid w:val="009E2385"/>
    <w:pPr>
      <w:spacing w:after="200"/>
    </w:pPr>
    <w:rPr>
      <w:b/>
      <w:color w:val="000000"/>
      <w:sz w:val="32"/>
      <w:szCs w:val="22"/>
    </w:rPr>
  </w:style>
  <w:style w:type="paragraph" w:customStyle="1" w:styleId="NormalStyle">
    <w:name w:val="NormalStyle"/>
    <w:rsid w:val="009E2385"/>
    <w:rPr>
      <w:color w:val="000000"/>
      <w:sz w:val="24"/>
      <w:szCs w:val="22"/>
    </w:rPr>
  </w:style>
  <w:style w:type="character" w:styleId="Uwydatnienie">
    <w:name w:val="Emphasis"/>
    <w:uiPriority w:val="20"/>
    <w:qFormat/>
    <w:rsid w:val="00194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darowizny</vt:lpstr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darowizny</dc:title>
  <dc:subject/>
  <dc:creator>Jasiński</dc:creator>
  <cp:keywords/>
  <cp:lastModifiedBy>Mirosław Jasiński</cp:lastModifiedBy>
  <cp:revision>2</cp:revision>
  <cp:lastPrinted>2014-10-21T16:04:00Z</cp:lastPrinted>
  <dcterms:created xsi:type="dcterms:W3CDTF">2020-05-09T17:59:00Z</dcterms:created>
  <dcterms:modified xsi:type="dcterms:W3CDTF">2020-05-09T17:59:00Z</dcterms:modified>
</cp:coreProperties>
</file>