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F05" w14:textId="77777777" w:rsidR="00EF57CC" w:rsidRPr="00372818" w:rsidRDefault="00EF57CC">
      <w:pPr>
        <w:rPr>
          <w:lang w:val="pl-PL"/>
        </w:rPr>
      </w:pPr>
    </w:p>
    <w:p w14:paraId="45C02E33" w14:textId="77777777" w:rsidR="00EF57CC" w:rsidRPr="00372818" w:rsidRDefault="00EF57CC">
      <w:pPr>
        <w:rPr>
          <w:lang w:val="pl-PL"/>
        </w:rPr>
      </w:pPr>
    </w:p>
    <w:p w14:paraId="78B93AE2" w14:textId="77777777" w:rsidR="00EF57CC" w:rsidRPr="00372818" w:rsidRDefault="00EF57CC">
      <w:pPr>
        <w:rPr>
          <w:lang w:val="pl-PL"/>
        </w:rPr>
      </w:pPr>
    </w:p>
    <w:p w14:paraId="7514E091" w14:textId="77777777" w:rsidR="00EF57CC" w:rsidRPr="00372818" w:rsidRDefault="00EF57CC">
      <w:pPr>
        <w:rPr>
          <w:lang w:val="pl-PL"/>
        </w:rPr>
      </w:pPr>
    </w:p>
    <w:p w14:paraId="3CF80D3E" w14:textId="77777777" w:rsidR="00EF57CC" w:rsidRPr="00372818" w:rsidRDefault="00EF57CC">
      <w:pPr>
        <w:rPr>
          <w:lang w:val="pl-PL"/>
        </w:rPr>
      </w:pPr>
    </w:p>
    <w:p w14:paraId="1320D307" w14:textId="77777777" w:rsidR="00EF57CC" w:rsidRPr="00372818" w:rsidRDefault="00EF57CC">
      <w:pPr>
        <w:rPr>
          <w:lang w:val="pl-PL"/>
        </w:rPr>
      </w:pPr>
    </w:p>
    <w:p w14:paraId="6D4C5C4D" w14:textId="77777777" w:rsidR="00EF57CC" w:rsidRPr="00372818" w:rsidRDefault="00EF57CC">
      <w:pPr>
        <w:rPr>
          <w:lang w:val="pl-PL"/>
        </w:rPr>
      </w:pPr>
    </w:p>
    <w:p w14:paraId="257DEEFC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6B45FA82" w14:textId="60293F2F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667AB">
        <w:rPr>
          <w:b/>
          <w:sz w:val="28"/>
          <w:szCs w:val="28"/>
          <w:lang w:val="pl-PL"/>
        </w:rPr>
        <w:t>Samochody Ciężarowe</w:t>
      </w:r>
    </w:p>
    <w:p w14:paraId="76A83992" w14:textId="55FA8983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667AB">
        <w:rPr>
          <w:lang w:val="pl-PL"/>
        </w:rPr>
        <w:t>0.0.</w:t>
      </w:r>
      <w:r w:rsidR="002A1BE5">
        <w:rPr>
          <w:lang w:val="pl-PL"/>
        </w:rPr>
        <w:t>3</w:t>
      </w:r>
    </w:p>
    <w:p w14:paraId="2EB5890E" w14:textId="5796D459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667AB">
        <w:rPr>
          <w:sz w:val="22"/>
          <w:lang w:val="pl-PL"/>
        </w:rPr>
        <w:t>: Igor Nowicki</w:t>
      </w:r>
    </w:p>
    <w:p w14:paraId="0557B109" w14:textId="6991C3F1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65F93C18" w14:textId="77777777" w:rsidTr="00B464CC">
        <w:tc>
          <w:tcPr>
            <w:tcW w:w="2042" w:type="dxa"/>
            <w:shd w:val="clear" w:color="auto" w:fill="F2F2F2"/>
          </w:tcPr>
          <w:p w14:paraId="102F5CAC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0402E105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7D7F2892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12446C3E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22DDF863" w14:textId="77777777" w:rsidTr="00B464CC">
        <w:tc>
          <w:tcPr>
            <w:tcW w:w="2042" w:type="dxa"/>
            <w:vAlign w:val="center"/>
          </w:tcPr>
          <w:p w14:paraId="2583600D" w14:textId="62BDBA40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0.0.1</w:t>
            </w:r>
          </w:p>
        </w:tc>
        <w:tc>
          <w:tcPr>
            <w:tcW w:w="1644" w:type="dxa"/>
            <w:vAlign w:val="center"/>
          </w:tcPr>
          <w:p w14:paraId="3C08ABD0" w14:textId="3707263B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2021.10.01</w:t>
            </w:r>
          </w:p>
        </w:tc>
        <w:tc>
          <w:tcPr>
            <w:tcW w:w="2656" w:type="dxa"/>
            <w:vAlign w:val="center"/>
          </w:tcPr>
          <w:p w14:paraId="33B42347" w14:textId="268E78C1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vAlign w:val="center"/>
          </w:tcPr>
          <w:p w14:paraId="20BA3708" w14:textId="6885BF02" w:rsidR="00EF57CC" w:rsidRPr="00372818" w:rsidRDefault="00A667AB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dokumentu.</w:t>
            </w:r>
          </w:p>
        </w:tc>
      </w:tr>
      <w:tr w:rsidR="000B4734" w:rsidRPr="00372818" w14:paraId="58D74311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95DF" w14:textId="74C94A17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0.0.2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9403C" w14:textId="78EF4934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2021.11.21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2ECA" w14:textId="77777777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A327" w14:textId="77777777" w:rsidR="000B4734" w:rsidRDefault="000B4734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dokumentu:</w:t>
            </w:r>
          </w:p>
          <w:p w14:paraId="7FA84AE7" w14:textId="68F4ACB7" w:rsidR="000B4734" w:rsidRDefault="000B4734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0B4734">
              <w:rPr>
                <w:rFonts w:ascii="Calibri" w:hAnsi="Calibri"/>
                <w:lang w:val="pl-PL"/>
              </w:rPr>
              <w:t>dodanie reguły R2,</w:t>
            </w:r>
          </w:p>
          <w:p w14:paraId="0D92DC2D" w14:textId="31278431" w:rsidR="000B4734" w:rsidRDefault="00283992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scalenie słownika pojęć z listą obiektów biznesowych</w:t>
            </w:r>
          </w:p>
          <w:p w14:paraId="540716F4" w14:textId="236F8FCF" w:rsidR="00C57D42" w:rsidRPr="000B4734" w:rsidRDefault="00C57D42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wyszczególnienie opisu systemu</w:t>
            </w:r>
          </w:p>
          <w:p w14:paraId="6859D1EC" w14:textId="3629E0F8" w:rsidR="000B4734" w:rsidRPr="00372818" w:rsidRDefault="000B4734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</w:p>
        </w:tc>
      </w:tr>
      <w:tr w:rsidR="007554C1" w:rsidRPr="00C62EEA" w14:paraId="6D5C7E11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08ECF" w14:textId="1806023C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</w:t>
            </w:r>
            <w:r w:rsidR="002A1BE5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366BA" w14:textId="0DB0416D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2021.11.21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8CB01" w14:textId="137FE2D2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0D29C" w14:textId="6F78A254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Dodanie rozróżnienie na pojazdy ciężarowe oraz ciągniki siodłowe.</w:t>
            </w:r>
          </w:p>
        </w:tc>
      </w:tr>
    </w:tbl>
    <w:p w14:paraId="388EB692" w14:textId="77777777" w:rsidR="00EF57CC" w:rsidRPr="00372818" w:rsidRDefault="00EF57CC">
      <w:pPr>
        <w:rPr>
          <w:lang w:val="pl-PL"/>
        </w:rPr>
      </w:pPr>
    </w:p>
    <w:p w14:paraId="55FED940" w14:textId="77777777"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14:paraId="2CE160C4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5D4A03FC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B87D101" w14:textId="77777777" w:rsidR="00462162" w:rsidRDefault="008917E6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239C6FF" w14:textId="10ABDD6C" w:rsidR="00462162" w:rsidRDefault="008917E6" w:rsidP="005035D9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D93C77A" w14:textId="77777777" w:rsidR="00462162" w:rsidRDefault="008917E6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9587EEC" w14:textId="77777777" w:rsidR="00462162" w:rsidRDefault="008917E6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09E7FF" w14:textId="77777777" w:rsidR="00462162" w:rsidRDefault="008917E6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6E15E751" w14:textId="77777777" w:rsidR="00462162" w:rsidRDefault="008917E6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59580BC8" w14:textId="77777777" w:rsidR="00462162" w:rsidRDefault="008917E6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1C8CD27" w14:textId="2FE30656" w:rsidR="00462162" w:rsidRDefault="008917E6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2F730E50" w14:textId="77777777" w:rsidR="00462162" w:rsidRDefault="008917E6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6BF8CEEE" w14:textId="77777777" w:rsidR="00462162" w:rsidRDefault="008917E6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43275F52" w14:textId="77777777" w:rsidR="00462162" w:rsidRDefault="008917E6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880A521" w14:textId="77777777" w:rsidR="00462162" w:rsidRDefault="008917E6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A4BC2BF" w14:textId="77777777" w:rsidR="00462162" w:rsidRDefault="008917E6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277AF879" w14:textId="77777777" w:rsidR="00462162" w:rsidRDefault="008917E6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39B00B1" w14:textId="77777777" w:rsidR="00462162" w:rsidRDefault="008917E6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5C764BC2" w14:textId="77777777" w:rsidR="00462162" w:rsidRDefault="008917E6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414539ED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17CC1AE2" w14:textId="77777777" w:rsidR="00EF57CC" w:rsidRPr="00372818" w:rsidRDefault="00EF57CC">
      <w:pPr>
        <w:rPr>
          <w:lang w:val="pl-PL"/>
        </w:rPr>
      </w:pPr>
    </w:p>
    <w:p w14:paraId="0C300527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294273B9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755E4FC7" w14:textId="1BBC5540" w:rsidR="00EF57CC" w:rsidRPr="00ED596F" w:rsidRDefault="00ED596F" w:rsidP="00D83A60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Organizacja składa się z jednej osoby wykonującej zadanie semestralne.</w:t>
      </w:r>
    </w:p>
    <w:p w14:paraId="3E2781C0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7F1601DB" w14:textId="0B5F08EA" w:rsidR="00283992" w:rsidRDefault="00ED596F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System</w:t>
      </w:r>
      <w:r w:rsidR="00D97A28">
        <w:rPr>
          <w:rFonts w:ascii="Calibri" w:hAnsi="Calibri"/>
          <w:i w:val="0"/>
          <w:iCs/>
          <w:color w:val="auto"/>
        </w:rPr>
        <w:t xml:space="preserve"> służy do</w:t>
      </w:r>
      <w:r>
        <w:rPr>
          <w:rFonts w:ascii="Calibri" w:hAnsi="Calibri"/>
          <w:i w:val="0"/>
          <w:iCs/>
          <w:color w:val="auto"/>
        </w:rPr>
        <w:t xml:space="preserve"> </w:t>
      </w:r>
      <w:r w:rsidR="00BC5B5E" w:rsidRPr="00BC5B5E">
        <w:rPr>
          <w:rFonts w:ascii="Calibri" w:hAnsi="Calibri"/>
          <w:i w:val="0"/>
          <w:iCs/>
          <w:color w:val="auto"/>
        </w:rPr>
        <w:t>przechow</w:t>
      </w:r>
      <w:r w:rsidR="00D97A28">
        <w:rPr>
          <w:rFonts w:ascii="Calibri" w:hAnsi="Calibri"/>
          <w:i w:val="0"/>
          <w:iCs/>
          <w:color w:val="auto"/>
        </w:rPr>
        <w:t>ywania</w:t>
      </w:r>
      <w:r w:rsidR="00BC5B5E" w:rsidRPr="00BC5B5E">
        <w:rPr>
          <w:rFonts w:ascii="Calibri" w:hAnsi="Calibri"/>
          <w:i w:val="0"/>
          <w:iCs/>
          <w:color w:val="auto"/>
        </w:rPr>
        <w:t xml:space="preserve"> definicj</w:t>
      </w:r>
      <w:r w:rsidR="00D97A28">
        <w:rPr>
          <w:rFonts w:ascii="Calibri" w:hAnsi="Calibri"/>
          <w:i w:val="0"/>
          <w:iCs/>
          <w:color w:val="auto"/>
        </w:rPr>
        <w:t>i</w:t>
      </w:r>
      <w:r w:rsidR="00BC5B5E" w:rsidRPr="00BC5B5E">
        <w:rPr>
          <w:rFonts w:ascii="Calibri" w:hAnsi="Calibri"/>
          <w:i w:val="0"/>
          <w:iCs/>
          <w:color w:val="auto"/>
        </w:rPr>
        <w:t xml:space="preserve"> pojazdów ciężarowych i ich zespołów, wraz z informacjami o załadunku. Przewidz</w:t>
      </w:r>
      <w:r w:rsidR="00D97A28">
        <w:rPr>
          <w:rFonts w:ascii="Calibri" w:hAnsi="Calibri"/>
          <w:i w:val="0"/>
          <w:iCs/>
          <w:color w:val="auto"/>
        </w:rPr>
        <w:t>iana jest</w:t>
      </w:r>
      <w:r w:rsidR="00BC5B5E" w:rsidRPr="00BC5B5E">
        <w:rPr>
          <w:rFonts w:ascii="Calibri" w:hAnsi="Calibri"/>
          <w:i w:val="0"/>
          <w:iCs/>
          <w:color w:val="auto"/>
        </w:rPr>
        <w:t xml:space="preserve"> możliwość przechowywania pojazdów różnego rodzaju (samochody z przestrzenią ładunkową, ciągniki siodłowe, przyczepy, naczepy), z różnego rodzaju przestrzeniami ładunkowymi (</w:t>
      </w:r>
      <w:r w:rsidR="00FE48A6">
        <w:rPr>
          <w:rFonts w:ascii="Calibri" w:hAnsi="Calibri"/>
          <w:i w:val="0"/>
          <w:iCs/>
          <w:color w:val="auto"/>
        </w:rPr>
        <w:t xml:space="preserve">zdefiniowane jako </w:t>
      </w:r>
      <w:r w:rsidR="00BC5B5E" w:rsidRPr="00BC5B5E">
        <w:rPr>
          <w:rFonts w:ascii="Calibri" w:hAnsi="Calibri"/>
          <w:i w:val="0"/>
          <w:iCs/>
          <w:color w:val="auto"/>
        </w:rPr>
        <w:t xml:space="preserve">skrzyniowa, kontenerowa, cysterna). </w:t>
      </w:r>
      <w:r w:rsidR="00D97A28">
        <w:rPr>
          <w:rFonts w:ascii="Calibri" w:hAnsi="Calibri"/>
          <w:i w:val="0"/>
          <w:iCs/>
          <w:color w:val="auto"/>
        </w:rPr>
        <w:t>Program przewiduje</w:t>
      </w:r>
      <w:r w:rsidR="00BC5B5E" w:rsidRPr="00BC5B5E">
        <w:rPr>
          <w:rFonts w:ascii="Calibri" w:hAnsi="Calibri"/>
          <w:i w:val="0"/>
          <w:iCs/>
          <w:color w:val="auto"/>
        </w:rPr>
        <w:t xml:space="preserve"> mechanizm</w:t>
      </w:r>
      <w:r w:rsidR="00FE48A6">
        <w:rPr>
          <w:rFonts w:ascii="Calibri" w:hAnsi="Calibri"/>
          <w:i w:val="0"/>
          <w:iCs/>
          <w:color w:val="auto"/>
        </w:rPr>
        <w:t xml:space="preserve"> przechowywania danych na temat pojazdu pomiędzy sesjami poprzez zapis i odczyt z i do</w:t>
      </w:r>
      <w:r w:rsidR="00BC5B5E" w:rsidRPr="00BC5B5E">
        <w:rPr>
          <w:rFonts w:ascii="Calibri" w:hAnsi="Calibri"/>
          <w:i w:val="0"/>
          <w:iCs/>
          <w:color w:val="auto"/>
        </w:rPr>
        <w:t xml:space="preserve"> pliku dyskow</w:t>
      </w:r>
      <w:r w:rsidR="00FE48A6">
        <w:rPr>
          <w:rFonts w:ascii="Calibri" w:hAnsi="Calibri"/>
          <w:i w:val="0"/>
          <w:iCs/>
          <w:color w:val="auto"/>
        </w:rPr>
        <w:t>ego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  <w:r w:rsidR="00FE48A6">
        <w:rPr>
          <w:rFonts w:ascii="Calibri" w:hAnsi="Calibri"/>
          <w:i w:val="0"/>
          <w:iCs/>
          <w:color w:val="auto"/>
        </w:rPr>
        <w:t>w formacie JSON.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</w:p>
    <w:p w14:paraId="0ECA35BA" w14:textId="77777777" w:rsidR="00283992" w:rsidRDefault="00283992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</w:p>
    <w:p w14:paraId="764F509B" w14:textId="07A6301B" w:rsid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Program </w:t>
      </w:r>
      <w:r w:rsidR="00FE48A6">
        <w:rPr>
          <w:rFonts w:ascii="Calibri" w:hAnsi="Calibri"/>
          <w:i w:val="0"/>
          <w:iCs/>
          <w:color w:val="auto"/>
        </w:rPr>
        <w:t>realizuje następujące działania</w:t>
      </w:r>
      <w:r w:rsidRPr="00BC5B5E">
        <w:rPr>
          <w:rFonts w:ascii="Calibri" w:hAnsi="Calibri"/>
          <w:i w:val="0"/>
          <w:iCs/>
          <w:color w:val="auto"/>
        </w:rPr>
        <w:t>:</w:t>
      </w:r>
    </w:p>
    <w:p w14:paraId="0D9024F3" w14:textId="66F79CE8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operatora</w:t>
      </w:r>
    </w:p>
    <w:p w14:paraId="048DFA00" w14:textId="77777777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administratora</w:t>
      </w:r>
    </w:p>
    <w:p w14:paraId="0468B70E" w14:textId="77777777" w:rsidR="00FE48A6" w:rsidRDefault="00FE48A6" w:rsidP="00007E74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W</w:t>
      </w:r>
      <w:r w:rsidR="00BC5B5E" w:rsidRPr="00FE48A6">
        <w:rPr>
          <w:rFonts w:ascii="Calibri" w:hAnsi="Calibri"/>
          <w:i w:val="0"/>
          <w:iCs/>
          <w:color w:val="auto"/>
        </w:rPr>
        <w:t>czytanie</w:t>
      </w:r>
      <w:r w:rsidRPr="00FE48A6">
        <w:rPr>
          <w:rFonts w:ascii="Calibri" w:hAnsi="Calibri"/>
          <w:i w:val="0"/>
          <w:iCs/>
          <w:color w:val="auto"/>
        </w:rPr>
        <w:t xml:space="preserve"> i zapis</w:t>
      </w:r>
      <w:r w:rsidR="00BC5B5E" w:rsidRPr="00FE48A6">
        <w:rPr>
          <w:rFonts w:ascii="Calibri" w:hAnsi="Calibri"/>
          <w:i w:val="0"/>
          <w:iCs/>
          <w:color w:val="auto"/>
        </w:rPr>
        <w:t xml:space="preserve"> stanu z repozytorium </w:t>
      </w:r>
      <w:r w:rsidRPr="00FE48A6">
        <w:rPr>
          <w:rFonts w:ascii="Calibri" w:hAnsi="Calibri"/>
          <w:i w:val="0"/>
          <w:iCs/>
          <w:color w:val="auto"/>
        </w:rPr>
        <w:t xml:space="preserve">z i </w:t>
      </w:r>
      <w:r w:rsidR="00BC5B5E" w:rsidRPr="00FE48A6">
        <w:rPr>
          <w:rFonts w:ascii="Calibri" w:hAnsi="Calibri"/>
          <w:i w:val="0"/>
          <w:iCs/>
          <w:color w:val="auto"/>
        </w:rPr>
        <w:t>do pamięci</w:t>
      </w:r>
    </w:p>
    <w:p w14:paraId="7393B293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zapis stanu systemu z pamięci do repozytorium</w:t>
      </w:r>
    </w:p>
    <w:p w14:paraId="7860263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wprowadzenie nowego pojazdu</w:t>
      </w:r>
    </w:p>
    <w:p w14:paraId="075ED34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skasowanie istniejącego pojazdu</w:t>
      </w:r>
    </w:p>
    <w:p w14:paraId="6D2C10CF" w14:textId="165E1092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zarządzanie pojazdami przez operatora:</w:t>
      </w:r>
    </w:p>
    <w:p w14:paraId="6B70812F" w14:textId="14C2AC06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dodawanie pojazdów</w:t>
      </w:r>
    </w:p>
    <w:p w14:paraId="0B4E1DD3" w14:textId="7714EA0A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edycja pojazdów</w:t>
      </w:r>
    </w:p>
    <w:p w14:paraId="7863698E" w14:textId="3FE3C571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usuwanie pojazdów</w:t>
      </w:r>
    </w:p>
    <w:p w14:paraId="201A6402" w14:textId="31AE7F57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wyświetlanie danych o pojazdach</w:t>
      </w:r>
    </w:p>
    <w:p w14:paraId="0E57FF54" w14:textId="14AA2E45" w:rsidR="00FE48A6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łączenie i rozłączanie pojazdów w zespoły pojazdów według zdefiniowanych zasad</w:t>
      </w:r>
    </w:p>
    <w:p w14:paraId="15A5FCBB" w14:textId="57175924" w:rsidR="001E1C2E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ładunek i rozładunek pojazdów z przestrzenią ładunkową według zdefiniowanych zasad</w:t>
      </w:r>
    </w:p>
    <w:p w14:paraId="309AAC54" w14:textId="55D3D730" w:rsidR="00EF57CC" w:rsidRPr="00372818" w:rsidRDefault="00EF57CC" w:rsidP="005D3333">
      <w:pPr>
        <w:pStyle w:val="SRS-nagwek1"/>
      </w:pPr>
      <w:bookmarkStart w:id="9" w:name="_Toc499391669"/>
      <w:r w:rsidRPr="00372818">
        <w:lastRenderedPageBreak/>
        <w:t>Model procesów biznesowych</w:t>
      </w:r>
      <w:bookmarkEnd w:id="9"/>
    </w:p>
    <w:p w14:paraId="1B187852" w14:textId="79DA02A1" w:rsidR="00A6304A" w:rsidRDefault="001823E8" w:rsidP="00091A1E">
      <w:pPr>
        <w:pStyle w:val="SRS-Nagwek2"/>
      </w:pPr>
      <w:bookmarkStart w:id="10" w:name="_Toc499391670"/>
      <w:r w:rsidRPr="00372818">
        <w:t>Obiekty biznesowe</w:t>
      </w:r>
      <w:bookmarkEnd w:id="10"/>
    </w:p>
    <w:p w14:paraId="3B94F571" w14:textId="77777777" w:rsidR="00BE67D6" w:rsidRPr="00372818" w:rsidRDefault="00BE67D6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BE67D6" w:rsidRPr="00372818" w14:paraId="673300C7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1D8995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bookmarkStart w:id="11" w:name="_Hlk499390814"/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0867" w14:textId="4F097E05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</w:t>
            </w:r>
          </w:p>
        </w:tc>
      </w:tr>
      <w:tr w:rsidR="00BE67D6" w:rsidRPr="00C62EEA" w14:paraId="3657F5DF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1B653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9D75" w14:textId="0AE0F26E" w:rsidR="00BE67D6" w:rsidRDefault="00BE67D6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</w:t>
            </w:r>
            <w:r w:rsidR="000A2620">
              <w:rPr>
                <w:rFonts w:ascii="Calibri" w:hAnsi="Calibri"/>
                <w:bCs/>
                <w:lang w:val="pl-PL"/>
              </w:rPr>
              <w:t xml:space="preserve"> obiekt opisujący dowolną jednostkę jeżdżącą</w:t>
            </w:r>
            <w:r w:rsidR="00283992">
              <w:rPr>
                <w:rFonts w:ascii="Calibri" w:hAnsi="Calibri"/>
                <w:bCs/>
                <w:lang w:val="pl-PL"/>
              </w:rPr>
              <w:t>:</w:t>
            </w:r>
          </w:p>
          <w:p w14:paraId="72C12F2A" w14:textId="051A2749" w:rsidR="00283992" w:rsidRPr="002D77C2" w:rsidRDefault="00283992" w:rsidP="002D77C2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D77C2">
              <w:rPr>
                <w:rFonts w:ascii="Calibri" w:hAnsi="Calibri"/>
                <w:bCs/>
                <w:lang w:val="pl-PL"/>
              </w:rPr>
              <w:t>pojazd silnikowy</w:t>
            </w:r>
          </w:p>
          <w:p w14:paraId="62F4341A" w14:textId="5B85FE61" w:rsidR="00283992" w:rsidRPr="002D77C2" w:rsidRDefault="00283992" w:rsidP="002D77C2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D77C2">
              <w:rPr>
                <w:rFonts w:ascii="Calibri" w:hAnsi="Calibri"/>
                <w:bCs/>
                <w:lang w:val="pl-PL"/>
              </w:rPr>
              <w:t>pojazd bezsilnikowy</w:t>
            </w:r>
          </w:p>
          <w:p w14:paraId="1B78CB17" w14:textId="77777777" w:rsidR="005C3B40" w:rsidRPr="005C3B40" w:rsidRDefault="005C3B40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</w:p>
          <w:p w14:paraId="2429B485" w14:textId="461B4FAD" w:rsidR="009A151A" w:rsidRDefault="009A151A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Każdy pojazd opisywany jest z</w:t>
            </w:r>
            <w:r>
              <w:rPr>
                <w:rFonts w:ascii="Calibri" w:hAnsi="Calibri"/>
                <w:bCs/>
                <w:lang w:val="pl-PL"/>
              </w:rPr>
              <w:t>estawem parametrów:</w:t>
            </w:r>
          </w:p>
          <w:p w14:paraId="20CC75A5" w14:textId="037E3915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 xml:space="preserve">Identyfikator (liczba całkowita </w:t>
            </w:r>
            <w:r w:rsidR="00283992" w:rsidRPr="00251B3F">
              <w:rPr>
                <w:rFonts w:ascii="Calibri" w:hAnsi="Calibri"/>
                <w:bCs/>
                <w:lang w:val="pl-PL"/>
              </w:rPr>
              <w:t>do</w:t>
            </w:r>
            <w:r w:rsidRPr="00251B3F">
              <w:rPr>
                <w:rFonts w:ascii="Calibri" w:hAnsi="Calibri"/>
                <w:bCs/>
                <w:lang w:val="pl-PL"/>
              </w:rPr>
              <w:t>datnia)</w:t>
            </w:r>
          </w:p>
          <w:p w14:paraId="37D8F545" w14:textId="3D7247EA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Opis (opcjonalna krótka wiadomość opisująca pojazd)</w:t>
            </w:r>
          </w:p>
          <w:p w14:paraId="01B95F89" w14:textId="2E3C9A18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VIN (Vehicle Identification Number</w:t>
            </w:r>
            <w:r w:rsidR="00283992" w:rsidRPr="00251B3F">
              <w:rPr>
                <w:rFonts w:ascii="Calibri" w:hAnsi="Calibri"/>
                <w:bCs/>
                <w:lang w:val="pl-PL"/>
              </w:rPr>
              <w:t>, składający się z 15 lub 17 znaków alfanumerycznych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0ECEB5D1" w14:textId="4D580CC8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Rok produkcji</w:t>
            </w:r>
            <w:r w:rsidR="00283992" w:rsidRPr="00251B3F">
              <w:rPr>
                <w:rFonts w:ascii="Calibri" w:hAnsi="Calibri"/>
                <w:bCs/>
                <w:lang w:val="pl-PL"/>
              </w:rPr>
              <w:t xml:space="preserve"> (czterocyfrowa liczba całkowita w zakresie od roku 1900 do roku bieżącego)</w:t>
            </w:r>
          </w:p>
          <w:p w14:paraId="66E3C859" w14:textId="068970C6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Parametry silnika (</w:t>
            </w:r>
            <w:r w:rsidR="009657DB" w:rsidRPr="00251B3F">
              <w:rPr>
                <w:rFonts w:ascii="Calibri" w:hAnsi="Calibri"/>
                <w:bCs/>
                <w:lang w:val="pl-PL"/>
              </w:rPr>
              <w:t>wymagane dla pojazdów silnikowych, brak dla pojazdów bezsilnikowych. Opis przedstawiony poniżej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7EAC62D1" w14:textId="3C1A2F5C" w:rsidR="009A151A" w:rsidRPr="00A27B1D" w:rsidRDefault="009A151A" w:rsidP="00A27B1D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Rodzaj przestrzeni ładunkowej (</w:t>
            </w:r>
            <w:r w:rsidR="009657DB" w:rsidRPr="00251B3F">
              <w:rPr>
                <w:rFonts w:ascii="Calibri" w:hAnsi="Calibri"/>
                <w:bCs/>
                <w:lang w:val="pl-PL"/>
              </w:rPr>
              <w:t xml:space="preserve">wymagane dla </w:t>
            </w:r>
            <w:r w:rsidR="0065091E" w:rsidRPr="00251B3F">
              <w:rPr>
                <w:rFonts w:ascii="Calibri" w:hAnsi="Calibri"/>
                <w:bCs/>
                <w:lang w:val="pl-PL"/>
              </w:rPr>
              <w:t>pojazdów bezsilnikowych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</w:tc>
      </w:tr>
      <w:tr w:rsidR="00251B3F" w:rsidRPr="00372818" w14:paraId="553651C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8F7C04E" w14:textId="2A2325A8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399253C" w14:textId="67741552" w:rsidR="00251B3F" w:rsidRP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Silnik</w:t>
            </w:r>
          </w:p>
        </w:tc>
      </w:tr>
      <w:tr w:rsidR="00251B3F" w:rsidRPr="00C62EEA" w14:paraId="31FDCB7C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91D6409" w14:textId="457755EE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92454D5" w14:textId="77777777" w:rsid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Obiekt definiowany wewnątrz pojazdu silnikowego. Definiowany następującymi parametrami:</w:t>
            </w:r>
          </w:p>
          <w:p w14:paraId="107AC24F" w14:textId="1E3D8955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Nazwa (tekst</w:t>
            </w:r>
            <w:r w:rsidR="00C60CE2">
              <w:rPr>
                <w:rFonts w:ascii="Calibri" w:hAnsi="Calibri"/>
                <w:bCs/>
                <w:lang w:val="pl-PL"/>
              </w:rPr>
              <w:t xml:space="preserve"> na podstawie </w:t>
            </w:r>
            <w:r>
              <w:rPr>
                <w:rFonts w:ascii="Calibri" w:hAnsi="Calibri"/>
                <w:bCs/>
                <w:lang w:val="pl-PL"/>
              </w:rPr>
              <w:t>pozycji katalogowej producenta)</w:t>
            </w:r>
          </w:p>
          <w:p w14:paraId="3E8EAC31" w14:textId="00CBD3A2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Pojemność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, cm3)</w:t>
            </w:r>
          </w:p>
          <w:p w14:paraId="3793890F" w14:textId="5B8E7C9B" w:rsidR="00C60CE2" w:rsidRPr="00C57D42" w:rsidRDefault="00251B3F" w:rsidP="00C57D42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Liczba koni mechanicznych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)</w:t>
            </w:r>
          </w:p>
        </w:tc>
      </w:tr>
      <w:tr w:rsidR="00C57D42" w:rsidRPr="00251B3F" w14:paraId="68833983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75EBBD5" w14:textId="25C674A1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8588F6E" w14:textId="67D320E6" w:rsidR="00C57D42" w:rsidRP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Przestrzeń ładunkowa</w:t>
            </w:r>
          </w:p>
        </w:tc>
      </w:tr>
      <w:tr w:rsidR="00C57D42" w:rsidRPr="00C62EEA" w14:paraId="388F61D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8A43A75" w14:textId="44EAB459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4F638919" w14:textId="2CD0FEDD" w:rsidR="00C57D42" w:rsidRPr="00C57D42" w:rsidRDefault="00A6304A" w:rsidP="00C62EEA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 o</w:t>
            </w:r>
            <w:r w:rsidR="00C57D42">
              <w:rPr>
                <w:rFonts w:ascii="Calibri" w:hAnsi="Calibri"/>
                <w:bCs/>
                <w:lang w:val="pl-PL"/>
              </w:rPr>
              <w:t>biekt definiowany wewnątrz pojazdu</w:t>
            </w:r>
            <w:r w:rsidR="00C62EEA">
              <w:rPr>
                <w:rFonts w:ascii="Calibri" w:hAnsi="Calibri"/>
                <w:bCs/>
                <w:lang w:val="pl-PL"/>
              </w:rPr>
              <w:t xml:space="preserve"> z którego dziedziczą opisane poniżej typy przestrzeni ładunkowej.</w:t>
            </w:r>
          </w:p>
        </w:tc>
      </w:tr>
      <w:tr w:rsidR="00A6304A" w:rsidRPr="00251B3F" w14:paraId="1353A89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72D817D" w14:textId="0B369B97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7CD8AD4" w14:textId="316C53DF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Skrzyniowa przestrzeń ładunkowa</w:t>
            </w:r>
          </w:p>
        </w:tc>
      </w:tr>
      <w:tr w:rsidR="00A6304A" w:rsidRPr="00251B3F" w14:paraId="0FD569E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F4864F7" w14:textId="08F741C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42412BC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skrzyniowego. Opisywany następującymi parametrami:</w:t>
            </w:r>
          </w:p>
          <w:p w14:paraId="12045100" w14:textId="758823D1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Szerokość (w centymetrach, liczba całkowita dodatnia)</w:t>
            </w:r>
          </w:p>
          <w:p w14:paraId="54A50E93" w14:textId="70ED5887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Wysokość (w centymetrach, liczba całkowita dodatnia)</w:t>
            </w:r>
          </w:p>
          <w:p w14:paraId="1751F6B3" w14:textId="712E8148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Długość (w centymetrach, liczba całkowita dodatnia)</w:t>
            </w:r>
          </w:p>
          <w:p w14:paraId="07562BA7" w14:textId="69704924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Lista towarów typu skrzyniowego.</w:t>
            </w:r>
          </w:p>
        </w:tc>
      </w:tr>
      <w:tr w:rsidR="00A6304A" w:rsidRPr="00251B3F" w14:paraId="0AB745C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B44558" w14:textId="658439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0D51C9C" w14:textId="04AE5A90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Kontenerowa przestrzeń ładunkowa</w:t>
            </w:r>
          </w:p>
        </w:tc>
      </w:tr>
      <w:tr w:rsidR="00A6304A" w:rsidRPr="00251B3F" w14:paraId="02CA9A14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3EB6C84" w14:textId="51BDFB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2ACF166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kontenerowego. Opisywany następującymi parametrami:</w:t>
            </w:r>
          </w:p>
          <w:p w14:paraId="053D6E01" w14:textId="4CA57972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Maksymalna liczba kontenerów (liczba całkowita dodatnia)</w:t>
            </w:r>
          </w:p>
          <w:p w14:paraId="39AED267" w14:textId="089FA189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Lista kontenerów</w:t>
            </w:r>
          </w:p>
        </w:tc>
      </w:tr>
      <w:tr w:rsidR="00A6304A" w:rsidRPr="00251B3F" w14:paraId="2684FD3B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928A6F2" w14:textId="3761236F" w:rsidR="00A6304A" w:rsidRP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lang w:val="pl-PL"/>
              </w:rPr>
            </w:pPr>
            <w:r w:rsidRPr="00A6304A">
              <w:rPr>
                <w:rFonts w:ascii="Calibri" w:hAnsi="Calibri"/>
                <w:b/>
                <w:bCs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7997E0A" w14:textId="29665883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Cysternowa przestrzeń ładunkowa</w:t>
            </w:r>
          </w:p>
        </w:tc>
      </w:tr>
      <w:tr w:rsidR="00A6304A" w:rsidRPr="00251B3F" w14:paraId="41DE9470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50EA86E" w14:textId="2A561A58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9D9008C" w14:textId="6ABE41C0" w:rsidR="00091A1E" w:rsidRDefault="00A6304A" w:rsidP="00091A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płynnego.</w:t>
            </w:r>
            <w:r w:rsidR="00091A1E">
              <w:rPr>
                <w:rFonts w:ascii="Calibri" w:hAnsi="Calibri"/>
                <w:bCs/>
                <w:lang w:val="pl-PL"/>
              </w:rPr>
              <w:t xml:space="preserve"> Opisywany listą parametrów:</w:t>
            </w:r>
          </w:p>
          <w:p w14:paraId="1FED4BE0" w14:textId="11E49025" w:rsidR="00091A1E" w:rsidRPr="000D773A" w:rsidRDefault="00091A1E" w:rsidP="000D773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D773A">
              <w:rPr>
                <w:rFonts w:ascii="Calibri" w:hAnsi="Calibri"/>
                <w:bCs/>
                <w:lang w:val="pl-PL"/>
              </w:rPr>
              <w:t>Pojemność (w litrach, opisywana liczbą całkowitą dodatnią)</w:t>
            </w:r>
          </w:p>
          <w:p w14:paraId="2E605D0D" w14:textId="605F43D4" w:rsidR="00091A1E" w:rsidRPr="000D773A" w:rsidRDefault="00091A1E" w:rsidP="000D773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D773A">
              <w:rPr>
                <w:rFonts w:ascii="Calibri" w:hAnsi="Calibri"/>
                <w:bCs/>
                <w:lang w:val="pl-PL"/>
              </w:rPr>
              <w:t>Towar typu płynnego</w:t>
            </w:r>
          </w:p>
        </w:tc>
      </w:tr>
      <w:tr w:rsidR="00251B3F" w:rsidRPr="00372818" w14:paraId="16BB80C8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6CC447B" w14:textId="0DB01F17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56BE1A1" w14:textId="3B63342F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 silnikowy</w:t>
            </w:r>
          </w:p>
        </w:tc>
      </w:tr>
      <w:tr w:rsidR="00251B3F" w:rsidRPr="00091A1E" w14:paraId="18495CA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2484156" w14:textId="0CFD080A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8FF616D" w14:textId="5C65844A" w:rsidR="00251B3F" w:rsidRPr="007544D2" w:rsidRDefault="00091A1E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251B3F">
              <w:rPr>
                <w:rFonts w:ascii="Calibri" w:hAnsi="Calibri"/>
                <w:bCs/>
                <w:lang w:val="pl-PL"/>
              </w:rPr>
              <w:t>Parametry silnika są wymagane do uzupełnienia. Jest możliwość podczepienia przyczepy.</w:t>
            </w:r>
          </w:p>
        </w:tc>
      </w:tr>
      <w:tr w:rsidR="004E4D6F" w:rsidRPr="00372818" w14:paraId="14BDBF02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17351A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lastRenderedPageBreak/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01019E1" w14:textId="035B8EA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Ciągnik siodłowy</w:t>
            </w:r>
          </w:p>
        </w:tc>
      </w:tr>
      <w:tr w:rsidR="004E4D6F" w:rsidRPr="00091A1E" w14:paraId="572F3E9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55634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CE736F" w14:textId="759C43D8" w:rsidR="004E4D6F" w:rsidRPr="00372818" w:rsidRDefault="00091A1E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Szczególny rodzaj pojazdu. </w:t>
            </w:r>
            <w:r w:rsidR="007544D2">
              <w:rPr>
                <w:rFonts w:ascii="Calibri" w:hAnsi="Calibri"/>
                <w:lang w:val="pl-PL"/>
              </w:rPr>
              <w:t>Parametry silnika są wymagane do uzupełnienia. Jest możliwość podczepienia naczepy.</w:t>
            </w:r>
          </w:p>
        </w:tc>
      </w:tr>
      <w:tr w:rsidR="004E4D6F" w:rsidRPr="00372818" w14:paraId="01013F0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811BD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150F85" w14:textId="337A7FCF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Przyczepa</w:t>
            </w:r>
          </w:p>
        </w:tc>
      </w:tr>
      <w:tr w:rsidR="004E4D6F" w:rsidRPr="000B4734" w14:paraId="1EE2F96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7DCB8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99E0998" w14:textId="7E2B724B" w:rsidR="004E4D6F" w:rsidRPr="00675166" w:rsidRDefault="00091A1E" w:rsidP="00E91B8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675166">
              <w:rPr>
                <w:rFonts w:ascii="Calibri" w:hAnsi="Calibri"/>
                <w:bCs/>
                <w:lang w:val="pl-PL"/>
              </w:rPr>
              <w:t>Wymagana do uzupełnienia przestrzeń ładunkowa. Możliwa do podczepienia przez pojazd samobieżny.</w:t>
            </w:r>
          </w:p>
        </w:tc>
      </w:tr>
    </w:tbl>
    <w:p w14:paraId="12A43E4B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F67273" w14:textId="77777777" w:rsidR="00EF57CC" w:rsidRPr="00372818" w:rsidRDefault="00EF57CC" w:rsidP="005D3333">
      <w:pPr>
        <w:pStyle w:val="SRS-Nagwek2"/>
      </w:pPr>
      <w:bookmarkStart w:id="12" w:name="_Toc499391671"/>
      <w:bookmarkEnd w:id="11"/>
      <w:r w:rsidRPr="00372818"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2"/>
    </w:p>
    <w:p w14:paraId="26919041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3" w:name="_Hlk499390803"/>
      <w:r w:rsidRPr="00372818">
        <w:t>Szablon opisu aktora może wyglądać następująco:</w:t>
      </w:r>
    </w:p>
    <w:p w14:paraId="3957C55C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79B0D4C1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73B39A7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61FB6B3" w14:textId="6E27A2BA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A1</w:t>
            </w:r>
          </w:p>
        </w:tc>
      </w:tr>
      <w:tr w:rsidR="00372818" w:rsidRPr="00372818" w14:paraId="2577BC72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FDEE741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55A54E5" w14:textId="40C9E997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Operator</w:t>
            </w:r>
          </w:p>
        </w:tc>
      </w:tr>
      <w:tr w:rsidR="00372818" w:rsidRPr="00C62EEA" w14:paraId="60C2CEFB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85209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73FAC52" w14:textId="5DC92E47" w:rsidR="00372818" w:rsidRPr="00E47124" w:rsidRDefault="00E47124" w:rsidP="00372818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Podstawowy użytkownik aplikacji. Może przeglądać listy pojazdów i informacje na temat każdego z pojazdów. Może przeprowadzać załadunek i rozładunek pojazdów oraz łączenie i rozłączanie zespołów pojazdów.</w:t>
            </w:r>
          </w:p>
        </w:tc>
      </w:tr>
    </w:tbl>
    <w:p w14:paraId="0D140C62" w14:textId="1473645A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E47124" w:rsidRPr="00372818" w14:paraId="303A8FA6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32950FF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1315390E" w14:textId="4B5FCBF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A2</w:t>
            </w:r>
          </w:p>
        </w:tc>
      </w:tr>
      <w:tr w:rsidR="00E47124" w:rsidRPr="00372818" w14:paraId="72452988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1A5AAAC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5B915A61" w14:textId="60A9BA4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Administrator</w:t>
            </w:r>
          </w:p>
        </w:tc>
      </w:tr>
      <w:tr w:rsidR="00E47124" w:rsidRPr="00C62EEA" w14:paraId="5DDEAC37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2572EA1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45A4C9CE" w14:textId="499FA26D" w:rsidR="00E47124" w:rsidRPr="00E47124" w:rsidRDefault="00E47124" w:rsidP="005D219D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Użytkownik z uprawnieniami administratora</w:t>
            </w:r>
            <w:r w:rsidR="00DD394B">
              <w:rPr>
                <w:rFonts w:ascii="Calibri" w:hAnsi="Calibri"/>
                <w:bCs/>
                <w:lang w:val="pl-PL"/>
              </w:rPr>
              <w:t>. Może zarządzać użytkownikami systemu – dodawać, usuwać, edytować informacje i wyświetlać listę zarejestrowanych użytkowników i administratorów systemu.</w:t>
            </w:r>
          </w:p>
        </w:tc>
      </w:tr>
    </w:tbl>
    <w:p w14:paraId="4281A5A7" w14:textId="77777777" w:rsidR="00E47124" w:rsidRDefault="00E47124" w:rsidP="00E4712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9DD7F87" w14:textId="63CCA4C0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CD93D2E" w14:textId="76564F93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837BD13" w14:textId="67A44F51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583C76B" w14:textId="669D9B95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766874F" w14:textId="345AA86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14FC3617" w14:textId="005C2D2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B3C7C7E" w14:textId="4ACA0826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3A76482" w14:textId="6D931CD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FC72ADE" w14:textId="06C48C5E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D49B43C" w14:textId="18038F4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5B9BF347" w14:textId="77777777" w:rsidR="00091A1E" w:rsidRPr="00372818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7A750A0D" w14:textId="77777777" w:rsidR="001823E8" w:rsidRPr="00372818" w:rsidRDefault="001823E8" w:rsidP="005D3333">
      <w:pPr>
        <w:pStyle w:val="SRS-Nagwek2"/>
      </w:pPr>
      <w:bookmarkStart w:id="14" w:name="_Toc499391672"/>
      <w:bookmarkStart w:id="15" w:name="_Toc532315051"/>
      <w:bookmarkStart w:id="16" w:name="_Toc25916267"/>
      <w:bookmarkEnd w:id="13"/>
      <w:r w:rsidRPr="00372818">
        <w:t>Reguły biznesowe</w:t>
      </w:r>
      <w:bookmarkEnd w:id="14"/>
    </w:p>
    <w:p w14:paraId="770F8BC8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17" w:name="_Hlk499390834"/>
      <w:r w:rsidRPr="00372818">
        <w:t>Szablon opisu reguły biznesowej może wyglądać następująco:</w:t>
      </w:r>
    </w:p>
    <w:p w14:paraId="2A7269A0" w14:textId="77777777" w:rsidR="00372818" w:rsidRPr="00372818" w:rsidRDefault="00372818" w:rsidP="00372818">
      <w:pPr>
        <w:pStyle w:val="Tekst"/>
      </w:pPr>
    </w:p>
    <w:tbl>
      <w:tblPr>
        <w:tblW w:w="10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9"/>
        <w:gridCol w:w="3083"/>
        <w:gridCol w:w="2701"/>
        <w:gridCol w:w="3602"/>
      </w:tblGrid>
      <w:tr w:rsidR="00372818" w:rsidRPr="00372818" w14:paraId="5B0FC725" w14:textId="77777777" w:rsidTr="000B4734">
        <w:trPr>
          <w:trHeight w:val="454"/>
        </w:trPr>
        <w:tc>
          <w:tcPr>
            <w:tcW w:w="9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ADD3F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65D42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04564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E3C6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EB69FE" w14:paraId="6539E831" w14:textId="77777777" w:rsidTr="000B4734">
        <w:trPr>
          <w:trHeight w:val="454"/>
        </w:trPr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0757AD96" w14:textId="2D6908FD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R1</w:t>
            </w:r>
          </w:p>
        </w:tc>
        <w:tc>
          <w:tcPr>
            <w:tcW w:w="3082" w:type="dxa"/>
            <w:shd w:val="clear" w:color="auto" w:fill="FFFFFF"/>
            <w:vAlign w:val="center"/>
          </w:tcPr>
          <w:p w14:paraId="49AB107C" w14:textId="67AC7392" w:rsidR="00372818" w:rsidRPr="00372818" w:rsidRDefault="00EB69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Cysterna może być załadowana jednym rodzajem płynu</w:t>
            </w:r>
            <w:r w:rsidR="00E47124">
              <w:rPr>
                <w:rFonts w:ascii="Calibri" w:hAnsi="Calibri"/>
                <w:lang w:val="pl-PL"/>
              </w:rPr>
              <w:t>.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2A43957" w14:textId="003740D1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3138A5B5" w14:textId="5BF8E2EF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  <w:tr w:rsidR="000B4734" w:rsidRPr="00372818" w14:paraId="6064AAC4" w14:textId="77777777" w:rsidTr="000B4734">
        <w:trPr>
          <w:trHeight w:val="454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E26330" w14:textId="14BA02EC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R2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40C8B" w14:textId="7A614DF3" w:rsidR="000B4734" w:rsidRPr="00372818" w:rsidRDefault="000B4734" w:rsidP="00783EA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Ilość ładunku nie może przekraczać maksymalnej ładowności przestrzeni ładunkowej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61FDC0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506CA5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</w:tbl>
    <w:p w14:paraId="798D9F07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91AB9B7" w14:textId="77777777" w:rsidR="00EF57CC" w:rsidRPr="00372818" w:rsidRDefault="00EF57CC" w:rsidP="005D3333">
      <w:pPr>
        <w:pStyle w:val="SRS-Nagwek2"/>
      </w:pPr>
      <w:bookmarkStart w:id="18" w:name="_Toc499391673"/>
      <w:bookmarkEnd w:id="17"/>
      <w:r w:rsidRPr="00372818">
        <w:t>Procesy biznesowe</w:t>
      </w:r>
      <w:bookmarkEnd w:id="18"/>
    </w:p>
    <w:p w14:paraId="21538A28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19" w:name="_Hlk499390888"/>
      <w:r w:rsidRPr="00372818">
        <w:t>Można też dołączyć procesy jako załącznik do dokumentu.</w:t>
      </w:r>
      <w:bookmarkEnd w:id="19"/>
    </w:p>
    <w:p w14:paraId="1CE7F0DB" w14:textId="77777777" w:rsidR="00372818" w:rsidRPr="00372818" w:rsidRDefault="00372818" w:rsidP="00372818">
      <w:pPr>
        <w:pStyle w:val="Tekst"/>
      </w:pPr>
    </w:p>
    <w:p w14:paraId="090FD09D" w14:textId="77777777" w:rsidR="00EF57CC" w:rsidRPr="00372818" w:rsidRDefault="00EF57CC" w:rsidP="005D3333">
      <w:pPr>
        <w:pStyle w:val="SRS-nagwek1"/>
      </w:pPr>
      <w:bookmarkStart w:id="20" w:name="_Toc499391674"/>
      <w:bookmarkEnd w:id="15"/>
      <w:bookmarkEnd w:id="16"/>
      <w:r w:rsidRPr="00372818">
        <w:lastRenderedPageBreak/>
        <w:t>Wymagania funkcjonalne</w:t>
      </w:r>
      <w:bookmarkEnd w:id="20"/>
    </w:p>
    <w:p w14:paraId="3EC2BC5A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FC08DB4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A565AA" w:rsidRPr="00372818" w14:paraId="18814FF1" w14:textId="77777777" w:rsidTr="00A565AA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1A851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FD66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F1</w:t>
            </w:r>
          </w:p>
        </w:tc>
      </w:tr>
      <w:tr w:rsidR="00A565AA" w:rsidRPr="00372818" w14:paraId="1F323E77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48347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8D1382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Zarządzanie informacjami o pojazdach</w:t>
            </w:r>
          </w:p>
        </w:tc>
      </w:tr>
      <w:tr w:rsidR="00A565AA" w:rsidRPr="00A667AB" w14:paraId="68A2B66B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9325B5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A7FB9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A565AA" w:rsidRPr="000B4734" w14:paraId="2BF5BADA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D1B6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069C0" w14:textId="489B52A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może </w:t>
            </w:r>
            <w:r w:rsidR="00DD394B">
              <w:rPr>
                <w:rFonts w:asciiTheme="minorHAnsi" w:hAnsiTheme="minorHAnsi" w:cstheme="minorHAnsi"/>
                <w:lang w:val="pl-PL"/>
              </w:rPr>
              <w:t>zarządzać pojazdami.</w:t>
            </w:r>
          </w:p>
        </w:tc>
      </w:tr>
      <w:tr w:rsidR="00A565AA" w:rsidRPr="00C62EEA" w14:paraId="2FE6B732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0DF75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E026A" w14:textId="77777777" w:rsidR="00DD394B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</w:t>
            </w:r>
            <w:r w:rsidR="00DD394B">
              <w:rPr>
                <w:rFonts w:asciiTheme="minorHAnsi" w:hAnsiTheme="minorHAnsi" w:cstheme="minorHAnsi"/>
                <w:lang w:val="pl-PL"/>
              </w:rPr>
              <w:t>:</w:t>
            </w:r>
          </w:p>
          <w:p w14:paraId="52A1A1F0" w14:textId="7437C8AC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listę pojazdów, </w:t>
            </w:r>
          </w:p>
          <w:p w14:paraId="6382FC2B" w14:textId="5BF91704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dane pojedynczego pojazdu, </w:t>
            </w:r>
          </w:p>
          <w:p w14:paraId="1D2CD80F" w14:textId="713B6858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stworzyć nowy pojazd, </w:t>
            </w:r>
          </w:p>
          <w:p w14:paraId="4C495322" w14:textId="2DD3B365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zaktualizować dane pojazdu</w:t>
            </w:r>
            <w:r w:rsidR="00DD394B" w:rsidRP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1DC13490" w14:textId="2BA17AB3" w:rsid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skasować pojazd z listy</w:t>
            </w:r>
            <w:r w:rsid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6CECF2BA" w14:textId="27834AE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ciągnikowego z przyczepą</w:t>
            </w:r>
          </w:p>
          <w:p w14:paraId="72DE0C15" w14:textId="37D902D6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siodłowego z naczepą</w:t>
            </w:r>
          </w:p>
          <w:p w14:paraId="1B4EA330" w14:textId="5E9A577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załadunek pojazdu</w:t>
            </w:r>
          </w:p>
          <w:p w14:paraId="2AEA8F88" w14:textId="54BF3160" w:rsidR="00DD394B" w:rsidRP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rozładunek pojazdu</w:t>
            </w:r>
          </w:p>
          <w:p w14:paraId="5D9CE3BF" w14:textId="77777777" w:rsidR="00DD394B" w:rsidRDefault="00DD394B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</w:p>
          <w:p w14:paraId="6BD69CA5" w14:textId="180A48F0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Na etapie tworzenia lub aktualizacji pojazdu użytkownik uzupełnia następujące informacje:</w:t>
            </w:r>
          </w:p>
          <w:p w14:paraId="23445031" w14:textId="0E3C2A80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rodzaj pojazdu</w:t>
            </w:r>
          </w:p>
          <w:p w14:paraId="0EC53129" w14:textId="1D977493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ogólne parametry pojazdu (wyszczególnione w obiektach biznesowych)</w:t>
            </w:r>
          </w:p>
          <w:p w14:paraId="3DFB9EB4" w14:textId="39D32E6F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silnika (jw.)</w:t>
            </w:r>
          </w:p>
          <w:p w14:paraId="79042AB1" w14:textId="74A341B2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przestrzeni towarowej (jw.)</w:t>
            </w:r>
          </w:p>
        </w:tc>
      </w:tr>
      <w:tr w:rsidR="00777640" w:rsidRPr="00BC5AC5" w14:paraId="24602036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DDEE57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0D7C23" w14:textId="43039361" w:rsidR="00777640" w:rsidRPr="00777640" w:rsidRDefault="00777640" w:rsidP="0077764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2</w:t>
            </w:r>
          </w:p>
        </w:tc>
      </w:tr>
      <w:tr w:rsidR="00777640" w:rsidRPr="00C62EEA" w14:paraId="325CB69D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C074C3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C18B4" w14:textId="6E40F0E2" w:rsidR="00777640" w:rsidRPr="00777640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Zapis i odczyt z pliku</w:t>
            </w:r>
          </w:p>
        </w:tc>
      </w:tr>
      <w:tr w:rsidR="00777640" w:rsidRPr="00BC5AC5" w14:paraId="768944EF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67D61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ABA3" w14:textId="77777777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C62EEA" w14:paraId="125EB041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671EC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3031" w14:textId="2B5A4B5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zapisać/odczytać dane do/z pliku</w:t>
            </w:r>
            <w:r w:rsidR="00DE2248">
              <w:rPr>
                <w:rFonts w:asciiTheme="minorHAnsi" w:hAnsiTheme="minorHAnsi" w:cstheme="minorHAnsi"/>
                <w:lang w:val="pl-PL"/>
              </w:rPr>
              <w:t>.</w:t>
            </w:r>
          </w:p>
        </w:tc>
      </w:tr>
      <w:tr w:rsidR="00777640" w:rsidRPr="00BC5AC5" w14:paraId="0D9B9B59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C6908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3351" w14:textId="6F735DB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 bieżący stan magazynu w formie pliku tekstowego. Użytkownik może wczytać stan magazynu z pliku tekstowego.</w:t>
            </w:r>
          </w:p>
        </w:tc>
      </w:tr>
      <w:tr w:rsidR="00451807" w:rsidRPr="00777640" w14:paraId="08D21110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FC08F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B11AE" w14:textId="70699132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3</w:t>
            </w:r>
          </w:p>
        </w:tc>
      </w:tr>
      <w:tr w:rsidR="00451807" w:rsidRPr="00777640" w14:paraId="2F934D99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545E9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7F733" w14:textId="39094B3A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Autoryzacja użytkownik</w:t>
            </w:r>
            <w:r w:rsidR="001B3653">
              <w:rPr>
                <w:rFonts w:asciiTheme="minorHAnsi" w:hAnsiTheme="minorHAnsi" w:cstheme="minorHAnsi"/>
                <w:b/>
                <w:bCs/>
                <w:lang w:val="pl-PL"/>
              </w:rPr>
              <w:t>a</w:t>
            </w:r>
          </w:p>
        </w:tc>
      </w:tr>
      <w:tr w:rsidR="00451807" w:rsidRPr="00BC5AC5" w14:paraId="73D5612E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B9E7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AC28" w14:textId="77777777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451807" w:rsidRPr="00C62EEA" w14:paraId="758B8BFF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E1C11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A9D8" w14:textId="53C1BD35" w:rsidR="00451807" w:rsidRPr="00BC5AC5" w:rsidRDefault="001B3653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autoryzuje się przed rozpoczęciem pracy.</w:t>
            </w:r>
          </w:p>
        </w:tc>
      </w:tr>
      <w:tr w:rsidR="00451807" w:rsidRPr="00C62EEA" w14:paraId="1710872D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86AF40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D63C" w14:textId="636E485E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 w:rsidR="001B3653">
              <w:rPr>
                <w:rFonts w:asciiTheme="minorHAnsi" w:hAnsiTheme="minorHAnsi" w:cstheme="minorHAnsi"/>
                <w:lang w:val="pl-PL"/>
              </w:rPr>
              <w:t>loguje się na jedno z wielu kont. Dostępne są konta administratora oraz konta operatora.</w:t>
            </w:r>
          </w:p>
        </w:tc>
      </w:tr>
      <w:tr w:rsidR="00052E6C" w:rsidRPr="00451807" w14:paraId="276E0166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0209BB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3BF68B" w14:textId="5EE87E9E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4</w:t>
            </w:r>
          </w:p>
        </w:tc>
      </w:tr>
      <w:tr w:rsidR="00052E6C" w:rsidRPr="00C62EEA" w14:paraId="6652EBAD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3863CC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59565D" w14:textId="6E0B4992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Zarządzanie informacjami o użytkownikach przez administratora systemu</w:t>
            </w:r>
          </w:p>
        </w:tc>
      </w:tr>
      <w:tr w:rsidR="00052E6C" w:rsidRPr="00BC5AC5" w14:paraId="2E708618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8270A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6049" w14:textId="77777777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052E6C" w:rsidRPr="00C62EEA" w14:paraId="4104CD42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D51BB0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0807" w14:textId="3F90A6C3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</w:t>
            </w:r>
            <w:r w:rsidR="00DE2248">
              <w:rPr>
                <w:rFonts w:asciiTheme="minorHAnsi" w:hAnsiTheme="minorHAnsi" w:cstheme="minorHAnsi"/>
                <w:lang w:val="pl-PL"/>
              </w:rPr>
              <w:t>or może zarządzać użytkownikami w systemie.</w:t>
            </w:r>
          </w:p>
        </w:tc>
      </w:tr>
      <w:tr w:rsidR="00052E6C" w:rsidRPr="00BC5AC5" w14:paraId="5DCF209F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33936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BD75" w14:textId="7A6F09B5" w:rsidR="00052E6C" w:rsidRPr="00BC5AC5" w:rsidRDefault="00DE2248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Administrator może wyświetlać listę użytkowników zarejestrowanych w systemie. Administrator może wyświetlać szczegółowe informacje na temat użytkowników. Administrator może edytować informacje o użytkowniku. Administrator może kasować użytkowników.</w:t>
            </w:r>
          </w:p>
        </w:tc>
      </w:tr>
    </w:tbl>
    <w:p w14:paraId="06B5702B" w14:textId="77777777" w:rsidR="004B5A4C" w:rsidRPr="00372818" w:rsidRDefault="004B5A4C" w:rsidP="004B5A4C">
      <w:pPr>
        <w:rPr>
          <w:lang w:val="pl-PL"/>
        </w:rPr>
      </w:pPr>
    </w:p>
    <w:p w14:paraId="799CD8FD" w14:textId="77777777" w:rsidR="009C6DC4" w:rsidRPr="00372818" w:rsidRDefault="009C6DC4" w:rsidP="005D3333">
      <w:pPr>
        <w:pStyle w:val="SRS-nagwek1"/>
      </w:pPr>
      <w:bookmarkStart w:id="21" w:name="_Toc499391675"/>
      <w:r w:rsidRPr="00372818">
        <w:lastRenderedPageBreak/>
        <w:t>Wymagania niefunkcjonalne</w:t>
      </w:r>
      <w:bookmarkEnd w:id="21"/>
    </w:p>
    <w:p w14:paraId="113D6B08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7C3FD4F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9642D5" w:rsidRPr="00372818" w14:paraId="1C9A731A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56FCB0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28B452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N1</w:t>
            </w:r>
          </w:p>
        </w:tc>
      </w:tr>
      <w:tr w:rsidR="009642D5" w:rsidRPr="00372818" w14:paraId="6D2CD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3E6098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0C913E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Platforma Windows 10</w:t>
            </w:r>
          </w:p>
        </w:tc>
      </w:tr>
      <w:tr w:rsidR="009642D5" w:rsidRPr="00EB69FE" w14:paraId="0EDE7CA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B2CE7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68EBB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9642D5" w:rsidRPr="00C62EEA" w14:paraId="76270B1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172B5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A414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ma działać na platformie Windows 10.</w:t>
            </w:r>
          </w:p>
        </w:tc>
      </w:tr>
      <w:tr w:rsidR="009642D5" w:rsidRPr="00C62EEA" w14:paraId="129356AA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2854B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070C7" w14:textId="7555B54B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jest projektowany pod kątem używania na komputerach z systemem Windows 10.</w:t>
            </w:r>
            <w:r w:rsidR="00A43647">
              <w:rPr>
                <w:rFonts w:ascii="Calibri" w:hAnsi="Calibri"/>
                <w:lang w:val="pl-PL"/>
              </w:rPr>
              <w:t xml:space="preserve"> System musi być przystosowany do uruchomienia administracji (wymagana zainstalowana wersja Java Virtual Machine).</w:t>
            </w:r>
          </w:p>
        </w:tc>
      </w:tr>
      <w:tr w:rsidR="00372818" w:rsidRPr="00372818" w14:paraId="0B6D906F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9F76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F3EA3A" w14:textId="2BD6CB8D" w:rsidR="00372818" w:rsidRPr="00372818" w:rsidRDefault="00180CD5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</w:t>
            </w:r>
            <w:r w:rsidR="009642D5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372818" w:rsidRPr="00372818" w14:paraId="5074BDA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AB23E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A4A5AE" w14:textId="2B7106FD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Interfejs graficzny</w:t>
            </w:r>
          </w:p>
        </w:tc>
      </w:tr>
      <w:tr w:rsidR="00372818" w:rsidRPr="00EB69FE" w14:paraId="45DF6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9DA244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6CD51" w14:textId="20691EE0" w:rsidR="00372818" w:rsidRPr="00372818" w:rsidRDefault="00180C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C62EEA" w14:paraId="016404C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962E8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42B75" w14:textId="41AA348F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ma być w postaci graficznej (GUI).</w:t>
            </w:r>
          </w:p>
        </w:tc>
      </w:tr>
      <w:tr w:rsidR="00372818" w:rsidRPr="00C62EEA" w14:paraId="516C77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898B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699F0" w14:textId="396A00C6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jest projektowany jako graficzny, z wykorzystaniem biblioteki Swing.</w:t>
            </w:r>
          </w:p>
        </w:tc>
      </w:tr>
      <w:tr w:rsidR="00DE2248" w:rsidRPr="00372818" w14:paraId="045685FB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278915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2D448" w14:textId="30733A3E" w:rsidR="00DE2248" w:rsidRPr="00DE2248" w:rsidRDefault="00DE2248" w:rsidP="00DE2248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 w:rsidRPr="00DE2248">
              <w:rPr>
                <w:rFonts w:ascii="Calibri" w:hAnsi="Calibri"/>
                <w:b/>
                <w:bCs/>
                <w:lang w:val="pl-PL"/>
              </w:rPr>
              <w:t>N3</w:t>
            </w:r>
          </w:p>
        </w:tc>
      </w:tr>
      <w:tr w:rsidR="00DE2248" w:rsidRPr="00372818" w14:paraId="30F47F87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5EAE07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46ECB9" w14:textId="118CA053" w:rsidR="00DE2248" w:rsidRPr="00DE2248" w:rsidRDefault="00DE2248" w:rsidP="0047401E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>
              <w:rPr>
                <w:rFonts w:ascii="Calibri" w:hAnsi="Calibri"/>
                <w:b/>
                <w:bCs/>
                <w:lang w:val="pl-PL"/>
              </w:rPr>
              <w:t>Pamięć trwała</w:t>
            </w:r>
          </w:p>
        </w:tc>
      </w:tr>
      <w:tr w:rsidR="00DE2248" w:rsidRPr="00372818" w14:paraId="1203ADCF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CD1D8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1D84D" w14:textId="77777777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DE2248" w:rsidRPr="00C62EEA" w14:paraId="3762AA2A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2F9BA4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BA51" w14:textId="7008E6A0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o systemie mają być przechowywane pomiędzy sesjami w pliku JSON.</w:t>
            </w:r>
          </w:p>
        </w:tc>
      </w:tr>
      <w:tr w:rsidR="00DE2248" w:rsidRPr="00C62EEA" w14:paraId="5017A0B9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26E6F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BC03" w14:textId="36CFED7A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Musi być możliwe przechowywanie informacji na temat bieżącego stanu magazynu. Stan magazynu musi być przechowywany w postaci pliku tekstowego w formacie JSON we wskazanym przez użytkownika miejscu w systemie plików. Stan magazynu musi być możliwy do wczytania oraz zapisu w czasie pracy programu.</w:t>
            </w:r>
          </w:p>
        </w:tc>
      </w:tr>
    </w:tbl>
    <w:p w14:paraId="49280E78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20BFF63A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7F55C05F" w14:textId="77777777" w:rsidR="009C6DC4" w:rsidRPr="00372818" w:rsidRDefault="009C6DC4" w:rsidP="005D3333">
      <w:pPr>
        <w:pStyle w:val="SRS-nagwek1"/>
      </w:pPr>
      <w:bookmarkStart w:id="22" w:name="_Toc499391676"/>
      <w:r w:rsidRPr="00372818">
        <w:lastRenderedPageBreak/>
        <w:t>Analiza wymagań</w:t>
      </w:r>
      <w:bookmarkEnd w:id="22"/>
      <w:r w:rsidRPr="00372818">
        <w:t xml:space="preserve"> </w:t>
      </w:r>
    </w:p>
    <w:p w14:paraId="17C1EA4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0545AA0C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5C993253" w14:textId="77777777" w:rsidR="009C6DC4" w:rsidRPr="00372818" w:rsidRDefault="009C6DC4" w:rsidP="005D3333">
      <w:pPr>
        <w:pStyle w:val="SRS-Nagwek2"/>
      </w:pPr>
      <w:bookmarkStart w:id="23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3"/>
    </w:p>
    <w:p w14:paraId="7C2C7B2E" w14:textId="77777777" w:rsidR="009C6DC4" w:rsidRPr="00372818" w:rsidRDefault="009C6DC4" w:rsidP="005D3333">
      <w:pPr>
        <w:pStyle w:val="SRS-Nagwek3"/>
      </w:pPr>
      <w:bookmarkStart w:id="24" w:name="_Toc242944142"/>
      <w:bookmarkStart w:id="25" w:name="_Toc499391678"/>
      <w:r w:rsidRPr="00372818">
        <w:t>Opis i priorytet</w:t>
      </w:r>
      <w:bookmarkEnd w:id="24"/>
      <w:bookmarkEnd w:id="25"/>
    </w:p>
    <w:p w14:paraId="517E9C87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0147DAF6" w14:textId="77777777" w:rsidR="005D3333" w:rsidRPr="00372818" w:rsidRDefault="005D3333" w:rsidP="005D3333">
      <w:pPr>
        <w:pStyle w:val="SRS-Nagwek3"/>
      </w:pPr>
      <w:bookmarkStart w:id="26" w:name="_Toc499391679"/>
      <w:bookmarkStart w:id="27" w:name="_Toc242944143"/>
      <w:r w:rsidRPr="00372818">
        <w:t>Diagram przypadków użycia</w:t>
      </w:r>
      <w:bookmarkEnd w:id="26"/>
    </w:p>
    <w:p w14:paraId="3CA7C2C5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0AE7CA46" w14:textId="77777777" w:rsidR="009C6DC4" w:rsidRPr="00372818" w:rsidRDefault="00B22D5B" w:rsidP="005D3333">
      <w:pPr>
        <w:pStyle w:val="SRS-Nagwek3"/>
      </w:pPr>
      <w:bookmarkStart w:id="28" w:name="_Toc499391680"/>
      <w:r w:rsidRPr="00372818">
        <w:t>&lt;Nazwa przypadku</w:t>
      </w:r>
      <w:r w:rsidR="009C6DC4" w:rsidRPr="00372818">
        <w:t xml:space="preserve"> użycia</w:t>
      </w:r>
      <w:bookmarkEnd w:id="27"/>
      <w:r w:rsidRPr="00372818">
        <w:t>&gt;</w:t>
      </w:r>
      <w:bookmarkEnd w:id="28"/>
    </w:p>
    <w:p w14:paraId="7947A20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4C2045D4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BC886A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BAF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7A317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398344E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20E4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8019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C62EEA" w14:paraId="6841D32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3BA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E7BB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C62EEA" w14:paraId="2075F82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D11E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4417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23FFC42D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BDAC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F5BD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2C6E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911D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238761D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C67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A8F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DED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E921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3315673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608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ED3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A8C122F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75F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D3FC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72E0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C22D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16AF168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8D1D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448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560077E2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C62EEA" w14:paraId="422D947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0B7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CEF0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90A7B6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C62EEA" w14:paraId="55F0DBA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200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A0B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4F092E0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9EF1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C62EEA" w14:paraId="37582E6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E8B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497E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59580565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182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AD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C7C7E0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CB3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016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20CF820C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53BCC91F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3E3DF62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D598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8F62DA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BFA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790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C62EEA" w14:paraId="676F72B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2424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52C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357513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5FAAEF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67E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8E9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603CDFCF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4DF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65AF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633B9B2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3967DAAD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4BBF93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F48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6B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C62EEA" w14:paraId="705D1E2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D7E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AB02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420F14C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A16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A63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7AEEB2F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ECF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5F7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3926D229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215953C0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65849514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4426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C62EEA" w14:paraId="37B5748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FF6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C64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3F3A394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6068AFD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16F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E2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5FF2319D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FC2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930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5820982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6305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997C8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4FF0A5C0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77A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C62EEA" w14:paraId="24DC3DA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38D4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838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047F5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0C18D0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16B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34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46C1DB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EA4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7C2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432EBB0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F1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D3B75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30D59F8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552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C62EEA" w14:paraId="65599C0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B5F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CB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&lt;&lt;include&gt;&gt;</w:t>
            </w:r>
          </w:p>
          <w:p w14:paraId="3A7CE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C62EEA" w14:paraId="3917C10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0D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6FE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&lt;&lt;extend&gt;&gt;</w:t>
            </w:r>
          </w:p>
          <w:p w14:paraId="1E47872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5F54DA52" w14:textId="77777777" w:rsidR="00BD250F" w:rsidRPr="00372818" w:rsidRDefault="00BD250F">
      <w:pPr>
        <w:pStyle w:val="SRS-Komentarz"/>
      </w:pPr>
    </w:p>
    <w:p w14:paraId="55485F25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5476E2BC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FE52D65" w14:textId="77777777" w:rsidR="000D59ED" w:rsidRPr="00372818" w:rsidRDefault="00BC5AC5" w:rsidP="000D59ED">
      <w:pPr>
        <w:pStyle w:val="SRS-nagwek1"/>
      </w:pPr>
      <w:bookmarkStart w:id="29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29"/>
    </w:p>
    <w:p w14:paraId="460B797F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4140D614" w14:textId="77777777" w:rsidR="00BC5AC5" w:rsidRDefault="00BC5AC5" w:rsidP="004B6501">
      <w:pPr>
        <w:pStyle w:val="Tekst"/>
      </w:pPr>
    </w:p>
    <w:p w14:paraId="6F61880B" w14:textId="77777777" w:rsidR="00BC5AC5" w:rsidRPr="00372818" w:rsidRDefault="00BC5AC5" w:rsidP="00BC5AC5">
      <w:pPr>
        <w:pStyle w:val="SRS-nagwek1"/>
      </w:pPr>
      <w:bookmarkStart w:id="30" w:name="_Toc499391682"/>
      <w:r w:rsidRPr="00372818">
        <w:lastRenderedPageBreak/>
        <w:t>Model systemu</w:t>
      </w:r>
      <w:bookmarkEnd w:id="30"/>
    </w:p>
    <w:p w14:paraId="0BACF27A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04DEFC21" w14:textId="77777777" w:rsidR="00BC5AC5" w:rsidRPr="00372818" w:rsidRDefault="00BC5AC5" w:rsidP="004B6501">
      <w:pPr>
        <w:pStyle w:val="Tekst"/>
      </w:pPr>
    </w:p>
    <w:p w14:paraId="797B2E3D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930FD" w14:textId="77777777" w:rsidR="008917E6" w:rsidRDefault="008917E6">
      <w:pPr>
        <w:spacing w:after="0" w:line="240" w:lineRule="auto"/>
      </w:pPr>
      <w:r>
        <w:separator/>
      </w:r>
    </w:p>
    <w:p w14:paraId="25A927EA" w14:textId="77777777" w:rsidR="008917E6" w:rsidRDefault="008917E6"/>
  </w:endnote>
  <w:endnote w:type="continuationSeparator" w:id="0">
    <w:p w14:paraId="1FAD93E7" w14:textId="77777777" w:rsidR="008917E6" w:rsidRDefault="008917E6">
      <w:pPr>
        <w:spacing w:after="0" w:line="240" w:lineRule="auto"/>
      </w:pPr>
      <w:r>
        <w:continuationSeparator/>
      </w:r>
    </w:p>
    <w:p w14:paraId="610FBE50" w14:textId="77777777" w:rsidR="008917E6" w:rsidRDefault="008917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56F5" w14:textId="77777777" w:rsidR="008917E6" w:rsidRDefault="008917E6">
      <w:pPr>
        <w:spacing w:after="0" w:line="240" w:lineRule="auto"/>
      </w:pPr>
      <w:r>
        <w:separator/>
      </w:r>
    </w:p>
    <w:p w14:paraId="33B2B119" w14:textId="77777777" w:rsidR="008917E6" w:rsidRDefault="008917E6"/>
  </w:footnote>
  <w:footnote w:type="continuationSeparator" w:id="0">
    <w:p w14:paraId="77E435DF" w14:textId="77777777" w:rsidR="008917E6" w:rsidRDefault="008917E6">
      <w:pPr>
        <w:spacing w:after="0" w:line="240" w:lineRule="auto"/>
      </w:pPr>
      <w:r>
        <w:continuationSeparator/>
      </w:r>
    </w:p>
    <w:p w14:paraId="08F3A553" w14:textId="77777777" w:rsidR="008917E6" w:rsidRDefault="008917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31DB49C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5BA39EE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2F151B74" w14:textId="4B5CC184" w:rsidR="00893711" w:rsidRPr="006C45AE" w:rsidRDefault="00D25DF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57CB08C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5A67C1E" w14:textId="77777777" w:rsidR="00893711" w:rsidRPr="006C45AE" w:rsidRDefault="00893711">
    <w:pPr>
      <w:pStyle w:val="Nagwek"/>
      <w:rPr>
        <w:lang w:val="pl-PL"/>
      </w:rPr>
    </w:pPr>
  </w:p>
  <w:p w14:paraId="1EF474A0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9BD6C37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3E69DF17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7EA04646" w14:textId="7EC4750C" w:rsidR="00893711" w:rsidRPr="00CA064B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Samochody Ciężarowe 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65B4F239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ED6F52" w14:textId="77777777" w:rsidR="00893711" w:rsidRPr="00CA064B" w:rsidRDefault="00893711">
    <w:pPr>
      <w:pStyle w:val="Nagwek"/>
      <w:rPr>
        <w:lang w:val="pl-PL"/>
      </w:rPr>
    </w:pPr>
  </w:p>
  <w:p w14:paraId="09D46180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11F6B116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16C8E91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34A3FB91" w14:textId="507CE6CC" w:rsidR="00893711" w:rsidRPr="006C45AE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</w:tr>
  </w:tbl>
  <w:p w14:paraId="3FF45071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1D73FE0"/>
    <w:multiLevelType w:val="hybridMultilevel"/>
    <w:tmpl w:val="502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D77D38"/>
    <w:multiLevelType w:val="hybridMultilevel"/>
    <w:tmpl w:val="347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0514"/>
    <w:multiLevelType w:val="hybridMultilevel"/>
    <w:tmpl w:val="EC724FC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FEF750B"/>
    <w:multiLevelType w:val="hybridMultilevel"/>
    <w:tmpl w:val="E990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266E"/>
    <w:multiLevelType w:val="hybridMultilevel"/>
    <w:tmpl w:val="17DE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74951"/>
    <w:multiLevelType w:val="hybridMultilevel"/>
    <w:tmpl w:val="FC6A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34347"/>
    <w:multiLevelType w:val="hybridMultilevel"/>
    <w:tmpl w:val="5DE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21E24"/>
    <w:multiLevelType w:val="hybridMultilevel"/>
    <w:tmpl w:val="05A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A21E7"/>
    <w:multiLevelType w:val="hybridMultilevel"/>
    <w:tmpl w:val="6BE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634BC"/>
    <w:multiLevelType w:val="hybridMultilevel"/>
    <w:tmpl w:val="9332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14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4920A07"/>
    <w:multiLevelType w:val="hybridMultilevel"/>
    <w:tmpl w:val="B11A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95309"/>
    <w:multiLevelType w:val="hybridMultilevel"/>
    <w:tmpl w:val="71CE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53174"/>
    <w:multiLevelType w:val="hybridMultilevel"/>
    <w:tmpl w:val="B9EC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322D5"/>
    <w:multiLevelType w:val="hybridMultilevel"/>
    <w:tmpl w:val="DA42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D3D44"/>
    <w:multiLevelType w:val="hybridMultilevel"/>
    <w:tmpl w:val="4DE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4"/>
  </w:num>
  <w:num w:numId="5">
    <w:abstractNumId w:val="9"/>
  </w:num>
  <w:num w:numId="6">
    <w:abstractNumId w:val="19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2"/>
  </w:num>
  <w:num w:numId="15">
    <w:abstractNumId w:val="11"/>
  </w:num>
  <w:num w:numId="16">
    <w:abstractNumId w:val="6"/>
  </w:num>
  <w:num w:numId="17">
    <w:abstractNumId w:val="18"/>
  </w:num>
  <w:num w:numId="18">
    <w:abstractNumId w:val="15"/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52E6C"/>
    <w:rsid w:val="00066BE3"/>
    <w:rsid w:val="00091A1E"/>
    <w:rsid w:val="000A2620"/>
    <w:rsid w:val="000B0A98"/>
    <w:rsid w:val="000B4734"/>
    <w:rsid w:val="000C7EFE"/>
    <w:rsid w:val="000D59ED"/>
    <w:rsid w:val="000D773A"/>
    <w:rsid w:val="001008BD"/>
    <w:rsid w:val="001111C6"/>
    <w:rsid w:val="00145E57"/>
    <w:rsid w:val="00180CD5"/>
    <w:rsid w:val="001823E8"/>
    <w:rsid w:val="00191BE9"/>
    <w:rsid w:val="001B3653"/>
    <w:rsid w:val="001E1C2E"/>
    <w:rsid w:val="00224096"/>
    <w:rsid w:val="00251B3F"/>
    <w:rsid w:val="00283992"/>
    <w:rsid w:val="002A1BE5"/>
    <w:rsid w:val="002D77C2"/>
    <w:rsid w:val="00316720"/>
    <w:rsid w:val="00372818"/>
    <w:rsid w:val="003A56BC"/>
    <w:rsid w:val="003E1A5D"/>
    <w:rsid w:val="00431BA5"/>
    <w:rsid w:val="00451807"/>
    <w:rsid w:val="0045635D"/>
    <w:rsid w:val="00462162"/>
    <w:rsid w:val="00487E56"/>
    <w:rsid w:val="004B3A55"/>
    <w:rsid w:val="004B5A4C"/>
    <w:rsid w:val="004B6501"/>
    <w:rsid w:val="004C6D4A"/>
    <w:rsid w:val="004D042B"/>
    <w:rsid w:val="004D279D"/>
    <w:rsid w:val="004D6320"/>
    <w:rsid w:val="004E4D6F"/>
    <w:rsid w:val="005035D9"/>
    <w:rsid w:val="00536B5A"/>
    <w:rsid w:val="00544AF4"/>
    <w:rsid w:val="00551468"/>
    <w:rsid w:val="005C2E5D"/>
    <w:rsid w:val="005C3B40"/>
    <w:rsid w:val="005D3333"/>
    <w:rsid w:val="005D4FCE"/>
    <w:rsid w:val="00611BCE"/>
    <w:rsid w:val="0062359C"/>
    <w:rsid w:val="006343E7"/>
    <w:rsid w:val="0065091E"/>
    <w:rsid w:val="00675166"/>
    <w:rsid w:val="006C45AE"/>
    <w:rsid w:val="00717F30"/>
    <w:rsid w:val="007544D2"/>
    <w:rsid w:val="007554C1"/>
    <w:rsid w:val="00777640"/>
    <w:rsid w:val="007F595F"/>
    <w:rsid w:val="00855546"/>
    <w:rsid w:val="00872108"/>
    <w:rsid w:val="008917E6"/>
    <w:rsid w:val="00893711"/>
    <w:rsid w:val="0089411B"/>
    <w:rsid w:val="0090260C"/>
    <w:rsid w:val="0091396A"/>
    <w:rsid w:val="0092681A"/>
    <w:rsid w:val="009642D5"/>
    <w:rsid w:val="009657DB"/>
    <w:rsid w:val="0099143F"/>
    <w:rsid w:val="009A151A"/>
    <w:rsid w:val="009C3A07"/>
    <w:rsid w:val="009C6DC4"/>
    <w:rsid w:val="009E1D63"/>
    <w:rsid w:val="009F3B0F"/>
    <w:rsid w:val="00A27B1D"/>
    <w:rsid w:val="00A43647"/>
    <w:rsid w:val="00A565AA"/>
    <w:rsid w:val="00A6304A"/>
    <w:rsid w:val="00A667AB"/>
    <w:rsid w:val="00AA0B0E"/>
    <w:rsid w:val="00AD182B"/>
    <w:rsid w:val="00AE3AB0"/>
    <w:rsid w:val="00AF6D34"/>
    <w:rsid w:val="00B207E4"/>
    <w:rsid w:val="00B22D5B"/>
    <w:rsid w:val="00B432F3"/>
    <w:rsid w:val="00B464CC"/>
    <w:rsid w:val="00B63007"/>
    <w:rsid w:val="00B93783"/>
    <w:rsid w:val="00BA4A4B"/>
    <w:rsid w:val="00BC5AC5"/>
    <w:rsid w:val="00BC5B5E"/>
    <w:rsid w:val="00BC5D5B"/>
    <w:rsid w:val="00BD250F"/>
    <w:rsid w:val="00BE67D6"/>
    <w:rsid w:val="00C05E41"/>
    <w:rsid w:val="00C0661B"/>
    <w:rsid w:val="00C57D42"/>
    <w:rsid w:val="00C60CE2"/>
    <w:rsid w:val="00C62EEA"/>
    <w:rsid w:val="00CA064B"/>
    <w:rsid w:val="00CB4288"/>
    <w:rsid w:val="00CB50BA"/>
    <w:rsid w:val="00D15004"/>
    <w:rsid w:val="00D25DF7"/>
    <w:rsid w:val="00D66131"/>
    <w:rsid w:val="00D83A60"/>
    <w:rsid w:val="00D97A28"/>
    <w:rsid w:val="00DB25BA"/>
    <w:rsid w:val="00DC09FA"/>
    <w:rsid w:val="00DD394B"/>
    <w:rsid w:val="00DE2248"/>
    <w:rsid w:val="00E47124"/>
    <w:rsid w:val="00EB67DC"/>
    <w:rsid w:val="00EB69FE"/>
    <w:rsid w:val="00EB7466"/>
    <w:rsid w:val="00EC313A"/>
    <w:rsid w:val="00ED58F4"/>
    <w:rsid w:val="00ED596F"/>
    <w:rsid w:val="00EF57CC"/>
    <w:rsid w:val="00F2039D"/>
    <w:rsid w:val="00FE48A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3C827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0B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14795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cheshire</cp:lastModifiedBy>
  <cp:revision>3</cp:revision>
  <cp:lastPrinted>2009-10-19T11:27:00Z</cp:lastPrinted>
  <dcterms:created xsi:type="dcterms:W3CDTF">2021-11-21T19:23:00Z</dcterms:created>
  <dcterms:modified xsi:type="dcterms:W3CDTF">2021-12-12T21:55:00Z</dcterms:modified>
</cp:coreProperties>
</file>