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东南大学2023级</w:t>
      </w:r>
      <w:r>
        <w:rPr>
          <w:rFonts w:eastAsia="等线" w:ascii="Arial" w:cs="Arial" w:hAnsi="Arial"/>
          <w:b w:val="true"/>
          <w:sz w:val="52"/>
        </w:rPr>
        <w:t>计算机科学</w:t>
      </w:r>
      <w:r>
        <w:rPr>
          <w:rFonts w:eastAsia="等线" w:ascii="Arial" w:cs="Arial" w:hAnsi="Arial"/>
          <w:b w:val="true"/>
          <w:sz w:val="52"/>
        </w:rPr>
        <w:t>拔尖班报名常见问题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这是一个拔尖班网站的初步展示版本。各位预览本页面及相关页面的老师有任何修改意见，欢迎下面可编辑在线文档进行修改或者批注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https://c8vm6xp2g0.feishu.cn/docx/GPzydPCBfoLRGrxVy2mcBr5Fncg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2023年最新公告：</w:t>
      </w:r>
      <w:hyperlink r:id="rId4">
        <w:r>
          <w:rPr>
            <w:rFonts w:eastAsia="等线" w:ascii="Arial" w:cs="Arial" w:hAnsi="Arial"/>
            <w:color w:val="3370ff"/>
            <w:sz w:val="22"/>
          </w:rPr>
          <w:t>东南大学2023级本科生二次选拔公告</w:t>
        </w:r>
      </w:hyperlink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常见问题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本届</w:t>
      </w:r>
      <w:r>
        <w:rPr>
          <w:rFonts w:eastAsia="等线" w:ascii="Arial" w:cs="Arial" w:hAnsi="Arial"/>
          <w:b w:val="true"/>
          <w:sz w:val="32"/>
        </w:rPr>
        <w:t>计算机科学</w:t>
      </w:r>
      <w:r>
        <w:rPr>
          <w:rFonts w:eastAsia="等线" w:ascii="Arial" w:cs="Arial" w:hAnsi="Arial"/>
          <w:b w:val="true"/>
          <w:sz w:val="32"/>
        </w:rPr>
        <w:t>拔尖班一共招收多少人？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答：202</w:t>
      </w:r>
      <w:r>
        <w:rPr>
          <w:rFonts w:eastAsia="等线" w:ascii="Arial" w:cs="Arial" w:hAnsi="Arial"/>
          <w:sz w:val="22"/>
        </w:rPr>
        <w:t>3</w:t>
      </w:r>
      <w:r>
        <w:rPr>
          <w:rFonts w:eastAsia="等线" w:ascii="Arial" w:cs="Arial" w:hAnsi="Arial"/>
          <w:sz w:val="22"/>
        </w:rPr>
        <w:t>年暂定招收不超过20名学生。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我有资格报名参加选拔吗？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202</w:t>
      </w:r>
      <w:r>
        <w:rPr>
          <w:rFonts w:eastAsia="等线" w:ascii="Arial" w:cs="Arial" w:hAnsi="Arial"/>
          <w:sz w:val="22"/>
        </w:rPr>
        <w:t>3</w:t>
      </w:r>
      <w:r>
        <w:rPr>
          <w:rFonts w:eastAsia="等线" w:ascii="Arial" w:cs="Arial" w:hAnsi="Arial"/>
          <w:sz w:val="22"/>
        </w:rPr>
        <w:t>级新生可在“东南大学本科招生网”上“录取查询”中查询是否具备报名资格，备注栏中为空者不具备报名资格。 选拔资质中，成绩前</w:t>
      </w:r>
      <w:r>
        <w:rPr>
          <w:rFonts w:eastAsia="等线" w:ascii="Arial" w:cs="Arial" w:hAnsi="Arial"/>
          <w:sz w:val="22"/>
        </w:rPr>
        <w:t>30</w:t>
      </w:r>
      <w:r>
        <w:rPr>
          <w:rFonts w:eastAsia="等线" w:ascii="Arial" w:cs="Arial" w:hAnsi="Arial"/>
          <w:sz w:val="22"/>
        </w:rPr>
        <w:t>%是指排名在录取到东南大学的同省学生中排名前</w:t>
      </w:r>
      <w:r>
        <w:rPr>
          <w:rFonts w:eastAsia="等线" w:ascii="Arial" w:cs="Arial" w:hAnsi="Arial"/>
          <w:sz w:val="22"/>
        </w:rPr>
        <w:t>30</w:t>
      </w:r>
      <w:r>
        <w:rPr>
          <w:rFonts w:eastAsia="等线" w:ascii="Arial" w:cs="Arial" w:hAnsi="Arial"/>
          <w:sz w:val="22"/>
        </w:rPr>
        <w:t>%。 按竞赛成绩报名者需在报名系统中上传相关获奖证书，后续会进行统一审核。 具体见</w:t>
      </w:r>
      <w:hyperlink r:id="rId5">
        <w:r>
          <w:rPr>
            <w:rFonts w:eastAsia="等线" w:ascii="Arial" w:cs="Arial" w:hAnsi="Arial"/>
            <w:color w:val="3370ff"/>
            <w:sz w:val="22"/>
          </w:rPr>
          <w:t>东南大学2023级本科生二次选拔公告</w:t>
        </w:r>
      </w:hyperlink>
      <w:r>
        <w:rPr>
          <w:rFonts w:eastAsia="等线" w:ascii="Arial" w:cs="Arial" w:hAnsi="Arial"/>
          <w:sz w:val="22"/>
        </w:rPr>
        <w:t>中“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”部分</w:t>
      </w:r>
      <w:r>
        <w:rPr>
          <w:rFonts w:eastAsia="等线" w:ascii="Arial" w:cs="Arial" w:hAnsi="Arial"/>
          <w:sz w:val="22"/>
        </w:rPr>
        <w:t>。 吴健雄学院学生符合条件的可报名，强基计划学生不具备报名资格，具体请以招生网查询结果为准。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我决定参加选拔考试，我要准备什么？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计算思维主要考察学生的思维、逻辑、推理等能力、以及对分析问题解决问题的综合能力。 英语考察学生的英语听说读写能力（含口语和翻译）。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什么时候报名？什么时候考试？什么时候面试？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</w:t>
      </w:r>
      <w:r>
        <w:rPr>
          <w:rFonts w:eastAsia="等线" w:ascii="Arial" w:cs="Arial" w:hAnsi="Arial"/>
          <w:sz w:val="22"/>
          <w:shd w:fill="fff67a"/>
        </w:rPr>
        <w:t xml:space="preserve"> 请关注</w:t>
      </w:r>
      <w:hyperlink r:id="rId6">
        <w:r>
          <w:rPr>
            <w:rFonts w:eastAsia="等线" w:ascii="Arial" w:cs="Arial" w:hAnsi="Arial"/>
            <w:color w:val="3370ff"/>
            <w:sz w:val="22"/>
            <w:shd w:fill="fff67a"/>
          </w:rPr>
          <w:t>东南大学2022级计算机科学拔尖班报名须知及常见问题</w:t>
        </w:r>
      </w:hyperlink>
      <w:r>
        <w:rPr>
          <w:rFonts w:eastAsia="等线" w:ascii="Arial" w:cs="Arial" w:hAnsi="Arial"/>
          <w:sz w:val="22"/>
          <w:shd w:fill="fff67a"/>
        </w:rPr>
        <w:t>（TODO：替换链接）</w:t>
      </w:r>
      <w:r>
        <w:rPr>
          <w:rFonts w:eastAsia="等线" w:ascii="Arial" w:cs="Arial" w:hAnsi="Arial"/>
          <w:sz w:val="22"/>
          <w:shd w:fill="fff67a"/>
        </w:rPr>
        <w:t>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拔尖班的专业是什么？和计算机大类有什么区别？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入选拔尖班的同学的专业是“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与技术”专业。与计算机大类不同的是，计算机大类的同学在大一结束后进行专业分流，而拔尖班同学在入学后即选拔并确定专业。东南大学高度重视拔尖基地的建设，并为拔尖班学生制定专门的培养方案，施行“导师制、个性化、</w:t>
      </w:r>
      <w:r>
        <w:rPr>
          <w:rFonts w:eastAsia="等线" w:ascii="Arial" w:cs="Arial" w:hAnsi="Arial"/>
          <w:sz w:val="22"/>
        </w:rPr>
        <w:t>国际化</w:t>
      </w:r>
      <w:r>
        <w:rPr>
          <w:rFonts w:eastAsia="等线" w:ascii="Arial" w:cs="Arial" w:hAnsi="Arial"/>
          <w:sz w:val="22"/>
        </w:rPr>
        <w:t>”等特色培养模式，拔尖班具有如下（但不限于）特色：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针对拔尖学生的特点，规划设置不一样的课程体系，建设综合性更强的专属课程。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强化在导师指导下学习和培养，培养方案设置更有针对性，设置专门环节安排学生参加学科竞赛和参与科学研究。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更多出国出境交流的机会，学院和导师会协助联系外方学校和导师，并按照学校的政策提供一定的经费支持，鼓励同学利用寒暑假、大四等时间出国出境交流。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实行本研一体化培养（非强制本硕连读），有更高的保送研究生比例。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我可以同时参加</w:t>
      </w:r>
      <w:r>
        <w:rPr>
          <w:rFonts w:eastAsia="等线" w:ascii="Arial" w:cs="Arial" w:hAnsi="Arial"/>
          <w:b w:val="true"/>
          <w:sz w:val="32"/>
        </w:rPr>
        <w:t>计算机科学</w:t>
      </w:r>
      <w:r>
        <w:rPr>
          <w:rFonts w:eastAsia="等线" w:ascii="Arial" w:cs="Arial" w:hAnsi="Arial"/>
          <w:b w:val="true"/>
          <w:sz w:val="32"/>
        </w:rPr>
        <w:t>拔尖班和未来技术班的选拔吗？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如果你在招生办的“录取查询”系统查询到你同时具备有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拔尖班和未来技术班的选拔资格，那么你可以同时参加这两个班的选拔。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进入拔尖班后，我还在原来的学院吗？我还学习原来的专业吗？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如果你成功入选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拔尖班，你将离开原来学院/大类/专业，进入计算机科学与工程学院，你的专业将变成计算机科学与技术。 拔尖班同学大一结束不再参加专业分流。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计算机拔尖班同学，保研率会比普通班高吗？具体高多少？比例是多少？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拔尖班保研率比（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与技术专业）普通班高，但每年实际的保研率和当年的保研指标有关，该指标由教育部统一分配，我们无法提前知道，所以这里说的保研率仅供参考。我们的目标是让有意愿、有能力的拔尖班同学都有机会升学深造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>保研的专业有哪一些？保研的专业是不是仅限于</w:t>
      </w:r>
      <w:r>
        <w:rPr>
          <w:rFonts w:eastAsia="等线" w:ascii="Arial" w:cs="Arial" w:hAnsi="Arial"/>
          <w:b w:val="true"/>
          <w:sz w:val="32"/>
        </w:rPr>
        <w:t>计算机科学</w:t>
      </w:r>
      <w:r>
        <w:rPr>
          <w:rFonts w:eastAsia="等线" w:ascii="Arial" w:cs="Arial" w:hAnsi="Arial"/>
          <w:b w:val="true"/>
          <w:sz w:val="32"/>
        </w:rPr>
        <w:t>与技术专业？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拔尖班同学的保研去向，和普通班一样，由获得保研资格的学生自行联系高校和学院，只要对方愿意接受即可。拿我们学校举例，拔尖班同学保研可以去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与工程学院、软件学院的相关专业，也可以跨学院去网络空间安全学院等其他学院。不管是本学院、本校跨学院，还是跨学校跨专业，一般都需要参加接收方组织的保研选拔考核。我们拔尖班的培养目标之一就是科学研究，所以拔尖班的同学在参加保研考核时，具有一定的优势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10. </w:t>
      </w:r>
      <w:r>
        <w:rPr>
          <w:rFonts w:eastAsia="等线" w:ascii="Arial" w:cs="Arial" w:hAnsi="Arial"/>
          <w:b w:val="true"/>
          <w:sz w:val="32"/>
        </w:rPr>
        <w:t>我了解到拔尖班的同学确定为</w:t>
      </w:r>
      <w:r>
        <w:rPr>
          <w:rFonts w:eastAsia="等线" w:ascii="Arial" w:cs="Arial" w:hAnsi="Arial"/>
          <w:b w:val="true"/>
          <w:sz w:val="32"/>
        </w:rPr>
        <w:t>计算机科学</w:t>
      </w:r>
      <w:r>
        <w:rPr>
          <w:rFonts w:eastAsia="等线" w:ascii="Arial" w:cs="Arial" w:hAnsi="Arial"/>
          <w:b w:val="true"/>
          <w:sz w:val="32"/>
        </w:rPr>
        <w:t>与技术专业。其实我本来更想选择人工智能专业/</w:t>
      </w:r>
      <w:r>
        <w:rPr>
          <w:rFonts w:eastAsia="等线" w:ascii="Arial" w:cs="Arial" w:hAnsi="Arial"/>
          <w:b w:val="true"/>
          <w:sz w:val="32"/>
        </w:rPr>
        <w:t>软件工程</w:t>
      </w:r>
      <w:r>
        <w:rPr>
          <w:rFonts w:eastAsia="等线" w:ascii="Arial" w:cs="Arial" w:hAnsi="Arial"/>
          <w:b w:val="true"/>
          <w:sz w:val="32"/>
        </w:rPr>
        <w:t>专业/网络空间安全专业，但是我也很想进拔尖班，请问有什么建议？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首先，这四个专业是计算机大类的四个可选专业，普通班同学在大一结束时分流时需要做出选择。 一般认为，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与技术专业，涵盖面更广，将来工作或者深造，可选的机会更多。 当然，也有专业选择目标非常明确的同学选择相应的专业。 其次，拔尖班的同学有机会选择自己的学术指导老师，在导师的指导下开展科学研究。在选择导师的时候，可以根据自己的兴趣，选择网络计算、</w:t>
      </w:r>
      <w:r>
        <w:rPr>
          <w:rFonts w:eastAsia="等线" w:ascii="Arial" w:cs="Arial" w:hAnsi="Arial"/>
          <w:sz w:val="22"/>
        </w:rPr>
        <w:t>数据科学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机器学习</w:t>
      </w:r>
      <w:r>
        <w:rPr>
          <w:rFonts w:eastAsia="等线" w:ascii="Arial" w:cs="Arial" w:hAnsi="Arial"/>
          <w:sz w:val="22"/>
        </w:rPr>
        <w:t>与</w:t>
      </w:r>
      <w:r>
        <w:rPr>
          <w:rFonts w:eastAsia="等线" w:ascii="Arial" w:cs="Arial" w:hAnsi="Arial"/>
          <w:sz w:val="22"/>
        </w:rPr>
        <w:t>知识工程</w:t>
      </w:r>
      <w:r>
        <w:rPr>
          <w:rFonts w:eastAsia="等线" w:ascii="Arial" w:cs="Arial" w:hAnsi="Arial"/>
          <w:sz w:val="22"/>
        </w:rPr>
        <w:t>、智能系统与应用、计算机软件与理论、影像科学与</w:t>
      </w:r>
      <w:r>
        <w:rPr>
          <w:rFonts w:eastAsia="等线" w:ascii="Arial" w:cs="Arial" w:hAnsi="Arial"/>
          <w:sz w:val="22"/>
        </w:rPr>
        <w:t>图像处理</w:t>
      </w:r>
      <w:r>
        <w:rPr>
          <w:rFonts w:eastAsia="等线" w:ascii="Arial" w:cs="Arial" w:hAnsi="Arial"/>
          <w:sz w:val="22"/>
        </w:rPr>
        <w:t>等方向的导师。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11. </w:t>
      </w:r>
      <w:r>
        <w:rPr>
          <w:rFonts w:eastAsia="等线" w:ascii="Arial" w:cs="Arial" w:hAnsi="Arial"/>
          <w:b w:val="true"/>
          <w:sz w:val="32"/>
        </w:rPr>
        <w:t>能简单介绍一下计算机大类的专业分流到底是怎么做的吗？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答： </w:t>
      </w:r>
      <w:r>
        <w:rPr>
          <w:rFonts w:eastAsia="等线" w:ascii="Arial" w:cs="Arial" w:hAnsi="Arial"/>
          <w:sz w:val="22"/>
        </w:rPr>
        <w:t>计算机大类在</w:t>
      </w:r>
      <w:r>
        <w:rPr>
          <w:rFonts w:eastAsia="等线" w:ascii="Arial" w:cs="Arial" w:hAnsi="Arial"/>
          <w:sz w:val="22"/>
        </w:rPr>
        <w:t>大一结束</w:t>
      </w:r>
      <w:r>
        <w:rPr>
          <w:rFonts w:eastAsia="等线" w:ascii="Arial" w:cs="Arial" w:hAnsi="Arial"/>
          <w:sz w:val="22"/>
        </w:rPr>
        <w:t>后</w:t>
      </w:r>
      <w:r>
        <w:rPr>
          <w:rFonts w:eastAsia="等线" w:ascii="Arial" w:cs="Arial" w:hAnsi="Arial"/>
          <w:sz w:val="22"/>
        </w:rPr>
        <w:t>根据综合成绩(课程成绩+综合表现)，以及学生填报的专业志愿进行专业分流。 由于四个专业有各自的人数限制，</w:t>
      </w:r>
      <w:r>
        <w:rPr>
          <w:rFonts w:eastAsia="等线" w:ascii="Arial" w:cs="Arial" w:hAnsi="Arial"/>
          <w:sz w:val="22"/>
        </w:rPr>
        <w:t>计算机大类的专业分流</w:t>
      </w:r>
      <w:r>
        <w:rPr>
          <w:rFonts w:eastAsia="等线" w:ascii="Arial" w:cs="Arial" w:hAnsi="Arial"/>
          <w:sz w:val="22"/>
        </w:rPr>
        <w:t>遵循志愿优先原则，同一志愿下按综合成绩顺序录取。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12. </w:t>
      </w:r>
      <w:r>
        <w:rPr>
          <w:rFonts w:eastAsia="等线" w:ascii="Arial" w:cs="Arial" w:hAnsi="Arial"/>
          <w:b w:val="true"/>
          <w:sz w:val="32"/>
        </w:rPr>
        <w:t>我进拔尖班后如果感觉不合适，还能退出吗？还能转专业吗？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 从机制上，学校允许拔尖班同学在大一结束时申请参加转专业考试，但从学习的连续性上，我们不建议同学们这么做，希望大家在报名计算机拔尖班时确实是出于对</w:t>
      </w:r>
      <w:r>
        <w:rPr>
          <w:rFonts w:eastAsia="等线" w:ascii="Arial" w:cs="Arial" w:hAnsi="Arial"/>
          <w:sz w:val="22"/>
        </w:rPr>
        <w:t>计算机科学</w:t>
      </w:r>
      <w:r>
        <w:rPr>
          <w:rFonts w:eastAsia="等线" w:ascii="Arial" w:cs="Arial" w:hAnsi="Arial"/>
          <w:sz w:val="22"/>
        </w:rPr>
        <w:t>的兴趣而来。 进入拔尖班确实需要退出的，可以退出到计算机科学与技术专业普通班。 进入拔尖班确实需要转专业的，可以先退出到计算机科学与技术专业普通班，然后在普通班申请跨大类转系转专业。 转专业成功与否，取决于个人的转专业考核成绩。 如果转</w:t>
      </w:r>
      <w:r>
        <w:rPr>
          <w:rFonts w:eastAsia="等线" w:ascii="Arial" w:cs="Arial" w:hAnsi="Arial"/>
          <w:sz w:val="22"/>
        </w:rPr>
        <w:t>专业</w:t>
      </w:r>
      <w:r>
        <w:rPr>
          <w:rFonts w:eastAsia="等线" w:ascii="Arial" w:cs="Arial" w:hAnsi="Arial"/>
          <w:sz w:val="22"/>
        </w:rPr>
        <w:t>不成功，则继续留在普通班。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交流群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更多问题，请加入QQ群交流咨询。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190750" cy="3695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3233">
    <w:lvl>
      <w:start w:val="1"/>
      <w:numFmt w:val="lowerLetter"/>
      <w:suff w:val="tab"/>
      <w:lvlText w:val="%1."/>
      <w:rPr>
        <w:color w:val="3370ff"/>
      </w:rPr>
    </w:lvl>
  </w:abstractNum>
  <w:abstractNum w:abstractNumId="23234">
    <w:lvl>
      <w:start w:val="2"/>
      <w:numFmt w:val="lowerLetter"/>
      <w:suff w:val="tab"/>
      <w:lvlText w:val="%1."/>
      <w:rPr>
        <w:color w:val="3370ff"/>
      </w:rPr>
    </w:lvl>
  </w:abstractNum>
  <w:abstractNum w:abstractNumId="23235">
    <w:lvl>
      <w:start w:val="3"/>
      <w:numFmt w:val="lowerLetter"/>
      <w:suff w:val="tab"/>
      <w:lvlText w:val="%1."/>
      <w:rPr>
        <w:color w:val="3370ff"/>
      </w:rPr>
    </w:lvl>
  </w:abstractNum>
  <w:abstractNum w:abstractNumId="23236">
    <w:lvl>
      <w:start w:val="4"/>
      <w:numFmt w:val="lowerLetter"/>
      <w:suff w:val="tab"/>
      <w:lvlText w:val="%1."/>
      <w:rPr>
        <w:color w:val="3370ff"/>
      </w:rPr>
    </w:lvl>
  </w:abstractNum>
  <w:num w:numId="1">
    <w:abstractNumId w:val="23233"/>
  </w:num>
  <w:num w:numId="2">
    <w:abstractNumId w:val="23234"/>
  </w:num>
  <w:num w:numId="3">
    <w:abstractNumId w:val="23235"/>
  </w:num>
  <w:num w:numId="4">
    <w:abstractNumId w:val="2323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jwc.seu.edu.cn/2023/0627/c23285a449729/page.htm" TargetMode="External" Type="http://schemas.openxmlformats.org/officeDocument/2006/relationships/hyperlink"/><Relationship Id="rId5" Target="https://jwc.seu.edu.cn/2023/0627/c23285a449729/page.htm" TargetMode="External" Type="http://schemas.openxmlformats.org/officeDocument/2006/relationships/hyperlink"/><Relationship Id="rId6" Target="https://cse.seu.edu.cn/2022/0812/c22646a416633/page.htm" TargetMode="External" Type="http://schemas.openxmlformats.org/officeDocument/2006/relationships/hyperlink"/><Relationship Id="rId7" Target="numbering.xml" Type="http://schemas.openxmlformats.org/officeDocument/2006/relationships/numbering"/><Relationship Id="rId8" Target="media/image1.jpe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2023-07-26T05:59:25Z</dcterms:created>
  <dc:creator>Apache POI</dc:creator>
</cp:coreProperties>
</file>