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3D8" w:rsidRPr="008153D8" w:rsidRDefault="008153D8" w:rsidP="008153D8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8153D8">
        <w:rPr>
          <w:rFonts w:ascii="Times New Roman" w:eastAsia="Calibri" w:hAnsi="Times New Roman" w:cs="Times New Roman"/>
          <w:sz w:val="20"/>
          <w:szCs w:val="20"/>
        </w:rPr>
        <w:t xml:space="preserve">Natacha Trippé </w:t>
      </w:r>
    </w:p>
    <w:p w:rsidR="008153D8" w:rsidRPr="008153D8" w:rsidRDefault="008153D8" w:rsidP="008153D8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8153D8">
        <w:rPr>
          <w:rFonts w:ascii="Times New Roman" w:eastAsia="Calibri" w:hAnsi="Times New Roman" w:cs="Times New Roman"/>
          <w:sz w:val="20"/>
          <w:szCs w:val="20"/>
        </w:rPr>
        <w:t>Université Bordeaux-Montaigne</w:t>
      </w:r>
    </w:p>
    <w:p w:rsidR="008153D8" w:rsidRPr="008153D8" w:rsidRDefault="008153D8" w:rsidP="008153D8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8153D8">
        <w:rPr>
          <w:rFonts w:ascii="Times New Roman" w:eastAsia="Calibri" w:hAnsi="Times New Roman" w:cs="Times New Roman"/>
          <w:sz w:val="20"/>
          <w:szCs w:val="20"/>
        </w:rPr>
        <w:t>Histoire de l’art et archéologie antiques</w:t>
      </w:r>
    </w:p>
    <w:p w:rsidR="008153D8" w:rsidRPr="008153D8" w:rsidRDefault="008153D8" w:rsidP="008153D8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8153D8" w:rsidRPr="008153D8" w:rsidRDefault="008153D8" w:rsidP="008153D8">
      <w:pPr>
        <w:spacing w:after="0" w:line="240" w:lineRule="auto"/>
        <w:jc w:val="center"/>
        <w:rPr>
          <w:rFonts w:ascii="Cambria" w:eastAsia="Calibri" w:hAnsi="Cambria" w:cs="Times New Roman"/>
          <w:b/>
          <w:sz w:val="28"/>
          <w:szCs w:val="28"/>
        </w:rPr>
      </w:pPr>
    </w:p>
    <w:p w:rsidR="008153D8" w:rsidRPr="008153D8" w:rsidRDefault="008153D8" w:rsidP="008153D8">
      <w:pPr>
        <w:spacing w:after="0" w:line="240" w:lineRule="auto"/>
        <w:jc w:val="center"/>
        <w:rPr>
          <w:rFonts w:ascii="Cambria" w:eastAsia="Calibri" w:hAnsi="Cambria" w:cs="Times New Roman"/>
          <w:sz w:val="24"/>
          <w:szCs w:val="24"/>
        </w:rPr>
      </w:pPr>
      <w:r w:rsidRPr="008153D8">
        <w:rPr>
          <w:rFonts w:ascii="Cambria" w:eastAsia="Calibri" w:hAnsi="Cambria" w:cs="Times New Roman"/>
          <w:b/>
          <w:sz w:val="28"/>
          <w:szCs w:val="28"/>
        </w:rPr>
        <w:t>Méthode de description et de commentaire d</w:t>
      </w:r>
      <w:r w:rsidR="00983ECD">
        <w:rPr>
          <w:rFonts w:ascii="Cambria" w:eastAsia="Calibri" w:hAnsi="Cambria" w:cs="Times New Roman"/>
          <w:b/>
          <w:sz w:val="28"/>
          <w:szCs w:val="28"/>
        </w:rPr>
        <w:t>’un vase</w:t>
      </w:r>
    </w:p>
    <w:p w:rsidR="008153D8" w:rsidRPr="008153D8" w:rsidRDefault="008153D8" w:rsidP="008153D8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8153D8" w:rsidRPr="008153D8" w:rsidRDefault="008153D8" w:rsidP="008153D8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C97411" w:rsidRDefault="00C97411" w:rsidP="008153D8">
      <w:pPr>
        <w:spacing w:after="0" w:line="240" w:lineRule="auto"/>
        <w:jc w:val="both"/>
        <w:rPr>
          <w:rFonts w:ascii="Times New Roman" w:hAnsi="Times New Roman" w:cs="Times New Roman"/>
          <w:b/>
          <w:i/>
        </w:rPr>
      </w:pPr>
    </w:p>
    <w:p w:rsidR="008153D8" w:rsidRDefault="008153D8" w:rsidP="008153D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commentaire d’un vase suit les mêmes étapes que pour le commentaire d’un édifice ou d’une sculpture</w:t>
      </w:r>
      <w:r>
        <w:rPr>
          <w:rStyle w:val="Appelnotedebasdep"/>
          <w:rFonts w:ascii="Times New Roman" w:hAnsi="Times New Roman" w:cs="Times New Roman"/>
        </w:rPr>
        <w:footnoteReference w:id="1"/>
      </w:r>
      <w:r>
        <w:rPr>
          <w:rFonts w:ascii="Times New Roman" w:hAnsi="Times New Roman" w:cs="Times New Roman"/>
        </w:rPr>
        <w:t xml:space="preserve">. Les parties sont les mêmes, et la progression du raisonnement identique. Comme une sculpture, le vase est décrit de bas en haut. Interviennent cependant des questions spécifiques, liées à l’objet céramique. </w:t>
      </w:r>
    </w:p>
    <w:p w:rsidR="008153D8" w:rsidRPr="008153D8" w:rsidRDefault="008153D8" w:rsidP="008153D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153D8" w:rsidRPr="008153D8" w:rsidRDefault="008153D8" w:rsidP="008153D8">
      <w:pPr>
        <w:spacing w:after="0" w:line="240" w:lineRule="auto"/>
        <w:jc w:val="both"/>
        <w:rPr>
          <w:rFonts w:ascii="Times New Roman" w:eastAsia="Calibri" w:hAnsi="Times New Roman" w:cs="Times New Roman"/>
          <w:b/>
          <w:smallCaps/>
          <w:sz w:val="24"/>
          <w:szCs w:val="24"/>
        </w:rPr>
      </w:pPr>
      <w:r w:rsidRPr="008153D8">
        <w:rPr>
          <w:rFonts w:ascii="Times New Roman" w:eastAsia="Calibri" w:hAnsi="Times New Roman" w:cs="Times New Roman"/>
          <w:b/>
          <w:smallCaps/>
          <w:sz w:val="24"/>
          <w:szCs w:val="24"/>
        </w:rPr>
        <w:t>Introduction</w:t>
      </w:r>
    </w:p>
    <w:p w:rsidR="00C97411" w:rsidRDefault="00C97411" w:rsidP="008153D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C97411" w:rsidRDefault="008153D8" w:rsidP="008153D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Fiche technique (</w:t>
      </w:r>
      <w:r w:rsidR="00C97411">
        <w:rPr>
          <w:rFonts w:ascii="Times New Roman" w:hAnsi="Times New Roman" w:cs="Times New Roman"/>
        </w:rPr>
        <w:t>Style du vase, date</w:t>
      </w:r>
      <w:r>
        <w:rPr>
          <w:rFonts w:ascii="Times New Roman" w:hAnsi="Times New Roman" w:cs="Times New Roman"/>
        </w:rPr>
        <w:t>, l</w:t>
      </w:r>
      <w:r w:rsidR="00C97411">
        <w:rPr>
          <w:rFonts w:ascii="Times New Roman" w:hAnsi="Times New Roman" w:cs="Times New Roman"/>
        </w:rPr>
        <w:t>ieu de trouvaille, lieu de conservation</w:t>
      </w:r>
      <w:r>
        <w:rPr>
          <w:rFonts w:ascii="Times New Roman" w:hAnsi="Times New Roman" w:cs="Times New Roman"/>
        </w:rPr>
        <w:t>)</w:t>
      </w:r>
      <w:r w:rsidR="00C97411">
        <w:rPr>
          <w:rFonts w:ascii="Times New Roman" w:hAnsi="Times New Roman" w:cs="Times New Roman"/>
        </w:rPr>
        <w:t xml:space="preserve">. </w:t>
      </w:r>
    </w:p>
    <w:p w:rsidR="008153D8" w:rsidRDefault="008153D8" w:rsidP="008153D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153D8" w:rsidRPr="00F225A3" w:rsidRDefault="008153D8" w:rsidP="008153D8">
      <w:pPr>
        <w:spacing w:after="0" w:line="240" w:lineRule="auto"/>
        <w:rPr>
          <w:rFonts w:ascii="Times New Roman" w:hAnsi="Times New Roman" w:cs="Times New Roman"/>
          <w:b/>
          <w:smallCaps/>
          <w:sz w:val="24"/>
          <w:szCs w:val="24"/>
        </w:rPr>
      </w:pPr>
      <w:r w:rsidRPr="00F225A3">
        <w:rPr>
          <w:rFonts w:ascii="Times New Roman" w:hAnsi="Times New Roman" w:cs="Times New Roman"/>
          <w:b/>
          <w:smallCaps/>
          <w:sz w:val="24"/>
          <w:szCs w:val="24"/>
        </w:rPr>
        <w:t>Description</w:t>
      </w:r>
    </w:p>
    <w:p w:rsidR="008153D8" w:rsidRDefault="00C97411" w:rsidP="008153D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Forme </w:t>
      </w:r>
      <w:r w:rsidR="00256990">
        <w:rPr>
          <w:rFonts w:ascii="Times New Roman" w:hAnsi="Times New Roman" w:cs="Times New Roman"/>
        </w:rPr>
        <w:t>(commenter rapidement la forme)</w:t>
      </w:r>
      <w:bookmarkStart w:id="0" w:name="_GoBack"/>
      <w:bookmarkEnd w:id="0"/>
    </w:p>
    <w:p w:rsidR="008153D8" w:rsidRDefault="00C97411" w:rsidP="008153D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Décor</w:t>
      </w:r>
      <w:r w:rsidR="007F2993">
        <w:rPr>
          <w:rFonts w:ascii="Times New Roman" w:hAnsi="Times New Roman" w:cs="Times New Roman"/>
        </w:rPr>
        <w:t xml:space="preserve"> : </w:t>
      </w:r>
    </w:p>
    <w:p w:rsidR="008153D8" w:rsidRDefault="007F2993" w:rsidP="008153D8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153D8">
        <w:rPr>
          <w:rFonts w:ascii="Times New Roman" w:hAnsi="Times New Roman" w:cs="Times New Roman"/>
        </w:rPr>
        <w:t xml:space="preserve">technique (engobe ou pas, FR, FN, contour, couleur de l’argile, technique picturale), </w:t>
      </w:r>
    </w:p>
    <w:p w:rsidR="008153D8" w:rsidRDefault="007F2993" w:rsidP="008153D8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153D8">
        <w:rPr>
          <w:rFonts w:ascii="Times New Roman" w:hAnsi="Times New Roman" w:cs="Times New Roman"/>
        </w:rPr>
        <w:t>organisation du décor (= mise en page),</w:t>
      </w:r>
    </w:p>
    <w:p w:rsidR="00C97411" w:rsidRDefault="00256990" w:rsidP="008153D8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 de bas en haut</w:t>
      </w:r>
    </w:p>
    <w:p w:rsidR="008153D8" w:rsidRDefault="008153D8" w:rsidP="008153D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153D8" w:rsidRDefault="008153D8" w:rsidP="008153D8">
      <w:pPr>
        <w:spacing w:line="240" w:lineRule="auto"/>
        <w:rPr>
          <w:rFonts w:ascii="Times New Roman" w:hAnsi="Times New Roman" w:cs="Times New Roman"/>
          <w:b/>
          <w:smallCaps/>
          <w:sz w:val="24"/>
          <w:szCs w:val="24"/>
        </w:rPr>
      </w:pPr>
      <w:r w:rsidRPr="00FC143A">
        <w:rPr>
          <w:rFonts w:ascii="Times New Roman" w:hAnsi="Times New Roman" w:cs="Times New Roman"/>
          <w:b/>
          <w:smallCaps/>
          <w:sz w:val="24"/>
          <w:szCs w:val="24"/>
        </w:rPr>
        <w:t>Commentaire/interprétation</w:t>
      </w:r>
    </w:p>
    <w:p w:rsidR="008153D8" w:rsidRDefault="007F2993" w:rsidP="008153D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contexte </w:t>
      </w:r>
      <w:r w:rsidR="008153D8">
        <w:rPr>
          <w:rFonts w:ascii="Times New Roman" w:hAnsi="Times New Roman" w:cs="Times New Roman"/>
        </w:rPr>
        <w:t xml:space="preserve">artistique </w:t>
      </w:r>
      <w:r>
        <w:rPr>
          <w:rFonts w:ascii="Times New Roman" w:hAnsi="Times New Roman" w:cs="Times New Roman"/>
        </w:rPr>
        <w:t xml:space="preserve">de l’époque : « au </w:t>
      </w:r>
      <w:proofErr w:type="gramStart"/>
      <w:r>
        <w:rPr>
          <w:rFonts w:ascii="Times New Roman" w:hAnsi="Times New Roman" w:cs="Times New Roman"/>
        </w:rPr>
        <w:t>VIIe ,</w:t>
      </w:r>
      <w:proofErr w:type="gramEnd"/>
      <w:r>
        <w:rPr>
          <w:rFonts w:ascii="Times New Roman" w:hAnsi="Times New Roman" w:cs="Times New Roman"/>
        </w:rPr>
        <w:t xml:space="preserve"> veine orientalisante en céramique… ». </w:t>
      </w:r>
    </w:p>
    <w:p w:rsidR="008153D8" w:rsidRDefault="00C97411" w:rsidP="008153D8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contexte</w:t>
      </w:r>
      <w:proofErr w:type="gramEnd"/>
      <w:r>
        <w:rPr>
          <w:rFonts w:ascii="Times New Roman" w:hAnsi="Times New Roman" w:cs="Times New Roman"/>
        </w:rPr>
        <w:t xml:space="preserve"> archéo</w:t>
      </w:r>
      <w:r w:rsidR="008153D8">
        <w:rPr>
          <w:rFonts w:ascii="Times New Roman" w:hAnsi="Times New Roman" w:cs="Times New Roman"/>
        </w:rPr>
        <w:t>logique</w:t>
      </w:r>
    </w:p>
    <w:p w:rsidR="008153D8" w:rsidRDefault="008153D8" w:rsidP="008153D8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style</w:t>
      </w:r>
      <w:proofErr w:type="gramEnd"/>
    </w:p>
    <w:p w:rsidR="008153D8" w:rsidRDefault="00C97411" w:rsidP="008153D8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atelier</w:t>
      </w:r>
      <w:proofErr w:type="gramEnd"/>
      <w:r>
        <w:rPr>
          <w:rFonts w:ascii="Times New Roman" w:hAnsi="Times New Roman" w:cs="Times New Roman"/>
        </w:rPr>
        <w:t>, série.</w:t>
      </w:r>
    </w:p>
    <w:p w:rsidR="00C97411" w:rsidRDefault="00C97411" w:rsidP="008153D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 dans la chronologie</w:t>
      </w:r>
      <w:r w:rsidR="008153D8">
        <w:rPr>
          <w:rFonts w:ascii="Times New Roman" w:hAnsi="Times New Roman" w:cs="Times New Roman"/>
        </w:rPr>
        <w:t xml:space="preserve"> (parallèles)</w:t>
      </w:r>
    </w:p>
    <w:p w:rsidR="008153D8" w:rsidRDefault="008153D8" w:rsidP="008153D8">
      <w:pPr>
        <w:spacing w:after="0" w:line="240" w:lineRule="auto"/>
        <w:jc w:val="both"/>
        <w:rPr>
          <w:rFonts w:ascii="Times New Roman" w:hAnsi="Times New Roman" w:cs="Times New Roman"/>
          <w:b/>
          <w:i/>
        </w:rPr>
      </w:pPr>
    </w:p>
    <w:p w:rsidR="008153D8" w:rsidRDefault="00C97411" w:rsidP="008153D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153D8">
        <w:rPr>
          <w:rFonts w:ascii="Times New Roman" w:hAnsi="Times New Roman" w:cs="Times New Roman"/>
          <w:b/>
          <w:smallCaps/>
          <w:sz w:val="24"/>
          <w:szCs w:val="24"/>
        </w:rPr>
        <w:t>Conclusion</w:t>
      </w:r>
      <w:r w:rsidRPr="008153D8">
        <w:rPr>
          <w:rFonts w:ascii="Times New Roman" w:hAnsi="Times New Roman" w:cs="Times New Roman"/>
          <w:smallCaps/>
          <w:sz w:val="24"/>
          <w:szCs w:val="24"/>
        </w:rPr>
        <w:t> </w:t>
      </w:r>
    </w:p>
    <w:p w:rsidR="00C97411" w:rsidRPr="00C97411" w:rsidRDefault="00C97411" w:rsidP="008153D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postérité, importance de la scène, de la technique. </w:t>
      </w:r>
    </w:p>
    <w:sectPr w:rsidR="00C97411" w:rsidRPr="00C974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1F97" w:rsidRDefault="009A1F97" w:rsidP="008153D8">
      <w:pPr>
        <w:spacing w:after="0" w:line="240" w:lineRule="auto"/>
      </w:pPr>
      <w:r>
        <w:separator/>
      </w:r>
    </w:p>
  </w:endnote>
  <w:endnote w:type="continuationSeparator" w:id="0">
    <w:p w:rsidR="009A1F97" w:rsidRDefault="009A1F97" w:rsidP="00815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1F97" w:rsidRDefault="009A1F97" w:rsidP="008153D8">
      <w:pPr>
        <w:spacing w:after="0" w:line="240" w:lineRule="auto"/>
      </w:pPr>
      <w:r>
        <w:separator/>
      </w:r>
    </w:p>
  </w:footnote>
  <w:footnote w:type="continuationSeparator" w:id="0">
    <w:p w:rsidR="009A1F97" w:rsidRDefault="009A1F97" w:rsidP="008153D8">
      <w:pPr>
        <w:spacing w:after="0" w:line="240" w:lineRule="auto"/>
      </w:pPr>
      <w:r>
        <w:continuationSeparator/>
      </w:r>
    </w:p>
  </w:footnote>
  <w:footnote w:id="1">
    <w:p w:rsidR="008153D8" w:rsidRPr="008153D8" w:rsidRDefault="008153D8">
      <w:pPr>
        <w:pStyle w:val="Notedebasdepage"/>
        <w:rPr>
          <w:rFonts w:ascii="Times New Roman" w:hAnsi="Times New Roman" w:cs="Times New Roman"/>
        </w:rPr>
      </w:pPr>
      <w:r w:rsidRPr="008153D8">
        <w:rPr>
          <w:rStyle w:val="Appelnotedebasdep"/>
          <w:rFonts w:ascii="Times New Roman" w:hAnsi="Times New Roman" w:cs="Times New Roman"/>
        </w:rPr>
        <w:footnoteRef/>
      </w:r>
      <w:r w:rsidRPr="008153D8">
        <w:rPr>
          <w:rFonts w:ascii="Times New Roman" w:hAnsi="Times New Roman" w:cs="Times New Roman"/>
        </w:rPr>
        <w:t xml:space="preserve"> Cf. fiche sculpture.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510550"/>
    <w:multiLevelType w:val="hybridMultilevel"/>
    <w:tmpl w:val="10F251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411"/>
    <w:rsid w:val="00256990"/>
    <w:rsid w:val="002801C5"/>
    <w:rsid w:val="002F0371"/>
    <w:rsid w:val="0041565E"/>
    <w:rsid w:val="007F2993"/>
    <w:rsid w:val="008153D8"/>
    <w:rsid w:val="00983ECD"/>
    <w:rsid w:val="009A1F97"/>
    <w:rsid w:val="00AC1504"/>
    <w:rsid w:val="00C9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97D927-89D1-46A2-A024-956E031D1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153D8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153D8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153D8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815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UB3</Company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Natacha TRIPPE</dc:creator>
  <cp:keywords/>
  <dc:description/>
  <cp:lastModifiedBy>Natacha TRIPPE</cp:lastModifiedBy>
  <cp:revision>4</cp:revision>
  <dcterms:created xsi:type="dcterms:W3CDTF">2014-09-20T13:27:00Z</dcterms:created>
  <dcterms:modified xsi:type="dcterms:W3CDTF">2016-09-30T14:58:00Z</dcterms:modified>
</cp:coreProperties>
</file>