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7CD8B" w14:textId="77777777" w:rsidR="003C01AE" w:rsidRPr="003C01AE" w:rsidRDefault="003C01AE" w:rsidP="003C01AE">
      <w:pPr>
        <w:spacing w:line="240" w:lineRule="auto"/>
        <w:jc w:val="both"/>
        <w:rPr>
          <w:b/>
          <w:bCs/>
        </w:rPr>
      </w:pPr>
      <w:r w:rsidRPr="003C01AE">
        <w:rPr>
          <w:b/>
          <w:bCs/>
        </w:rPr>
        <w:t>Team Name: 404 found</w:t>
      </w:r>
    </w:p>
    <w:p w14:paraId="5355071D" w14:textId="77777777" w:rsidR="003C01AE" w:rsidRPr="003C01AE" w:rsidRDefault="003C01AE" w:rsidP="003C01AE">
      <w:pPr>
        <w:spacing w:line="240" w:lineRule="auto"/>
        <w:jc w:val="both"/>
        <w:rPr>
          <w:b/>
          <w:bCs/>
        </w:rPr>
      </w:pPr>
      <w:r w:rsidRPr="003C01AE">
        <w:rPr>
          <w:b/>
          <w:bCs/>
        </w:rPr>
        <w:t>Many Indian doctors continue to write prescriptions in a messy, illegible manner. It affects patients especially the elderly, illiterates, or non-native speakers of the language—who may get it wrong with instructions, leading to medication errors or non-adherence. The difference between spoken consultations and written records creates obstacles to providing high-quality care. Non-adherence to medication would in itself cause up to 10% of hospitalizations as per WHO data. With the increasing health care demand and case volume, clearly what is needed is a more intuitive, consistent, and scalable solution that fills the communications gap and simplifies the prescription writing process for physicians and patients alike.</w:t>
      </w:r>
    </w:p>
    <w:p w14:paraId="7FFED785" w14:textId="77777777" w:rsidR="003C01AE" w:rsidRPr="003C01AE" w:rsidRDefault="003C01AE" w:rsidP="003C01AE">
      <w:pPr>
        <w:spacing w:line="240" w:lineRule="auto"/>
        <w:jc w:val="both"/>
        <w:rPr>
          <w:b/>
          <w:bCs/>
        </w:rPr>
      </w:pPr>
      <w:r w:rsidRPr="003C01AE">
        <w:rPr>
          <w:b/>
          <w:bCs/>
        </w:rPr>
        <w:t>Target Audience &amp; Context</w:t>
      </w:r>
    </w:p>
    <w:p w14:paraId="6E9F1069" w14:textId="77777777" w:rsidR="003C01AE" w:rsidRPr="003C01AE" w:rsidRDefault="003C01AE" w:rsidP="003C01AE">
      <w:pPr>
        <w:spacing w:line="240" w:lineRule="auto"/>
        <w:jc w:val="both"/>
        <w:rPr>
          <w:b/>
          <w:bCs/>
        </w:rPr>
      </w:pPr>
      <w:r w:rsidRPr="003C01AE">
        <w:rPr>
          <w:b/>
          <w:bCs/>
        </w:rPr>
        <w:t>Our solution primarily addresses two groups: busy doctors who prefer dictation to writing, and rural or underserved low-literacy or language-mismatch patients. In outreach clinics, mobile clinics, and primary care clinics, efficient but quick communication is critical. Family caregivers, themselves usually little or no medical training, are key stakeholders who can benefit from voice-based, simplified access to prescriptions. Given India's linguistic heterogeneity and health burden, this resource takes on special significance for front-line health care workers in trying to get patients to properly read and comply with instructions.</w:t>
      </w:r>
    </w:p>
    <w:p w14:paraId="6745792A" w14:textId="77777777" w:rsidR="003C01AE" w:rsidRPr="003C01AE" w:rsidRDefault="003C01AE" w:rsidP="003C01AE">
      <w:pPr>
        <w:spacing w:line="240" w:lineRule="auto"/>
        <w:jc w:val="both"/>
        <w:rPr>
          <w:b/>
          <w:bCs/>
        </w:rPr>
      </w:pPr>
      <w:r w:rsidRPr="003C01AE">
        <w:rPr>
          <w:b/>
          <w:bCs/>
        </w:rPr>
        <w:t>Significance of the Problem</w:t>
      </w:r>
    </w:p>
    <w:p w14:paraId="6F46252F" w14:textId="77777777" w:rsidR="003C01AE" w:rsidRPr="003C01AE" w:rsidRDefault="003C01AE" w:rsidP="003C01AE">
      <w:pPr>
        <w:spacing w:line="240" w:lineRule="auto"/>
        <w:jc w:val="both"/>
        <w:rPr>
          <w:b/>
          <w:bCs/>
        </w:rPr>
      </w:pPr>
      <w:r w:rsidRPr="003C01AE">
        <w:rPr>
          <w:b/>
          <w:bCs/>
        </w:rPr>
        <w:t>Good health care isn't so much treatment per se—it's how much stuff is being communicated and followed. Miscommunication by bad writing or language impairment has severe outcomes: missed meds, complications, or readmission. This initiative presents a solution that resonates with India's vision of affordable, accessible, and technology-enabled health communication. Voice, local languages, and AI can make healthcare human-friendly once again. It also facilitates inclusive care to visually impaired or low-literacy patients—the two patient segments usually neglected.</w:t>
      </w:r>
    </w:p>
    <w:p w14:paraId="710D6F9C" w14:textId="77777777" w:rsidR="003C01AE" w:rsidRPr="003C01AE" w:rsidRDefault="003C01AE" w:rsidP="003C01AE">
      <w:pPr>
        <w:spacing w:line="240" w:lineRule="auto"/>
        <w:jc w:val="both"/>
        <w:rPr>
          <w:b/>
          <w:bCs/>
        </w:rPr>
      </w:pPr>
      <w:r w:rsidRPr="003C01AE">
        <w:rPr>
          <w:b/>
          <w:bCs/>
        </w:rPr>
        <w:t>Added Societal Benefits &amp; Alignment with SDGs</w:t>
      </w:r>
    </w:p>
    <w:p w14:paraId="2B7FB779" w14:textId="77777777" w:rsidR="003C01AE" w:rsidRPr="003C01AE" w:rsidRDefault="003C01AE" w:rsidP="003C01AE">
      <w:pPr>
        <w:spacing w:line="240" w:lineRule="auto"/>
        <w:jc w:val="both"/>
        <w:rPr>
          <w:b/>
          <w:bCs/>
        </w:rPr>
      </w:pPr>
      <w:r w:rsidRPr="003C01AE">
        <w:rPr>
          <w:b/>
          <w:bCs/>
        </w:rPr>
        <w:t>Aside from the specific health benefit, MedAI facilitates some of UN Sustainable Development Goals:</w:t>
      </w:r>
    </w:p>
    <w:p w14:paraId="5DAE63EA" w14:textId="57A60BB4" w:rsidR="003C01AE" w:rsidRPr="003C01AE" w:rsidRDefault="003C01AE" w:rsidP="003C01AE">
      <w:pPr>
        <w:spacing w:line="240" w:lineRule="auto"/>
        <w:jc w:val="both"/>
        <w:rPr>
          <w:b/>
          <w:bCs/>
        </w:rPr>
      </w:pPr>
      <w:r w:rsidRPr="003C01AE">
        <w:rPr>
          <w:b/>
          <w:bCs/>
        </w:rPr>
        <w:t>Improve access to medicines and support medication adherence for better health outcomes. The goal focuses on using advanced AI to create advanced digital infrastructure. The goal of 10: is to address inequality by providing language and accessibility services to those in need. Reduce paper waste by transitioning to digital prescriptions. By having these global goals, MedAI is not just a health tech—it is a mission instrument guided by equity and sustainability. Gen-AI Application</w:t>
      </w:r>
    </w:p>
    <w:p w14:paraId="063BE260" w14:textId="77777777" w:rsidR="003C01AE" w:rsidRPr="003C01AE" w:rsidRDefault="003C01AE" w:rsidP="003C01AE">
      <w:pPr>
        <w:spacing w:line="240" w:lineRule="auto"/>
        <w:jc w:val="both"/>
        <w:rPr>
          <w:b/>
          <w:bCs/>
        </w:rPr>
      </w:pPr>
      <w:r w:rsidRPr="003C01AE">
        <w:rPr>
          <w:b/>
          <w:bCs/>
        </w:rPr>
        <w:t>Our platform uses Generative AI in two important ways. The system uses Automatic Speech Recognition technologies like OpenAI Whisper or Google Speech-to-Text to convert a physician's spoken script into text. It passes this transcription to a Large Language Model (e.g., GPT-4), and it rewrites it as readable, formatted prescription. The patient app uses AI-driven Text-to-Speech to read out reminders in native language. Gen-AI adapts to accent, non-standard speech, and medical terms—ideal for dynamic real-world usage in India's multilingual healthcare settings. Solution Framework</w:t>
      </w:r>
    </w:p>
    <w:p w14:paraId="42683299" w14:textId="77777777" w:rsidR="003C01AE" w:rsidRPr="003C01AE" w:rsidRDefault="003C01AE" w:rsidP="003C01AE">
      <w:pPr>
        <w:spacing w:line="240" w:lineRule="auto"/>
        <w:jc w:val="both"/>
        <w:rPr>
          <w:b/>
          <w:bCs/>
        </w:rPr>
      </w:pPr>
      <w:r w:rsidRPr="003C01AE">
        <w:rPr>
          <w:b/>
          <w:bCs/>
        </w:rPr>
        <w:t>We propose a two-mobile application setting (doctor and patient) built with React Native (Expo).Physician app supports voice input. Once the doctor dictates a message, the audio is passed through Firebase Cloud Functions, which accepts translation by ASR and sends the output to GPT-4 to format. The prescription is saved in Firestore. Meanwhile, the patient app downloads dosing regimens, initiates medicine reminders via Firebase Cloud Messaging, and captures proof-of-taking by voice or image upload. Google Translate and Text-to-Speech APIs enable multilingual support. For reducing long-term device costs and environmental impact, we intend to offer PWA (Progressive Web App) support, where the application access is delivered through browsers on low-cost phones. Subsequent releases will offer Bluetooth syncing with basic health monitors (thermometers or pillboxes) to enable data-light monitoring in clinics.</w:t>
      </w:r>
    </w:p>
    <w:p w14:paraId="3269FA7D" w14:textId="77777777" w:rsidR="003C01AE" w:rsidRPr="003C01AE" w:rsidRDefault="003C01AE" w:rsidP="003C01AE">
      <w:pPr>
        <w:spacing w:line="240" w:lineRule="auto"/>
        <w:jc w:val="both"/>
        <w:rPr>
          <w:b/>
          <w:bCs/>
        </w:rPr>
      </w:pPr>
      <w:r w:rsidRPr="003C01AE">
        <w:rPr>
          <w:b/>
          <w:bCs/>
        </w:rPr>
        <w:t>Feasibility &amp; Execution</w:t>
      </w:r>
    </w:p>
    <w:p w14:paraId="26BB5E42" w14:textId="77777777" w:rsidR="003C01AE" w:rsidRPr="003C01AE" w:rsidRDefault="003C01AE" w:rsidP="003C01AE">
      <w:pPr>
        <w:spacing w:line="240" w:lineRule="auto"/>
        <w:jc w:val="both"/>
        <w:rPr>
          <w:b/>
          <w:bCs/>
        </w:rPr>
      </w:pPr>
      <w:r w:rsidRPr="003C01AE">
        <w:rPr>
          <w:b/>
          <w:bCs/>
        </w:rPr>
        <w:t>We use available and scalable tech: React Native (Expo) for cross-platform app development, Firebase for authentication, storage, notifications, and scheduling, and OpenAI/Google APIs for transcription and language generation.All the features are covered in tutorials and community packages. The project is modular and easy to begin with for beginners, and every feature (multilingual support, reminders, speech-to-text) can be tested separately and then combined. A functional prototype can be built and exhibited within the hackathon time frame. In rural pilot deployments, devices are able to run on low-power solar banks, encouraging sustainable deployment.</w:t>
      </w:r>
    </w:p>
    <w:p w14:paraId="7D1BE370" w14:textId="77777777" w:rsidR="003C01AE" w:rsidRPr="003C01AE" w:rsidRDefault="003C01AE" w:rsidP="003C01AE">
      <w:pPr>
        <w:spacing w:line="240" w:lineRule="auto"/>
        <w:jc w:val="both"/>
        <w:rPr>
          <w:b/>
          <w:bCs/>
        </w:rPr>
      </w:pPr>
      <w:r w:rsidRPr="003C01AE">
        <w:rPr>
          <w:b/>
          <w:bCs/>
        </w:rPr>
        <w:t>Scalability &amp; Impact</w:t>
      </w:r>
    </w:p>
    <w:p w14:paraId="31F13B3F" w14:textId="77777777" w:rsidR="003C01AE" w:rsidRPr="003C01AE" w:rsidRDefault="003C01AE" w:rsidP="003C01AE">
      <w:pPr>
        <w:spacing w:line="240" w:lineRule="auto"/>
        <w:jc w:val="both"/>
        <w:rPr>
          <w:b/>
          <w:bCs/>
        </w:rPr>
      </w:pPr>
      <w:r w:rsidRPr="003C01AE">
        <w:rPr>
          <w:b/>
          <w:bCs/>
        </w:rPr>
        <w:t>The solution is scalable to all sizes of healthcare—small clinics to large hospitals. It is adaptable to various regions and languages, with potential add-ons like wearable assistance, offline voice commands, and AI-based analysis. Government Integration &amp; Impact: Integration with programs like Ayushman Bharat can expand reach and reduce patient costs. Over the long term, it improves drug compliance, reduces readmissions to hospital, and empowers the patient. Environmental Impact: Minimizes paper usage and prevents unnecessary patient consultations, which leads to lower carbon footprints. Financial Impact: Saves doctors' time, optimizes consultation efficiency, and improves pharmacy sales with better medicine compliance. Costs ₹999/month for clinics with hospital and government options in bulk available.</w:t>
      </w:r>
    </w:p>
    <w:p w14:paraId="0E7AA799" w14:textId="77777777" w:rsidR="003C01AE" w:rsidRPr="003C01AE" w:rsidRDefault="003C01AE" w:rsidP="003C01AE">
      <w:pPr>
        <w:spacing w:line="240" w:lineRule="auto"/>
        <w:jc w:val="both"/>
        <w:rPr>
          <w:b/>
          <w:bCs/>
        </w:rPr>
      </w:pPr>
      <w:r w:rsidRPr="003C01AE">
        <w:rPr>
          <w:b/>
          <w:bCs/>
        </w:rPr>
        <w:t>Conclusion / Summary &amp; Bonus Minimum Lovable Product</w:t>
      </w:r>
    </w:p>
    <w:p w14:paraId="127C458B" w14:textId="77777777" w:rsidR="003C01AE" w:rsidRPr="003C01AE" w:rsidRDefault="003C01AE" w:rsidP="003C01AE">
      <w:pPr>
        <w:spacing w:line="240" w:lineRule="auto"/>
        <w:jc w:val="both"/>
        <w:rPr>
          <w:b/>
          <w:bCs/>
        </w:rPr>
      </w:pPr>
      <w:r w:rsidRPr="003C01AE">
        <w:rPr>
          <w:b/>
          <w:bCs/>
        </w:rPr>
        <w:t>MedAI brings voice, language, and empathy to prescription processes. It substitutes handwritten notes with intelligent, verbal communication—closing gaps between physicians and patients. With proof-of-intake and multi-lingual TTS capability, it's not just an e-prescription; it's an AI bridge to better care. Future versions can be employed as complete AI health assistants. We also see solar-powered local kiosks in rural India, low-bandwidth browser accessibility for price savings, and local language audio stores for offline usage—making the system completely sustainable, accessible, and future-proof. (Word count: 74)</w:t>
      </w:r>
    </w:p>
    <w:p w14:paraId="35172812" w14:textId="2DD65B2A" w:rsidR="00315EEB" w:rsidRDefault="00315EEB" w:rsidP="003C01AE">
      <w:pPr>
        <w:spacing w:line="240" w:lineRule="auto"/>
        <w:jc w:val="both"/>
      </w:pPr>
      <w:r>
        <w:t xml:space="preserve">                                        </w:t>
      </w:r>
    </w:p>
    <w:p w14:paraId="097B794B" w14:textId="736E6A19" w:rsidR="00C7367F" w:rsidRDefault="00DA664D" w:rsidP="00393ACE">
      <w:pPr>
        <w:spacing w:line="240" w:lineRule="auto"/>
        <w:jc w:val="both"/>
      </w:pPr>
      <w:r>
        <w:t xml:space="preserve">Verify this </w:t>
      </w:r>
      <w:r w:rsidR="006D453F">
        <w:t>link:</w:t>
      </w:r>
      <w:r>
        <w:t>-</w:t>
      </w:r>
      <w:r w:rsidR="006D453F">
        <w:t xml:space="preserve"> </w:t>
      </w:r>
      <w:hyperlink r:id="rId5" w:history="1">
        <w:r w:rsidR="006D453F" w:rsidRPr="006D453F">
          <w:rPr>
            <w:rStyle w:val="Hyperlink"/>
          </w:rPr>
          <w:t>MedAI - Smart Healthcare Platform</w:t>
        </w:r>
      </w:hyperlink>
      <w:r w:rsidR="006D453F">
        <w:t xml:space="preserve">  </w:t>
      </w:r>
    </w:p>
    <w:p w14:paraId="5F9AED39" w14:textId="502D42F4" w:rsidR="002454F3" w:rsidRDefault="002454F3" w:rsidP="00393ACE">
      <w:pPr>
        <w:spacing w:line="240" w:lineRule="auto"/>
        <w:jc w:val="both"/>
      </w:pPr>
      <w:r>
        <w:t>Few Screenshots:</w:t>
      </w:r>
    </w:p>
    <w:p w14:paraId="2F0127EB" w14:textId="6269BD91" w:rsidR="00C7367F" w:rsidRDefault="00F108FF" w:rsidP="00393ACE">
      <w:pPr>
        <w:spacing w:line="240" w:lineRule="auto"/>
        <w:jc w:val="both"/>
      </w:pPr>
      <w:r>
        <w:rPr>
          <w:noProof/>
        </w:rPr>
        <w:drawing>
          <wp:inline distT="0" distB="0" distL="0" distR="0" wp14:anchorId="4BD45124" wp14:editId="721AA225">
            <wp:extent cx="3440853" cy="1935480"/>
            <wp:effectExtent l="0" t="0" r="7620" b="7620"/>
            <wp:docPr id="5258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23761" name=""/>
                    <pic:cNvPicPr/>
                  </pic:nvPicPr>
                  <pic:blipFill>
                    <a:blip r:embed="rId6"/>
                    <a:stretch>
                      <a:fillRect/>
                    </a:stretch>
                  </pic:blipFill>
                  <pic:spPr>
                    <a:xfrm>
                      <a:off x="0" y="0"/>
                      <a:ext cx="3457298" cy="1944730"/>
                    </a:xfrm>
                    <a:prstGeom prst="rect">
                      <a:avLst/>
                    </a:prstGeom>
                  </pic:spPr>
                </pic:pic>
              </a:graphicData>
            </a:graphic>
          </wp:inline>
        </w:drawing>
      </w:r>
      <w:r w:rsidR="00A17D83">
        <w:t xml:space="preserve">   </w:t>
      </w:r>
      <w:r>
        <w:rPr>
          <w:noProof/>
        </w:rPr>
        <w:drawing>
          <wp:inline distT="0" distB="0" distL="0" distR="0" wp14:anchorId="4077742F" wp14:editId="41B359EC">
            <wp:extent cx="3390900" cy="1907381"/>
            <wp:effectExtent l="0" t="0" r="0" b="0"/>
            <wp:docPr id="21048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1811" name=""/>
                    <pic:cNvPicPr/>
                  </pic:nvPicPr>
                  <pic:blipFill>
                    <a:blip r:embed="rId7"/>
                    <a:stretch>
                      <a:fillRect/>
                    </a:stretch>
                  </pic:blipFill>
                  <pic:spPr>
                    <a:xfrm>
                      <a:off x="0" y="0"/>
                      <a:ext cx="3445075" cy="1937855"/>
                    </a:xfrm>
                    <a:prstGeom prst="rect">
                      <a:avLst/>
                    </a:prstGeom>
                  </pic:spPr>
                </pic:pic>
              </a:graphicData>
            </a:graphic>
          </wp:inline>
        </w:drawing>
      </w:r>
      <w:r w:rsidR="0031520B">
        <w:t xml:space="preserve">   </w:t>
      </w:r>
      <w:r w:rsidR="006D453F">
        <w:rPr>
          <w:noProof/>
        </w:rPr>
        <w:drawing>
          <wp:inline distT="0" distB="0" distL="0" distR="0" wp14:anchorId="0AF17F97" wp14:editId="0A617599">
            <wp:extent cx="2336800" cy="2327931"/>
            <wp:effectExtent l="0" t="0" r="6350" b="0"/>
            <wp:docPr id="159184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47795" name=""/>
                    <pic:cNvPicPr/>
                  </pic:nvPicPr>
                  <pic:blipFill>
                    <a:blip r:embed="rId8"/>
                    <a:stretch>
                      <a:fillRect/>
                    </a:stretch>
                  </pic:blipFill>
                  <pic:spPr>
                    <a:xfrm>
                      <a:off x="0" y="0"/>
                      <a:ext cx="2375848" cy="2366830"/>
                    </a:xfrm>
                    <a:prstGeom prst="rect">
                      <a:avLst/>
                    </a:prstGeom>
                  </pic:spPr>
                </pic:pic>
              </a:graphicData>
            </a:graphic>
          </wp:inline>
        </w:drawing>
      </w:r>
      <w:r w:rsidR="0031520B">
        <w:t xml:space="preserve">      </w:t>
      </w:r>
      <w:r w:rsidR="006D453F">
        <w:rPr>
          <w:noProof/>
        </w:rPr>
        <w:drawing>
          <wp:inline distT="0" distB="0" distL="0" distR="0" wp14:anchorId="231D4747" wp14:editId="7793A92B">
            <wp:extent cx="2953173" cy="1661160"/>
            <wp:effectExtent l="0" t="0" r="0" b="0"/>
            <wp:docPr id="201023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30509" name=""/>
                    <pic:cNvPicPr/>
                  </pic:nvPicPr>
                  <pic:blipFill>
                    <a:blip r:embed="rId9"/>
                    <a:stretch>
                      <a:fillRect/>
                    </a:stretch>
                  </pic:blipFill>
                  <pic:spPr>
                    <a:xfrm>
                      <a:off x="0" y="0"/>
                      <a:ext cx="2987844" cy="1680662"/>
                    </a:xfrm>
                    <a:prstGeom prst="rect">
                      <a:avLst/>
                    </a:prstGeom>
                  </pic:spPr>
                </pic:pic>
              </a:graphicData>
            </a:graphic>
          </wp:inline>
        </w:drawing>
      </w:r>
    </w:p>
    <w:p w14:paraId="6A2FAFDC" w14:textId="2E22CCD0" w:rsidR="00C7367F" w:rsidRDefault="00C7367F" w:rsidP="00393ACE">
      <w:pPr>
        <w:spacing w:line="240" w:lineRule="auto"/>
        <w:jc w:val="both"/>
      </w:pPr>
    </w:p>
    <w:sectPr w:rsidR="00C7367F" w:rsidSect="00BC19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728D2"/>
    <w:multiLevelType w:val="multilevel"/>
    <w:tmpl w:val="8CCAB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633DC"/>
    <w:multiLevelType w:val="multilevel"/>
    <w:tmpl w:val="7F0C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320EB"/>
    <w:multiLevelType w:val="multilevel"/>
    <w:tmpl w:val="3190E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761CA"/>
    <w:multiLevelType w:val="multilevel"/>
    <w:tmpl w:val="7906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2417F6"/>
    <w:multiLevelType w:val="multilevel"/>
    <w:tmpl w:val="F9B0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F71D99"/>
    <w:multiLevelType w:val="multilevel"/>
    <w:tmpl w:val="39028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E70F0B"/>
    <w:multiLevelType w:val="multilevel"/>
    <w:tmpl w:val="B3FE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D6273C"/>
    <w:multiLevelType w:val="multilevel"/>
    <w:tmpl w:val="D7C4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5E3A9A"/>
    <w:multiLevelType w:val="multilevel"/>
    <w:tmpl w:val="E956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7F5B8B"/>
    <w:multiLevelType w:val="multilevel"/>
    <w:tmpl w:val="4488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A039C2"/>
    <w:multiLevelType w:val="multilevel"/>
    <w:tmpl w:val="F3D4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582778"/>
    <w:multiLevelType w:val="multilevel"/>
    <w:tmpl w:val="BE626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A31654"/>
    <w:multiLevelType w:val="multilevel"/>
    <w:tmpl w:val="92E29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D637FB"/>
    <w:multiLevelType w:val="multilevel"/>
    <w:tmpl w:val="9114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3C6D71"/>
    <w:multiLevelType w:val="multilevel"/>
    <w:tmpl w:val="9772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212367">
    <w:abstractNumId w:val="9"/>
  </w:num>
  <w:num w:numId="2" w16cid:durableId="1804536974">
    <w:abstractNumId w:val="5"/>
  </w:num>
  <w:num w:numId="3" w16cid:durableId="1487627294">
    <w:abstractNumId w:val="11"/>
  </w:num>
  <w:num w:numId="4" w16cid:durableId="502940984">
    <w:abstractNumId w:val="4"/>
  </w:num>
  <w:num w:numId="5" w16cid:durableId="1224759682">
    <w:abstractNumId w:val="6"/>
  </w:num>
  <w:num w:numId="6" w16cid:durableId="876888358">
    <w:abstractNumId w:val="8"/>
  </w:num>
  <w:num w:numId="7" w16cid:durableId="1103644508">
    <w:abstractNumId w:val="0"/>
  </w:num>
  <w:num w:numId="8" w16cid:durableId="1028146493">
    <w:abstractNumId w:val="12"/>
  </w:num>
  <w:num w:numId="9" w16cid:durableId="260532194">
    <w:abstractNumId w:val="14"/>
  </w:num>
  <w:num w:numId="10" w16cid:durableId="1196845061">
    <w:abstractNumId w:val="1"/>
  </w:num>
  <w:num w:numId="11" w16cid:durableId="898980497">
    <w:abstractNumId w:val="7"/>
  </w:num>
  <w:num w:numId="12" w16cid:durableId="102237484">
    <w:abstractNumId w:val="10"/>
  </w:num>
  <w:num w:numId="13" w16cid:durableId="103424756">
    <w:abstractNumId w:val="2"/>
  </w:num>
  <w:num w:numId="14" w16cid:durableId="83503065">
    <w:abstractNumId w:val="3"/>
  </w:num>
  <w:num w:numId="15" w16cid:durableId="10493030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919"/>
    <w:rsid w:val="00237841"/>
    <w:rsid w:val="002454F3"/>
    <w:rsid w:val="002B7A21"/>
    <w:rsid w:val="00312139"/>
    <w:rsid w:val="0031520B"/>
    <w:rsid w:val="00315EEB"/>
    <w:rsid w:val="00393ACE"/>
    <w:rsid w:val="003C01AE"/>
    <w:rsid w:val="003E1E2C"/>
    <w:rsid w:val="00467E72"/>
    <w:rsid w:val="00484A52"/>
    <w:rsid w:val="00490073"/>
    <w:rsid w:val="004C1531"/>
    <w:rsid w:val="005A4113"/>
    <w:rsid w:val="005B60C2"/>
    <w:rsid w:val="006601E2"/>
    <w:rsid w:val="006D453F"/>
    <w:rsid w:val="00757825"/>
    <w:rsid w:val="00797681"/>
    <w:rsid w:val="00831CE4"/>
    <w:rsid w:val="00880D66"/>
    <w:rsid w:val="008B2598"/>
    <w:rsid w:val="008E1EE8"/>
    <w:rsid w:val="009436DC"/>
    <w:rsid w:val="00A06727"/>
    <w:rsid w:val="00A17D83"/>
    <w:rsid w:val="00BC1919"/>
    <w:rsid w:val="00C445C6"/>
    <w:rsid w:val="00C7367F"/>
    <w:rsid w:val="00D118C3"/>
    <w:rsid w:val="00D160A7"/>
    <w:rsid w:val="00DA664D"/>
    <w:rsid w:val="00DB7F2D"/>
    <w:rsid w:val="00E50E7E"/>
    <w:rsid w:val="00ED7DB5"/>
    <w:rsid w:val="00F108FF"/>
    <w:rsid w:val="00F464DD"/>
    <w:rsid w:val="00F703B6"/>
    <w:rsid w:val="00FC15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C5F0C1"/>
  <w15:chartTrackingRefBased/>
  <w15:docId w15:val="{21C1B1F7-9BCF-46F8-B887-ED693F2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19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C19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C191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191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191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BC191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C191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C191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C191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9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C19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C191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191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BC191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BC191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C191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C191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C191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C19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19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191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191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C1919"/>
    <w:pPr>
      <w:spacing w:before="160"/>
      <w:jc w:val="center"/>
    </w:pPr>
    <w:rPr>
      <w:i/>
      <w:iCs/>
      <w:color w:val="404040" w:themeColor="text1" w:themeTint="BF"/>
    </w:rPr>
  </w:style>
  <w:style w:type="character" w:customStyle="1" w:styleId="QuoteChar">
    <w:name w:val="Quote Char"/>
    <w:basedOn w:val="DefaultParagraphFont"/>
    <w:link w:val="Quote"/>
    <w:uiPriority w:val="29"/>
    <w:rsid w:val="00BC1919"/>
    <w:rPr>
      <w:i/>
      <w:iCs/>
      <w:color w:val="404040" w:themeColor="text1" w:themeTint="BF"/>
    </w:rPr>
  </w:style>
  <w:style w:type="paragraph" w:styleId="ListParagraph">
    <w:name w:val="List Paragraph"/>
    <w:basedOn w:val="Normal"/>
    <w:uiPriority w:val="34"/>
    <w:qFormat/>
    <w:rsid w:val="00BC1919"/>
    <w:pPr>
      <w:ind w:left="720"/>
      <w:contextualSpacing/>
    </w:pPr>
  </w:style>
  <w:style w:type="character" w:styleId="IntenseEmphasis">
    <w:name w:val="Intense Emphasis"/>
    <w:basedOn w:val="DefaultParagraphFont"/>
    <w:uiPriority w:val="21"/>
    <w:qFormat/>
    <w:rsid w:val="00BC1919"/>
    <w:rPr>
      <w:i/>
      <w:iCs/>
      <w:color w:val="2F5496" w:themeColor="accent1" w:themeShade="BF"/>
    </w:rPr>
  </w:style>
  <w:style w:type="paragraph" w:styleId="IntenseQuote">
    <w:name w:val="Intense Quote"/>
    <w:basedOn w:val="Normal"/>
    <w:next w:val="Normal"/>
    <w:link w:val="IntenseQuoteChar"/>
    <w:uiPriority w:val="30"/>
    <w:qFormat/>
    <w:rsid w:val="00BC19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1919"/>
    <w:rPr>
      <w:i/>
      <w:iCs/>
      <w:color w:val="2F5496" w:themeColor="accent1" w:themeShade="BF"/>
    </w:rPr>
  </w:style>
  <w:style w:type="character" w:styleId="IntenseReference">
    <w:name w:val="Intense Reference"/>
    <w:basedOn w:val="DefaultParagraphFont"/>
    <w:uiPriority w:val="32"/>
    <w:qFormat/>
    <w:rsid w:val="00BC1919"/>
    <w:rPr>
      <w:b/>
      <w:bCs/>
      <w:smallCaps/>
      <w:color w:val="2F5496" w:themeColor="accent1" w:themeShade="BF"/>
      <w:spacing w:val="5"/>
    </w:rPr>
  </w:style>
  <w:style w:type="character" w:styleId="Hyperlink">
    <w:name w:val="Hyperlink"/>
    <w:basedOn w:val="DefaultParagraphFont"/>
    <w:uiPriority w:val="99"/>
    <w:unhideWhenUsed/>
    <w:rsid w:val="00DA664D"/>
    <w:rPr>
      <w:color w:val="0563C1" w:themeColor="hyperlink"/>
      <w:u w:val="single"/>
    </w:rPr>
  </w:style>
  <w:style w:type="character" w:styleId="UnresolvedMention">
    <w:name w:val="Unresolved Mention"/>
    <w:basedOn w:val="DefaultParagraphFont"/>
    <w:uiPriority w:val="99"/>
    <w:semiHidden/>
    <w:unhideWhenUsed/>
    <w:rsid w:val="00DA664D"/>
    <w:rPr>
      <w:color w:val="605E5C"/>
      <w:shd w:val="clear" w:color="auto" w:fill="E1DFDD"/>
    </w:rPr>
  </w:style>
  <w:style w:type="character" w:styleId="FollowedHyperlink">
    <w:name w:val="FollowedHyperlink"/>
    <w:basedOn w:val="DefaultParagraphFont"/>
    <w:uiPriority w:val="99"/>
    <w:semiHidden/>
    <w:unhideWhenUsed/>
    <w:rsid w:val="00F108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07966">
      <w:bodyDiv w:val="1"/>
      <w:marLeft w:val="0"/>
      <w:marRight w:val="0"/>
      <w:marTop w:val="0"/>
      <w:marBottom w:val="0"/>
      <w:divBdr>
        <w:top w:val="none" w:sz="0" w:space="0" w:color="auto"/>
        <w:left w:val="none" w:sz="0" w:space="0" w:color="auto"/>
        <w:bottom w:val="none" w:sz="0" w:space="0" w:color="auto"/>
        <w:right w:val="none" w:sz="0" w:space="0" w:color="auto"/>
      </w:divBdr>
    </w:div>
    <w:div w:id="489565681">
      <w:bodyDiv w:val="1"/>
      <w:marLeft w:val="0"/>
      <w:marRight w:val="0"/>
      <w:marTop w:val="0"/>
      <w:marBottom w:val="0"/>
      <w:divBdr>
        <w:top w:val="none" w:sz="0" w:space="0" w:color="auto"/>
        <w:left w:val="none" w:sz="0" w:space="0" w:color="auto"/>
        <w:bottom w:val="none" w:sz="0" w:space="0" w:color="auto"/>
        <w:right w:val="none" w:sz="0" w:space="0" w:color="auto"/>
      </w:divBdr>
      <w:divsChild>
        <w:div w:id="3531924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201664">
          <w:marLeft w:val="0"/>
          <w:marRight w:val="0"/>
          <w:marTop w:val="0"/>
          <w:marBottom w:val="0"/>
          <w:divBdr>
            <w:top w:val="none" w:sz="0" w:space="0" w:color="auto"/>
            <w:left w:val="none" w:sz="0" w:space="0" w:color="auto"/>
            <w:bottom w:val="none" w:sz="0" w:space="0" w:color="auto"/>
            <w:right w:val="none" w:sz="0" w:space="0" w:color="auto"/>
          </w:divBdr>
        </w:div>
      </w:divsChild>
    </w:div>
    <w:div w:id="496843550">
      <w:bodyDiv w:val="1"/>
      <w:marLeft w:val="0"/>
      <w:marRight w:val="0"/>
      <w:marTop w:val="0"/>
      <w:marBottom w:val="0"/>
      <w:divBdr>
        <w:top w:val="none" w:sz="0" w:space="0" w:color="auto"/>
        <w:left w:val="none" w:sz="0" w:space="0" w:color="auto"/>
        <w:bottom w:val="none" w:sz="0" w:space="0" w:color="auto"/>
        <w:right w:val="none" w:sz="0" w:space="0" w:color="auto"/>
      </w:divBdr>
      <w:divsChild>
        <w:div w:id="19167404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4492231">
          <w:marLeft w:val="0"/>
          <w:marRight w:val="0"/>
          <w:marTop w:val="0"/>
          <w:marBottom w:val="0"/>
          <w:divBdr>
            <w:top w:val="none" w:sz="0" w:space="0" w:color="auto"/>
            <w:left w:val="none" w:sz="0" w:space="0" w:color="auto"/>
            <w:bottom w:val="none" w:sz="0" w:space="0" w:color="auto"/>
            <w:right w:val="none" w:sz="0" w:space="0" w:color="auto"/>
          </w:divBdr>
        </w:div>
      </w:divsChild>
    </w:div>
    <w:div w:id="696926769">
      <w:bodyDiv w:val="1"/>
      <w:marLeft w:val="0"/>
      <w:marRight w:val="0"/>
      <w:marTop w:val="0"/>
      <w:marBottom w:val="0"/>
      <w:divBdr>
        <w:top w:val="none" w:sz="0" w:space="0" w:color="auto"/>
        <w:left w:val="none" w:sz="0" w:space="0" w:color="auto"/>
        <w:bottom w:val="none" w:sz="0" w:space="0" w:color="auto"/>
        <w:right w:val="none" w:sz="0" w:space="0" w:color="auto"/>
      </w:divBdr>
    </w:div>
    <w:div w:id="716514310">
      <w:bodyDiv w:val="1"/>
      <w:marLeft w:val="0"/>
      <w:marRight w:val="0"/>
      <w:marTop w:val="0"/>
      <w:marBottom w:val="0"/>
      <w:divBdr>
        <w:top w:val="none" w:sz="0" w:space="0" w:color="auto"/>
        <w:left w:val="none" w:sz="0" w:space="0" w:color="auto"/>
        <w:bottom w:val="none" w:sz="0" w:space="0" w:color="auto"/>
        <w:right w:val="none" w:sz="0" w:space="0" w:color="auto"/>
      </w:divBdr>
    </w:div>
    <w:div w:id="750322190">
      <w:bodyDiv w:val="1"/>
      <w:marLeft w:val="0"/>
      <w:marRight w:val="0"/>
      <w:marTop w:val="0"/>
      <w:marBottom w:val="0"/>
      <w:divBdr>
        <w:top w:val="none" w:sz="0" w:space="0" w:color="auto"/>
        <w:left w:val="none" w:sz="0" w:space="0" w:color="auto"/>
        <w:bottom w:val="none" w:sz="0" w:space="0" w:color="auto"/>
        <w:right w:val="none" w:sz="0" w:space="0" w:color="auto"/>
      </w:divBdr>
    </w:div>
    <w:div w:id="1115372350">
      <w:bodyDiv w:val="1"/>
      <w:marLeft w:val="0"/>
      <w:marRight w:val="0"/>
      <w:marTop w:val="0"/>
      <w:marBottom w:val="0"/>
      <w:divBdr>
        <w:top w:val="none" w:sz="0" w:space="0" w:color="auto"/>
        <w:left w:val="none" w:sz="0" w:space="0" w:color="auto"/>
        <w:bottom w:val="none" w:sz="0" w:space="0" w:color="auto"/>
        <w:right w:val="none" w:sz="0" w:space="0" w:color="auto"/>
      </w:divBdr>
    </w:div>
    <w:div w:id="1207525497">
      <w:bodyDiv w:val="1"/>
      <w:marLeft w:val="0"/>
      <w:marRight w:val="0"/>
      <w:marTop w:val="0"/>
      <w:marBottom w:val="0"/>
      <w:divBdr>
        <w:top w:val="none" w:sz="0" w:space="0" w:color="auto"/>
        <w:left w:val="none" w:sz="0" w:space="0" w:color="auto"/>
        <w:bottom w:val="none" w:sz="0" w:space="0" w:color="auto"/>
        <w:right w:val="none" w:sz="0" w:space="0" w:color="auto"/>
      </w:divBdr>
    </w:div>
    <w:div w:id="1458331817">
      <w:bodyDiv w:val="1"/>
      <w:marLeft w:val="0"/>
      <w:marRight w:val="0"/>
      <w:marTop w:val="0"/>
      <w:marBottom w:val="0"/>
      <w:divBdr>
        <w:top w:val="none" w:sz="0" w:space="0" w:color="auto"/>
        <w:left w:val="none" w:sz="0" w:space="0" w:color="auto"/>
        <w:bottom w:val="none" w:sz="0" w:space="0" w:color="auto"/>
        <w:right w:val="none" w:sz="0" w:space="0" w:color="auto"/>
      </w:divBdr>
    </w:div>
    <w:div w:id="1562792099">
      <w:bodyDiv w:val="1"/>
      <w:marLeft w:val="0"/>
      <w:marRight w:val="0"/>
      <w:marTop w:val="0"/>
      <w:marBottom w:val="0"/>
      <w:divBdr>
        <w:top w:val="none" w:sz="0" w:space="0" w:color="auto"/>
        <w:left w:val="none" w:sz="0" w:space="0" w:color="auto"/>
        <w:bottom w:val="none" w:sz="0" w:space="0" w:color="auto"/>
        <w:right w:val="none" w:sz="0" w:space="0" w:color="auto"/>
      </w:divBdr>
    </w:div>
    <w:div w:id="1771773945">
      <w:bodyDiv w:val="1"/>
      <w:marLeft w:val="0"/>
      <w:marRight w:val="0"/>
      <w:marTop w:val="0"/>
      <w:marBottom w:val="0"/>
      <w:divBdr>
        <w:top w:val="none" w:sz="0" w:space="0" w:color="auto"/>
        <w:left w:val="none" w:sz="0" w:space="0" w:color="auto"/>
        <w:bottom w:val="none" w:sz="0" w:space="0" w:color="auto"/>
        <w:right w:val="none" w:sz="0" w:space="0" w:color="auto"/>
      </w:divBdr>
    </w:div>
    <w:div w:id="209724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magenta-nougat-b6005d.netlify.app/"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915</Words>
  <Characters>5619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Rajitha Tangudu</dc:creator>
  <cp:keywords/>
  <dc:description/>
  <cp:lastModifiedBy>Ch. Sai Dheeraj</cp:lastModifiedBy>
  <cp:revision>8</cp:revision>
  <dcterms:created xsi:type="dcterms:W3CDTF">2025-06-23T16:38:00Z</dcterms:created>
  <dcterms:modified xsi:type="dcterms:W3CDTF">2025-06-23T17:19:00Z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88e8a592-d4f2-4db5-bf43-290714531549</vt:lpwstr>
  </property>
</Properties>
</file>