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C0" w:rsidRDefault="00D90BC0" w:rsidP="00D90BC0">
      <w:pPr>
        <w:pStyle w:val="berschrift1"/>
        <w:numPr>
          <w:ilvl w:val="0"/>
          <w:numId w:val="0"/>
        </w:numPr>
      </w:pPr>
      <w:r>
        <w:t>Supplementary Material 1</w:t>
      </w:r>
    </w:p>
    <w:p w:rsidR="00D90BC0" w:rsidRDefault="00D90BC0" w:rsidP="00D90BC0">
      <w:r>
        <w:t>Table S1</w:t>
      </w:r>
    </w:p>
    <w:p w:rsidR="00D90BC0" w:rsidRDefault="00D90BC0" w:rsidP="00D90BC0">
      <w:r>
        <w:t xml:space="preserve">List of IAPS (Lang, Bradley, and Cuthbert, 2008) and </w:t>
      </w:r>
      <w:proofErr w:type="spellStart"/>
      <w:r>
        <w:t>EmoPicS</w:t>
      </w:r>
      <w:proofErr w:type="spellEnd"/>
      <w:r>
        <w:t xml:space="preserve"> (</w:t>
      </w:r>
      <w:proofErr w:type="spellStart"/>
      <w:r>
        <w:t>Wessa</w:t>
      </w:r>
      <w:proofErr w:type="spellEnd"/>
      <w:r>
        <w:t xml:space="preserve"> et al., 2010) used in </w:t>
      </w:r>
      <w:r w:rsidR="00C76B63">
        <w:t>the ER paradigm</w:t>
      </w:r>
      <w:r>
        <w:t>.</w:t>
      </w:r>
    </w:p>
    <w:tbl>
      <w:tblPr>
        <w:tblStyle w:val="Tabellenraster"/>
        <w:tblW w:w="10657" w:type="dxa"/>
        <w:tblLook w:val="04A0" w:firstRow="1" w:lastRow="0" w:firstColumn="1" w:lastColumn="0" w:noHBand="0" w:noVBand="1"/>
      </w:tblPr>
      <w:tblGrid>
        <w:gridCol w:w="1484"/>
        <w:gridCol w:w="1545"/>
        <w:gridCol w:w="1564"/>
        <w:gridCol w:w="1563"/>
        <w:gridCol w:w="1563"/>
        <w:gridCol w:w="1563"/>
        <w:gridCol w:w="1375"/>
      </w:tblGrid>
      <w:tr w:rsidR="00B87C39" w:rsidTr="00B87C39">
        <w:trPr>
          <w:trHeight w:val="360"/>
        </w:trPr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7C39" w:rsidRDefault="00B87C39" w:rsidP="00B87C39">
            <w:pPr>
              <w:jc w:val="center"/>
            </w:pP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center"/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center"/>
              <w:rPr>
                <w:b/>
              </w:rPr>
            </w:pPr>
            <w:r>
              <w:rPr>
                <w:b/>
              </w:rPr>
              <w:t>Negative 1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center"/>
              <w:rPr>
                <w:b/>
              </w:rPr>
            </w:pPr>
            <w:r>
              <w:rPr>
                <w:b/>
              </w:rPr>
              <w:t>Negative 2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center"/>
              <w:rPr>
                <w:b/>
              </w:rPr>
            </w:pPr>
            <w:r>
              <w:rPr>
                <w:b/>
              </w:rPr>
              <w:t>Negative 3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center"/>
              <w:rPr>
                <w:b/>
              </w:rPr>
            </w:pPr>
            <w:r>
              <w:rPr>
                <w:b/>
              </w:rPr>
              <w:t>Negative 4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87C39" w:rsidRDefault="00B87C39" w:rsidP="00B87C39">
            <w:pPr>
              <w:jc w:val="center"/>
              <w:rPr>
                <w:b/>
              </w:rPr>
            </w:pPr>
            <w:r>
              <w:rPr>
                <w:b/>
              </w:rPr>
              <w:t>Negative 5</w:t>
            </w:r>
          </w:p>
        </w:tc>
      </w:tr>
      <w:tr w:rsidR="00B87C39" w:rsidTr="00B87C39">
        <w:trPr>
          <w:trHeight w:val="270"/>
        </w:trPr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083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225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A024A" w:rsidP="00B87C39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210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537AD" w:rsidP="00B537AD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208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227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C76B63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</w:t>
            </w:r>
            <w:r w:rsidR="00C76B63">
              <w:rPr>
                <w:rFonts w:cs="Open Sans Light"/>
                <w:color w:val="000000"/>
                <w:sz w:val="18"/>
                <w:szCs w:val="18"/>
              </w:rPr>
              <w:t>2</w:t>
            </w:r>
            <w:r>
              <w:rPr>
                <w:rFonts w:cs="Open Sans Light"/>
                <w:color w:val="000000"/>
                <w:sz w:val="18"/>
                <w:szCs w:val="18"/>
              </w:rPr>
              <w:t>3</w:t>
            </w:r>
            <w:r>
              <w:rPr>
                <w:rFonts w:cs="Open Sans Light"/>
                <w:vertAlign w:val="superscript"/>
              </w:rPr>
              <w:t>†</w:t>
            </w:r>
          </w:p>
        </w:tc>
      </w:tr>
      <w:tr w:rsidR="00B87C39" w:rsidTr="00B87C39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107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230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A024A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218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219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252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238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</w:tr>
      <w:tr w:rsidR="00B87C39" w:rsidTr="00C76B63">
        <w:trPr>
          <w:trHeight w:val="270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124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255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A024A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222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226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1051*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76B63" w:rsidP="00B87C39">
            <w:pPr>
              <w:jc w:val="right"/>
              <w:rPr>
                <w:rFonts w:cs="Open Sans Light"/>
                <w:vertAlign w:val="superscript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245</w:t>
            </w:r>
            <w:r>
              <w:rPr>
                <w:rFonts w:cs="Open Sans Light"/>
                <w:vertAlign w:val="superscript"/>
              </w:rPr>
              <w:t>†</w:t>
            </w:r>
          </w:p>
        </w:tc>
      </w:tr>
      <w:tr w:rsidR="00B87C39" w:rsidTr="00C76B63">
        <w:trPr>
          <w:trHeight w:val="270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140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327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A024A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228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253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2800*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2981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B87C39" w:rsidTr="00C76B63">
        <w:trPr>
          <w:trHeight w:val="270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143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1111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6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254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3061*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3016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B87C39" w:rsidTr="00C76B63">
        <w:trPr>
          <w:trHeight w:val="270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7000*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3017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A024A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251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326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3230*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3101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B87C39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3D488B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7002</w:t>
            </w:r>
            <w:r w:rsidR="00B87C39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3022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9D46D0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2703*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1301*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6561*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3181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B87C39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797F23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7004*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3180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9D46D0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3051*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3350*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6838*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3215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7006*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3280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3160*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6242*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9120*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3220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7009*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6190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3185*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6410*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3225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7021*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6244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3301*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6555*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9185*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6020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7025*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6836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6562*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6825*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9230*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6571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7041*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9180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9031*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6940*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9254*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6831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7100*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9182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8230*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9295*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8231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7150*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9253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9042*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9041*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9332*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9373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9D46D0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7185*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9300*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9043</w:t>
            </w:r>
            <w:r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B537AD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9140*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9411*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9400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9D46D0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7211*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9326*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9145</w:t>
            </w:r>
            <w:r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B537AD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9340*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9420*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9402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9D46D0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7224*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9424*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9160</w:t>
            </w:r>
            <w:r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B537AD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9409*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9421*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9403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9D46D0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7233*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9425*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9184</w:t>
            </w:r>
            <w:r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B537AD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9570*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9599*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9405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9D46D0" w:rsidTr="00C76B63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D46D0" w:rsidRDefault="009D46D0" w:rsidP="009D46D0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7235*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9920*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9904</w:t>
            </w:r>
            <w:r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B537AD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9800*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9905*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9423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9D46D0" w:rsidTr="00B87C39">
        <w:trPr>
          <w:trHeight w:val="259"/>
        </w:trPr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Default="009D46D0" w:rsidP="009D46D0">
            <w:pPr>
              <w:jc w:val="right"/>
              <w:rPr>
                <w:rFonts w:cs="Open Sans Light"/>
                <w:b/>
                <w:color w:val="000000"/>
              </w:rPr>
            </w:pPr>
            <w:bookmarkStart w:id="0" w:name="_GoBack"/>
            <w:bookmarkEnd w:id="0"/>
            <w:r>
              <w:rPr>
                <w:rFonts w:cs="Open Sans Light"/>
                <w:b/>
                <w:color w:val="000000"/>
              </w:rPr>
              <w:t>Valence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Pr="00416250" w:rsidRDefault="009D46D0" w:rsidP="009D46D0">
            <w:pPr>
              <w:jc w:val="center"/>
              <w:rPr>
                <w:rFonts w:eastAsia="Arial" w:cs="Arial"/>
                <w:color w:val="000000"/>
              </w:rPr>
            </w:pPr>
            <w:r w:rsidRPr="00416250">
              <w:rPr>
                <w:rFonts w:eastAsia="Arial" w:cs="Arial"/>
                <w:color w:val="000000" w:themeColor="text1"/>
              </w:rPr>
              <w:t xml:space="preserve">4.86 </w:t>
            </w:r>
            <w:r w:rsidRPr="00416250">
              <w:rPr>
                <w:rFonts w:eastAsia="Arial" w:cs="Arial"/>
              </w:rPr>
              <w:t>± 0.49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Default="009D46D0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2.84 ± 0.57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Default="009D46D0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2.64 ± 0.46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Default="00B537AD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2.82 ± 0.62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Default="00B537AD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2.65 ± 0.75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Default="00C76B63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2.74 ± 0.70</w:t>
            </w:r>
          </w:p>
        </w:tc>
      </w:tr>
      <w:tr w:rsidR="009D46D0" w:rsidTr="00B87C39">
        <w:trPr>
          <w:trHeight w:val="259"/>
        </w:trPr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Default="009D46D0" w:rsidP="009D46D0">
            <w:pPr>
              <w:jc w:val="right"/>
              <w:rPr>
                <w:rFonts w:cs="Open Sans Light"/>
                <w:b/>
                <w:color w:val="000000"/>
              </w:rPr>
            </w:pPr>
            <w:r>
              <w:rPr>
                <w:rFonts w:cs="Open Sans Light"/>
                <w:b/>
                <w:color w:val="000000"/>
              </w:rPr>
              <w:t>Arousal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Pr="00416250" w:rsidRDefault="009D46D0" w:rsidP="009D46D0">
            <w:pPr>
              <w:jc w:val="center"/>
              <w:rPr>
                <w:rFonts w:eastAsia="Arial" w:cs="Arial"/>
                <w:color w:val="000000"/>
              </w:rPr>
            </w:pPr>
            <w:r w:rsidRPr="00416250">
              <w:rPr>
                <w:rFonts w:eastAsia="Arial" w:cs="Arial"/>
                <w:color w:val="000000" w:themeColor="text1"/>
              </w:rPr>
              <w:t xml:space="preserve">3.01 </w:t>
            </w:r>
            <w:r w:rsidRPr="00416250">
              <w:rPr>
                <w:rFonts w:eastAsia="Arial" w:cs="Arial"/>
              </w:rPr>
              <w:t>± 0.61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Default="009D46D0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5.62 ± 0.34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Default="009D46D0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5.58</w:t>
            </w:r>
            <w:r w:rsidRPr="00416250">
              <w:rPr>
                <w:rFonts w:eastAsia="Arial" w:cs="Arial"/>
              </w:rPr>
              <w:t xml:space="preserve"> ± 0.</w:t>
            </w:r>
            <w:r>
              <w:rPr>
                <w:rFonts w:eastAsia="Arial" w:cs="Arial"/>
              </w:rPr>
              <w:t>38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Default="00B537AD" w:rsidP="00B537AD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5.60</w:t>
            </w:r>
            <w:r w:rsidR="009D46D0" w:rsidRPr="00416250">
              <w:rPr>
                <w:rFonts w:eastAsia="Arial" w:cs="Arial"/>
              </w:rPr>
              <w:t xml:space="preserve"> ± 0.</w:t>
            </w:r>
            <w:r>
              <w:rPr>
                <w:rFonts w:eastAsia="Arial" w:cs="Arial"/>
              </w:rPr>
              <w:t>39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Default="00C76B63" w:rsidP="00C76B63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5.61</w:t>
            </w:r>
            <w:r w:rsidR="009D46D0" w:rsidRPr="00416250">
              <w:rPr>
                <w:rFonts w:eastAsia="Arial" w:cs="Arial"/>
              </w:rPr>
              <w:t xml:space="preserve"> ± 0.</w:t>
            </w:r>
            <w:r>
              <w:rPr>
                <w:rFonts w:eastAsia="Arial" w:cs="Arial"/>
              </w:rPr>
              <w:t>41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Default="00C76B63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5.63 ± 0.37</w:t>
            </w:r>
          </w:p>
        </w:tc>
      </w:tr>
      <w:tr w:rsidR="009D46D0" w:rsidRPr="00CE7A6A" w:rsidTr="00B87C39">
        <w:trPr>
          <w:trHeight w:val="259"/>
        </w:trPr>
        <w:tc>
          <w:tcPr>
            <w:tcW w:w="106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9D46D0" w:rsidRDefault="009D46D0" w:rsidP="009D46D0">
            <w:pPr>
              <w:jc w:val="left"/>
            </w:pPr>
            <w:r>
              <w:t xml:space="preserve">Note. * Pictures taken from the IAPS (Lang, Bradley, and Cuthbert, 2008); </w:t>
            </w:r>
            <w:r>
              <w:rPr>
                <w:rFonts w:cs="Open Sans Light"/>
                <w:vertAlign w:val="superscript"/>
              </w:rPr>
              <w:t>†</w:t>
            </w:r>
            <w:r>
              <w:t xml:space="preserve"> Pictures taken from the </w:t>
            </w:r>
            <w:proofErr w:type="spellStart"/>
            <w:r>
              <w:t>EmoPicS</w:t>
            </w:r>
            <w:proofErr w:type="spellEnd"/>
            <w:r>
              <w:t xml:space="preserve"> (</w:t>
            </w:r>
            <w:proofErr w:type="spellStart"/>
            <w:r>
              <w:t>Wessa</w:t>
            </w:r>
            <w:proofErr w:type="spellEnd"/>
            <w:r>
              <w:t xml:space="preserve"> et al., 2010).</w:t>
            </w:r>
          </w:p>
        </w:tc>
      </w:tr>
    </w:tbl>
    <w:p w:rsidR="00C04DEF" w:rsidRDefault="00C04DEF"/>
    <w:sectPr w:rsidR="00C04DEF" w:rsidSect="003D488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63569"/>
    <w:multiLevelType w:val="multilevel"/>
    <w:tmpl w:val="69E01430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C0"/>
    <w:rsid w:val="00393412"/>
    <w:rsid w:val="003D488B"/>
    <w:rsid w:val="005C683C"/>
    <w:rsid w:val="00797F23"/>
    <w:rsid w:val="008A621A"/>
    <w:rsid w:val="009D46D0"/>
    <w:rsid w:val="00B537AD"/>
    <w:rsid w:val="00B87C39"/>
    <w:rsid w:val="00C04DEF"/>
    <w:rsid w:val="00C76B63"/>
    <w:rsid w:val="00CA024A"/>
    <w:rsid w:val="00D146CE"/>
    <w:rsid w:val="00D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67FF"/>
  <w15:chartTrackingRefBased/>
  <w15:docId w15:val="{51098A9A-A52C-4ABC-96AF-2A259210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0BC0"/>
    <w:pPr>
      <w:contextualSpacing/>
      <w:jc w:val="both"/>
    </w:pPr>
    <w:rPr>
      <w:rFonts w:ascii="Arial" w:hAnsi="Arial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0BC0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0BC0"/>
    <w:pPr>
      <w:keepNext/>
      <w:keepLines/>
      <w:numPr>
        <w:ilvl w:val="1"/>
        <w:numId w:val="1"/>
      </w:numPr>
      <w:spacing w:before="40" w:after="0"/>
      <w:ind w:left="426" w:hanging="426"/>
      <w:outlineLvl w:val="1"/>
    </w:pPr>
    <w:rPr>
      <w:rFonts w:ascii="Open Sans" w:eastAsiaTheme="majorEastAsia" w:hAnsi="Open Sans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0BC0"/>
    <w:pPr>
      <w:keepNext/>
      <w:keepLines/>
      <w:numPr>
        <w:ilvl w:val="2"/>
        <w:numId w:val="1"/>
      </w:numPr>
      <w:spacing w:before="40" w:after="0"/>
      <w:ind w:hanging="1080"/>
      <w:outlineLvl w:val="2"/>
    </w:pPr>
    <w:rPr>
      <w:rFonts w:ascii="Open Sans" w:eastAsiaTheme="majorEastAsia" w:hAnsi="Open Sans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0BC0"/>
    <w:rPr>
      <w:rFonts w:ascii="Arial" w:eastAsiaTheme="majorEastAsia" w:hAnsi="Arial" w:cstheme="majorBidi"/>
      <w:b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0BC0"/>
    <w:rPr>
      <w:rFonts w:ascii="Open Sans" w:eastAsiaTheme="majorEastAsia" w:hAnsi="Open Sans" w:cstheme="majorBidi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0BC0"/>
    <w:rPr>
      <w:rFonts w:ascii="Open Sans" w:eastAsiaTheme="majorEastAsia" w:hAnsi="Open Sans" w:cstheme="majorBidi"/>
      <w:sz w:val="24"/>
      <w:szCs w:val="24"/>
      <w:lang w:val="en-US"/>
    </w:rPr>
  </w:style>
  <w:style w:type="table" w:styleId="Tabellenraster">
    <w:name w:val="Table Grid"/>
    <w:basedOn w:val="NormaleTabelle"/>
    <w:uiPriority w:val="39"/>
    <w:rsid w:val="00D9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Scheffel</dc:creator>
  <cp:keywords/>
  <dc:description/>
  <cp:lastModifiedBy>Christoph Scheffel</cp:lastModifiedBy>
  <cp:revision>6</cp:revision>
  <dcterms:created xsi:type="dcterms:W3CDTF">2022-02-01T11:31:00Z</dcterms:created>
  <dcterms:modified xsi:type="dcterms:W3CDTF">2022-02-02T09:10:00Z</dcterms:modified>
</cp:coreProperties>
</file>