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EBFC09">
      <w:pPr>
        <w:spacing w:before="0" w:after="0" w:line="360" w:lineRule="auto"/>
        <w:ind w:firstLine="0"/>
        <w:jc w:val="center"/>
        <w:outlineLvl w:val="0"/>
      </w:pPr>
      <w:r>
        <w:rPr>
          <w:rFonts w:ascii="Times New Roman" w:hAnsi="Times New Roman" w:eastAsia="黑体" w:cs="Times New Roman"/>
          <w:b/>
          <w:sz w:val="44"/>
        </w:rPr>
        <w:t>校园旧物公益捐赠回收管理系统的设计与实现</w:t>
      </w:r>
    </w:p>
    <w:p w14:paraId="3B70308C">
      <w:pPr>
        <w:spacing w:before="0" w:after="0" w:line="360" w:lineRule="auto"/>
        <w:ind w:firstLine="0"/>
        <w:jc w:val="center"/>
      </w:pPr>
      <w:r>
        <w:rPr>
          <w:rFonts w:ascii="Times New Roman" w:hAnsi="Times New Roman" w:eastAsia="宋体" w:cs="Times New Roman"/>
          <w:b w:val="0"/>
          <w:sz w:val="24"/>
        </w:rPr>
        <w:t>作者： 贾博文</w:t>
      </w:r>
    </w:p>
    <w:p w14:paraId="76DA47DE">
      <w:pPr>
        <w:spacing w:before="0" w:after="0" w:line="360" w:lineRule="auto"/>
        <w:ind w:firstLine="0"/>
        <w:jc w:val="center"/>
      </w:pPr>
      <w:r>
        <w:rPr>
          <w:rFonts w:ascii="Times New Roman" w:hAnsi="Times New Roman" w:eastAsia="宋体" w:cs="Times New Roman"/>
          <w:b w:val="0"/>
          <w:sz w:val="24"/>
        </w:rPr>
        <w:t>学号： 2022005232</w:t>
      </w:r>
    </w:p>
    <w:p w14:paraId="25CF3332">
      <w:pPr>
        <w:spacing w:before="0" w:after="0" w:line="360" w:lineRule="auto"/>
        <w:ind w:firstLine="0"/>
        <w:jc w:val="center"/>
      </w:pPr>
      <w:r>
        <w:rPr>
          <w:rFonts w:ascii="Times New Roman" w:hAnsi="Times New Roman" w:eastAsia="宋体" w:cs="Times New Roman"/>
          <w:b w:val="0"/>
          <w:sz w:val="24"/>
        </w:rPr>
        <w:t>指导教师： 胡忠良、董云云</w:t>
      </w:r>
    </w:p>
    <w:p w14:paraId="0A546CD9">
      <w:pPr>
        <w:spacing w:before="120" w:after="120" w:line="360" w:lineRule="auto"/>
        <w:ind w:firstLine="0"/>
        <w:jc w:val="left"/>
        <w:outlineLvl w:val="0"/>
      </w:pPr>
      <w:r>
        <w:rPr>
          <w:rFonts w:ascii="Times New Roman" w:hAnsi="Times New Roman" w:eastAsia="黑体" w:cs="Times New Roman"/>
          <w:b/>
          <w:sz w:val="28"/>
        </w:rPr>
        <w:t>摘 要</w:t>
      </w:r>
    </w:p>
    <w:p w14:paraId="3A9E8228">
      <w:pPr>
        <w:spacing w:before="0" w:after="0" w:line="360" w:lineRule="auto"/>
        <w:ind w:firstLine="480"/>
      </w:pPr>
      <w:r>
        <w:rPr>
          <w:rFonts w:ascii="Times New Roman" w:hAnsi="Times New Roman" w:eastAsia="宋体" w:cs="Times New Roman"/>
          <w:b w:val="0"/>
          <w:sz w:val="24"/>
        </w:rPr>
        <w:t>随着高校教育规模持续扩大和学生消费结构不断升级，校园内部可重复利用物资的沉淀现象日益突出。尤其在毕业季、学期更替以及宿舍搬迁等典型场景下，大量仍具备使用价值的书籍、衣物、生活用品与小型电子设备因缺乏高效流转渠道而被闲置甚至直接废弃，既造成资源浪费，也增加了校园后勤处理压力。与之相对应，乡村学校、社区公益组织及困难群体对基础学习资料和生活物资仍具有稳定而现实的需求。如何以信息化手段构建一条覆盖“捐赠发起—回收处理—分类管理—公益对接—反馈公示”全链路的数字化通道，成为兼具社会价值、教育价值与工程价值的研究问题。</w:t>
      </w:r>
    </w:p>
    <w:p w14:paraId="0C4F509B">
      <w:pPr>
        <w:spacing w:before="0" w:after="0" w:line="360" w:lineRule="auto"/>
        <w:ind w:firstLine="480"/>
      </w:pPr>
      <w:r>
        <w:rPr>
          <w:rFonts w:ascii="Times New Roman" w:hAnsi="Times New Roman" w:eastAsia="宋体" w:cs="Times New Roman"/>
          <w:b w:val="0"/>
          <w:sz w:val="24"/>
        </w:rPr>
        <w:t>本文围绕校园旧物公益流转场景，设计并实现了一套基于 Vue.js 与 SpringBoot 的校园旧物捐赠回收管理系统。系统采用前后端分离架构，前端基于 Vue.js 构建单页应用，后端基于 SpringBoot 提供 RESTful API 服务，数据存储采用 MySQL，持久层使用 MyBatis-Plus，身份认证使用 JWT，消息通知使用 WebSocket，以实现多角色协同、业务状态可追踪与信息交互实时化。系统面向捐赠者、回收志愿者、公益对接员和管理员四类核心用户，围绕捐赠预约、旧物登记、分类质检、公益对接、通知推送、统计分析等功能开展设计。论文在系统需求分析的基础上，完成总体架构、数据库结构、接口规范与安全机制设计，并进一步阐述关键模块的实现路径及测试方案。</w:t>
      </w:r>
    </w:p>
    <w:p w14:paraId="429F49EA">
      <w:pPr>
        <w:spacing w:before="0" w:after="0" w:line="360" w:lineRule="auto"/>
        <w:ind w:firstLine="480"/>
      </w:pPr>
      <w:r>
        <w:rPr>
          <w:rFonts w:ascii="Times New Roman" w:hAnsi="Times New Roman" w:eastAsia="宋体" w:cs="Times New Roman"/>
          <w:b w:val="0"/>
          <w:sz w:val="24"/>
        </w:rPr>
        <w:t>研究结果表明，该系统能够较好支撑校园旧物公益捐赠回收的典型业务流程，具有流程闭环清晰、角色分工明确、信息透明度较高和后续扩展成本较低等特点。本文的研究为校园公益数字化平台建设提供了可复用的设计思路，也为高校绿色校园建设、资源循环利用和学生公益实践活动的信息化管理提供了参考。</w:t>
      </w:r>
    </w:p>
    <w:p w14:paraId="36E9BE0D">
      <w:pPr>
        <w:spacing w:before="0" w:after="0" w:line="360" w:lineRule="auto"/>
        <w:ind w:firstLine="480"/>
      </w:pPr>
      <w:r>
        <w:rPr>
          <w:rFonts w:ascii="Times New Roman" w:hAnsi="Times New Roman" w:eastAsia="宋体" w:cs="Times New Roman"/>
          <w:b w:val="0"/>
          <w:sz w:val="24"/>
        </w:rPr>
        <w:t>关键词： 校园旧物回收；公益捐赠；SpringBoot；Vue.js；前后端分离</w:t>
      </w:r>
    </w:p>
    <w:p w14:paraId="733F4528">
      <w:pPr>
        <w:spacing w:before="120" w:after="120" w:line="360" w:lineRule="auto"/>
        <w:ind w:firstLine="0"/>
        <w:jc w:val="left"/>
        <w:outlineLvl w:val="0"/>
      </w:pPr>
      <w:r>
        <w:rPr>
          <w:rFonts w:ascii="Times New Roman" w:hAnsi="Times New Roman" w:eastAsia="黑体" w:cs="Times New Roman"/>
          <w:b/>
          <w:sz w:val="28"/>
        </w:rPr>
        <w:t>Abstract</w:t>
      </w:r>
    </w:p>
    <w:p w14:paraId="3485CED2">
      <w:pPr>
        <w:spacing w:before="0" w:after="0" w:line="360" w:lineRule="auto"/>
        <w:ind w:firstLine="480"/>
      </w:pPr>
      <w:r>
        <w:rPr>
          <w:rFonts w:ascii="Times New Roman" w:hAnsi="Times New Roman" w:eastAsia="宋体" w:cs="Times New Roman"/>
          <w:b w:val="0"/>
          <w:sz w:val="24"/>
        </w:rPr>
        <w:t>With the continuous expansion of higher education and the ongoing upgrading of student consumption patterns, the accumulation of reusable idle goods on campus has become increasingly prominent. Especially during graduation seasons, semester transitions, and dormitory relocation periods, a large number of books, clothes, daily necessities, and small electronic devices that still retain practical value are left unused or even discarded due to the lack of efficient circulation channels. This not only leads to resource waste, but also increases the burden on campus logistics. In contrast, rural schools, community welfare organizations, and disadvantaged groups still maintain practical and stable demand for learning materials and basic supplies. Therefore, building an information-based mechanism that covers the entire process of donation initiation, collection, classification, public welfare matching, and feedback disclosure has become a research issue of social, educational, and engineering significance.</w:t>
      </w:r>
    </w:p>
    <w:p w14:paraId="655AB984">
      <w:pPr>
        <w:spacing w:before="0" w:after="0" w:line="360" w:lineRule="auto"/>
        <w:ind w:firstLine="480"/>
      </w:pPr>
      <w:r>
        <w:rPr>
          <w:rFonts w:ascii="Times New Roman" w:hAnsi="Times New Roman" w:eastAsia="宋体" w:cs="Times New Roman"/>
          <w:b w:val="0"/>
          <w:sz w:val="24"/>
        </w:rPr>
        <w:t>This paper designs and implements a campus second-hand donation and recycling management system based on Vue.js and SpringBoot. The system adopts a front-end and back-end separation architecture. The front-end uses Vue.js to build a single-page application, while the back-end provides RESTful API services based on SpringBoot. MySQL is used for persistent storage, MyBatis-Plus is adopted for data access, JWT is employed for identity authentication, and WebSocket is introduced for real-time notification. The system supports four major user roles, namely donors, recycling volunteers, public welfare coordinators, and administrators, and focuses on core modules such as donation appointment, item registration, category management, public welfare matching, notification delivery, and statistical analysis. Based on a systematic requirement analysis, this paper further elaborates the overall architecture, database schema, API specifications, security mechanism, implementation strategy of key modules, and testing plan.</w:t>
      </w:r>
    </w:p>
    <w:p w14:paraId="7007C7C3">
      <w:pPr>
        <w:spacing w:before="0" w:after="0" w:line="360" w:lineRule="auto"/>
        <w:ind w:firstLine="480"/>
      </w:pPr>
      <w:r>
        <w:rPr>
          <w:rFonts w:ascii="Times New Roman" w:hAnsi="Times New Roman" w:eastAsia="宋体" w:cs="Times New Roman"/>
          <w:b w:val="0"/>
          <w:sz w:val="24"/>
        </w:rPr>
        <w:t>The study indicates that the proposed system can effectively support the typical workflow of campus public welfare donation and recycling, featuring a clear process closed loop, explicit role collaboration, transparent information flow, and strong extensibility. The research presented in this paper provides a reusable design reference for digital public welfare platforms on campus and offers practical support for green campus construction, resource recycling, and the informatization of student volunteer activities.</w:t>
      </w:r>
    </w:p>
    <w:p w14:paraId="3289CC9F">
      <w:pPr>
        <w:spacing w:before="0" w:after="0" w:line="360" w:lineRule="auto"/>
        <w:ind w:firstLine="480"/>
      </w:pPr>
      <w:r>
        <w:rPr>
          <w:rFonts w:ascii="Times New Roman" w:hAnsi="Times New Roman" w:eastAsia="宋体" w:cs="Times New Roman"/>
          <w:b w:val="0"/>
          <w:sz w:val="24"/>
        </w:rPr>
        <w:t>Key words: campus second-hand recycling; public welfare donation; SpringBoot; Vue.js; front-end and back-end separation</w:t>
      </w:r>
    </w:p>
    <w:p w14:paraId="4B3F44A2">
      <w:r>
        <w:br w:type="page"/>
      </w:r>
    </w:p>
    <w:p w14:paraId="4F2ADCED">
      <w:pPr>
        <w:spacing w:before="120" w:after="120" w:line="360" w:lineRule="auto"/>
        <w:ind w:firstLine="0"/>
        <w:jc w:val="center"/>
      </w:pPr>
      <w:r>
        <w:rPr>
          <w:rFonts w:ascii="Times New Roman" w:hAnsi="Times New Roman" w:eastAsia="黑体" w:cs="Times New Roman"/>
          <w:b/>
          <w:sz w:val="30"/>
        </w:rPr>
        <w:t>目 录</w:t>
      </w:r>
    </w:p>
    <w:p w14:paraId="7373EA14">
      <w:pPr>
        <w:spacing w:line="360" w:lineRule="auto"/>
      </w:pPr>
      <w:r>
        <w:rPr>
          <w:rFonts w:ascii="Times New Roman" w:hAnsi="Times New Roman" w:eastAsia="宋体" w:cs="Times New Roman"/>
          <w:b w:val="0"/>
          <w:sz w:val="24"/>
        </w:rPr>
        <w:fldChar w:fldCharType="begin"/>
      </w:r>
      <w:r>
        <w:rPr>
          <w:rFonts w:ascii="Times New Roman" w:hAnsi="Times New Roman" w:eastAsia="宋体" w:cs="Times New Roman"/>
          <w:b w:val="0"/>
          <w:sz w:val="24"/>
        </w:rPr>
        <w:instrText xml:space="preserve"> TOC \\o "1-3" \\h \\z \\u </w:instrText>
      </w:r>
      <w:r>
        <w:rPr>
          <w:rFonts w:ascii="Times New Roman" w:hAnsi="Times New Roman" w:eastAsia="宋体" w:cs="Times New Roman"/>
          <w:b w:val="0"/>
          <w:sz w:val="24"/>
        </w:rPr>
        <w:fldChar w:fldCharType="separate"/>
      </w:r>
      <w:r>
        <w:rPr>
          <w:rFonts w:ascii="Times New Roman" w:hAnsi="Times New Roman" w:eastAsia="宋体" w:cs="Times New Roman"/>
          <w:b w:val="0"/>
          <w:sz w:val="24"/>
        </w:rPr>
        <w:t>请在 Word 中右键目录并更新域。</w:t>
      </w:r>
      <w:r>
        <w:rPr>
          <w:rFonts w:ascii="Times New Roman" w:hAnsi="Times New Roman" w:eastAsia="宋体" w:cs="Times New Roman"/>
          <w:b w:val="0"/>
          <w:sz w:val="24"/>
        </w:rPr>
        <w:fldChar w:fldCharType="end"/>
      </w:r>
    </w:p>
    <w:p w14:paraId="33F3D83B">
      <w:pPr>
        <w:sectPr>
          <w:footerReference r:id="rId5" w:type="default"/>
          <w:pgSz w:w="12240" w:h="15840"/>
          <w:pgMar w:top="1871" w:right="1304" w:bottom="1304" w:left="1587" w:header="720" w:footer="720" w:gutter="0"/>
          <w:pgNumType w:fmt="upperRoman" w:start="1"/>
          <w:cols w:space="720" w:num="1"/>
          <w:docGrid w:linePitch="360" w:charSpace="0"/>
        </w:sectPr>
      </w:pPr>
    </w:p>
    <w:p w14:paraId="39A02569">
      <w:pPr>
        <w:spacing w:before="120" w:after="120" w:line="360" w:lineRule="auto"/>
        <w:ind w:firstLine="0"/>
        <w:jc w:val="center"/>
        <w:outlineLvl w:val="0"/>
      </w:pPr>
      <w:r>
        <w:rPr>
          <w:rFonts w:ascii="Times New Roman" w:hAnsi="Times New Roman" w:eastAsia="黑体" w:cs="Times New Roman"/>
          <w:b/>
          <w:sz w:val="30"/>
        </w:rPr>
        <w:t>1 绪论</w:t>
      </w:r>
    </w:p>
    <w:p w14:paraId="0006F0AA">
      <w:pPr>
        <w:spacing w:before="120" w:after="120" w:line="360" w:lineRule="auto"/>
        <w:ind w:firstLine="0"/>
        <w:jc w:val="left"/>
        <w:outlineLvl w:val="1"/>
      </w:pPr>
      <w:r>
        <w:rPr>
          <w:rFonts w:ascii="Times New Roman" w:hAnsi="Times New Roman" w:eastAsia="黑体" w:cs="Times New Roman"/>
          <w:b/>
          <w:sz w:val="28"/>
        </w:rPr>
        <w:t>1.1 课题背景与研究意义</w:t>
      </w:r>
    </w:p>
    <w:p w14:paraId="50C1A7AE">
      <w:pPr>
        <w:spacing w:before="120" w:after="120" w:line="360" w:lineRule="auto"/>
        <w:ind w:firstLine="0"/>
        <w:jc w:val="left"/>
        <w:outlineLvl w:val="2"/>
      </w:pPr>
      <w:r>
        <w:rPr>
          <w:rFonts w:ascii="Times New Roman" w:hAnsi="Times New Roman" w:eastAsia="黑体" w:cs="Times New Roman"/>
          <w:b/>
          <w:sz w:val="24"/>
        </w:rPr>
        <w:t>1.1.1 社会背景</w:t>
      </w:r>
    </w:p>
    <w:p w14:paraId="4A84EB30">
      <w:pPr>
        <w:spacing w:before="0" w:after="0" w:line="360" w:lineRule="auto"/>
        <w:ind w:firstLine="480"/>
      </w:pPr>
      <w:r>
        <w:rPr>
          <w:rFonts w:ascii="Times New Roman" w:hAnsi="Times New Roman" w:eastAsia="宋体" w:cs="Times New Roman"/>
          <w:b w:val="0"/>
          <w:sz w:val="24"/>
        </w:rPr>
        <w:t>近年来，我国高等教育事业持续发展，高校在校生规模不断扩大，大学生日常消费模式从“满足基本生活需求”逐步转向“强调品质、便利与更新效率”的复合型模式。在这一趋势下，学习资料、宿舍生活用品、服装、箱包以及小型电子设备等物品的更新频率明显提高，校园内部由此积累了大量闲置旧物。尤其是在毕业离校、宿舍搬迁、课程更替和社团活动结束等时间节点，旧物集中释放现象十分明显。大量物品虽然已不再为原持有者所使用，但在使用寿命、功能完整性与再利用价值方面仍然较高。</w:t>
      </w:r>
    </w:p>
    <w:p w14:paraId="4A4D7080">
      <w:pPr>
        <w:spacing w:before="0" w:after="0" w:line="360" w:lineRule="auto"/>
        <w:ind w:firstLine="480"/>
      </w:pPr>
      <w:r>
        <w:rPr>
          <w:rFonts w:ascii="Times New Roman" w:hAnsi="Times New Roman" w:eastAsia="宋体" w:cs="Times New Roman"/>
          <w:b w:val="0"/>
          <w:sz w:val="24"/>
        </w:rPr>
        <w:t>然而，校园中此类旧物流转长期缺乏标准化、常态化的信息支撑机制。传统做法多依赖线下临时捐赠点、班级通知或学生自发转让，存在回收时间分散、物品分类混乱、信息不对称、对接受众不明确、捐赠流向不透明等问题。这种低效率的资源再分配方式，不仅削弱了闲置物资的二次利用价值，也使校园绿色治理和公益组织协同面临较高的组织成本。</w:t>
      </w:r>
    </w:p>
    <w:p w14:paraId="6A88FFA7">
      <w:pPr>
        <w:spacing w:before="0" w:after="0" w:line="360" w:lineRule="auto"/>
        <w:ind w:firstLine="480"/>
      </w:pPr>
      <w:r>
        <w:rPr>
          <w:rFonts w:ascii="Times New Roman" w:hAnsi="Times New Roman" w:eastAsia="宋体" w:cs="Times New Roman"/>
          <w:b w:val="0"/>
          <w:sz w:val="24"/>
        </w:rPr>
        <w:t>与此同时，我国部分乡村学校、社区服务机构以及困难家庭对书籍、文具、衣物和基本生活物资仍存在持续需求。现实中，一端是高校内可供再利用的闲置资源不断累积，另一端是基层公益对象在教育与生活资源上存在缺口。若能够借助数字化平台将二者有效连接，不仅能够减少资源浪费，而且能够提升公益物资配置效率。因此，研究适用于高校场景的旧物捐赠回收管理系统，具有明确的现实驱动力。</w:t>
      </w:r>
    </w:p>
    <w:p w14:paraId="4C7A8E03">
      <w:pPr>
        <w:spacing w:before="120" w:after="120" w:line="360" w:lineRule="auto"/>
        <w:ind w:firstLine="0"/>
        <w:jc w:val="left"/>
        <w:outlineLvl w:val="2"/>
      </w:pPr>
      <w:r>
        <w:rPr>
          <w:rFonts w:ascii="Times New Roman" w:hAnsi="Times New Roman" w:eastAsia="黑体" w:cs="Times New Roman"/>
          <w:b/>
          <w:sz w:val="24"/>
        </w:rPr>
        <w:t>1.1.2 公益背景</w:t>
      </w:r>
    </w:p>
    <w:p w14:paraId="6CE16090">
      <w:pPr>
        <w:spacing w:before="0" w:after="0" w:line="360" w:lineRule="auto"/>
        <w:ind w:firstLine="480"/>
      </w:pPr>
      <w:r>
        <w:rPr>
          <w:rFonts w:ascii="Times New Roman" w:hAnsi="Times New Roman" w:eastAsia="宋体" w:cs="Times New Roman"/>
          <w:b w:val="0"/>
          <w:sz w:val="24"/>
        </w:rPr>
        <w:t>校园公益活动具有参与主体多元、组织方式灵活、活动周期明显以及价值导向鲜明等特征。相较于商业二手交易平台，校园旧物公益流转更强调公共利益、过程透明、身份可信和反馈可视化。在传统模式下，校园公益捐赠活动往往以阶段性活动形式存在，依赖学院团委、学生组织或志愿服务团队线下协调，其运行高度依赖组织者经验，流程标准化程度不足。当参与人数增加、物品种类增多、受赠组织扩展时，人工台账和群消息沟通已难以支撑精细化管理。</w:t>
      </w:r>
    </w:p>
    <w:p w14:paraId="2AB3917F">
      <w:pPr>
        <w:spacing w:before="0" w:after="0" w:line="360" w:lineRule="auto"/>
        <w:ind w:firstLine="480"/>
      </w:pPr>
      <w:r>
        <w:rPr>
          <w:rFonts w:ascii="Times New Roman" w:hAnsi="Times New Roman" w:eastAsia="宋体" w:cs="Times New Roman"/>
          <w:b w:val="0"/>
          <w:sz w:val="24"/>
        </w:rPr>
        <w:t>公益场景的特殊性决定了系统设计不能简单复制商业平台逻辑。其一，系统不仅要完成物品登记和状态管理，还需关注物资流向、公益对象资质、对接反馈以及捐赠者信任感的建立；其二，公益活动具有明显的教育属性，平台应能对学生志愿服务参与进行可记录、可认定、可展示的支撑；其三，校园公益流程涉及学校管理要求，系统必须兼顾可审计性、合规性与安全性。基于上述特点，建设一个兼顾公益属性与工程实现性的管理系统具有必要性。</w:t>
      </w:r>
    </w:p>
    <w:p w14:paraId="12D60B41">
      <w:pPr>
        <w:spacing w:before="120" w:after="120" w:line="360" w:lineRule="auto"/>
        <w:ind w:firstLine="0"/>
        <w:jc w:val="left"/>
        <w:outlineLvl w:val="2"/>
      </w:pPr>
      <w:r>
        <w:rPr>
          <w:rFonts w:ascii="Times New Roman" w:hAnsi="Times New Roman" w:eastAsia="黑体" w:cs="Times New Roman"/>
          <w:b/>
          <w:sz w:val="24"/>
        </w:rPr>
        <w:t>1.1.3 研究意义</w:t>
      </w:r>
    </w:p>
    <w:p w14:paraId="41ECA7E3">
      <w:pPr>
        <w:spacing w:before="0" w:after="0" w:line="360" w:lineRule="auto"/>
        <w:ind w:firstLine="480"/>
      </w:pPr>
      <w:r>
        <w:rPr>
          <w:rFonts w:ascii="Times New Roman" w:hAnsi="Times New Roman" w:eastAsia="宋体" w:cs="Times New Roman"/>
          <w:b w:val="0"/>
          <w:sz w:val="24"/>
        </w:rPr>
        <w:t>本课题从社会价值、教育实践价值和技术工程价值三个维度展开。</w:t>
      </w:r>
    </w:p>
    <w:p w14:paraId="43B529F0">
      <w:pPr>
        <w:spacing w:before="0" w:after="0" w:line="360" w:lineRule="auto"/>
        <w:ind w:firstLine="480"/>
      </w:pPr>
      <w:r>
        <w:rPr>
          <w:rFonts w:ascii="Times New Roman" w:hAnsi="Times New Roman" w:eastAsia="宋体" w:cs="Times New Roman"/>
          <w:b w:val="0"/>
          <w:sz w:val="24"/>
        </w:rPr>
        <w:t>第一，社会价值方面，系统通过建立旧物捐赠与公益需求之间的数字化连接通道，推动高校闲置资源向有需要的地区和群体转移，促进资源再利用和绿色低碳理念落地。其本质并非单纯的信息登记工具，而是一个围绕“资源节约—公益分发—过程透明—反馈闭环”构建的数字化治理平台。通过将捐赠预约、物品分类、对接审核、去向记录、结果反馈纳入统一系统，可以显著降低公益流转中的信息损耗和组织摩擦。</w:t>
      </w:r>
    </w:p>
    <w:p w14:paraId="6A8A0D55">
      <w:pPr>
        <w:spacing w:before="0" w:after="0" w:line="360" w:lineRule="auto"/>
        <w:ind w:firstLine="480"/>
      </w:pPr>
      <w:r>
        <w:rPr>
          <w:rFonts w:ascii="Times New Roman" w:hAnsi="Times New Roman" w:eastAsia="宋体" w:cs="Times New Roman"/>
          <w:b w:val="0"/>
          <w:sz w:val="24"/>
        </w:rPr>
        <w:t>第二，教育实践价值方面，系统将公益活动从“一次性活动组织”转变为“可持续运行的服务机制”。通过线上预约、实时通知、电子证明、捐赠公示和统计分析等功能，学生能够更直观地感知自身行为与公益结果之间的联系，从而增强参与意愿和责任意识。对学校而言，该系统能够成为第二课堂、志愿服务认定、劳动教育实践和绿色校园建设的支撑平台，具有良好的育人价值。</w:t>
      </w:r>
    </w:p>
    <w:p w14:paraId="1BB9FD44">
      <w:pPr>
        <w:spacing w:before="0" w:after="0" w:line="360" w:lineRule="auto"/>
        <w:ind w:firstLine="480"/>
      </w:pPr>
      <w:r>
        <w:rPr>
          <w:rFonts w:ascii="Times New Roman" w:hAnsi="Times New Roman" w:eastAsia="宋体" w:cs="Times New Roman"/>
          <w:b w:val="0"/>
          <w:sz w:val="24"/>
        </w:rPr>
        <w:t>第三，技术工程价值方面，本课题面向典型 Web 信息系统场景，综合应用 Vue.js、SpringBoot、MyBatis-Plus、JWT 与 WebSocket 等主流技术，落实前后端分离、接口规范化、权限细粒度控制和实时消息协同等软件工程理念。系统的开发过程覆盖需求分析、总体设计、数据库设计、模块实现与测试验证等完整环节，具有较强的工程实践意义，并可为同类型校园管理系统提供参考。</w:t>
      </w:r>
    </w:p>
    <w:p w14:paraId="160430DA">
      <w:pPr>
        <w:spacing w:before="120" w:after="120" w:line="360" w:lineRule="auto"/>
        <w:ind w:firstLine="0"/>
        <w:jc w:val="left"/>
        <w:outlineLvl w:val="1"/>
      </w:pPr>
      <w:r>
        <w:rPr>
          <w:rFonts w:ascii="Times New Roman" w:hAnsi="Times New Roman" w:eastAsia="黑体" w:cs="Times New Roman"/>
          <w:b/>
          <w:sz w:val="28"/>
        </w:rPr>
        <w:t>1.2 国内外研究现状</w:t>
      </w:r>
    </w:p>
    <w:p w14:paraId="6F3EABE0">
      <w:pPr>
        <w:spacing w:before="120" w:after="120" w:line="360" w:lineRule="auto"/>
        <w:ind w:firstLine="0"/>
        <w:jc w:val="left"/>
        <w:outlineLvl w:val="2"/>
      </w:pPr>
      <w:r>
        <w:rPr>
          <w:rFonts w:ascii="Times New Roman" w:hAnsi="Times New Roman" w:eastAsia="黑体" w:cs="Times New Roman"/>
          <w:b/>
          <w:sz w:val="24"/>
        </w:rPr>
        <w:t>1.2.1 软件工程理论与 Web 架构规范</w:t>
      </w:r>
    </w:p>
    <w:p w14:paraId="45B2464D">
      <w:pPr>
        <w:spacing w:before="0" w:after="0" w:line="360" w:lineRule="auto"/>
        <w:ind w:firstLine="480"/>
      </w:pPr>
      <w:r>
        <w:rPr>
          <w:rFonts w:ascii="Times New Roman" w:hAnsi="Times New Roman" w:eastAsia="宋体" w:cs="Times New Roman"/>
          <w:b w:val="0"/>
          <w:sz w:val="24"/>
        </w:rPr>
        <w:t>现代信息管理系统的发展建立在成熟的软件工程理论之上。Gamma 等人提出的设计模式体系为复杂软件的模块解耦、职责划分与复用设计提供了通用方法，奠定了后续框架设计、分层架构和对象协作模式的基础[1]。Fielding 在 REST 架构风格中的相关论述，则明确了资源、统一接口、无状态通信和分层系统等关键约束，为 Web API 的标准化提供了理论框架[2]。对于校园旧物捐赠回收管理系统这类典型业务信息系统而言，设计模式与 RESTful 规范的结合，是实现低耦合、高内聚、可维护系统结构的重要前提[1-2]。</w:t>
      </w:r>
    </w:p>
    <w:p w14:paraId="49163FA1">
      <w:pPr>
        <w:spacing w:before="0" w:after="0" w:line="360" w:lineRule="auto"/>
        <w:ind w:firstLine="480"/>
      </w:pPr>
      <w:r>
        <w:rPr>
          <w:rFonts w:ascii="Times New Roman" w:hAnsi="Times New Roman" w:eastAsia="宋体" w:cs="Times New Roman"/>
          <w:b w:val="0"/>
          <w:sz w:val="24"/>
        </w:rPr>
        <w:t>从软件工程视角看，校园公益管理平台并不只是功能页面的堆叠，而是涉及需求抽象、角色边界划分、业务流程建模与数据实体映射的系统化工程[5-6]。随着高校管理系统规模不断扩大，传统“页面驱动”的开发模式已难以满足多角色协作和后续扩展需求。因此，将规范化的软件设计思想引入校园公益领域，已成为此类系统研究的重要趋势[5-6]。</w:t>
      </w:r>
    </w:p>
    <w:p w14:paraId="2E133F61">
      <w:pPr>
        <w:spacing w:before="120" w:after="120" w:line="360" w:lineRule="auto"/>
        <w:ind w:firstLine="0"/>
        <w:jc w:val="left"/>
        <w:outlineLvl w:val="2"/>
      </w:pPr>
      <w:r>
        <w:rPr>
          <w:rFonts w:ascii="Times New Roman" w:hAnsi="Times New Roman" w:eastAsia="黑体" w:cs="Times New Roman"/>
          <w:b/>
          <w:sz w:val="24"/>
        </w:rPr>
        <w:t>1.2.2 Java 企业级后端框架演进</w:t>
      </w:r>
    </w:p>
    <w:p w14:paraId="7E002068">
      <w:pPr>
        <w:spacing w:before="0" w:after="0" w:line="360" w:lineRule="auto"/>
        <w:ind w:firstLine="480"/>
      </w:pPr>
      <w:r>
        <w:rPr>
          <w:rFonts w:ascii="Times New Roman" w:hAnsi="Times New Roman" w:eastAsia="宋体" w:cs="Times New Roman"/>
          <w:b w:val="0"/>
          <w:sz w:val="24"/>
        </w:rPr>
        <w:t>Java 企业级开发框架的演进经历了由早期 JSP/Servlet 到 SSH、SSM，再到 SpringBoot 的发展过程。早期基于 Servlet 的系统往往将请求处理、业务逻辑与页面展示紧密耦合，开发效率和维护性较低。SSH 与 SSM 的出现推动了表现层、业务层与持久层分离，但其项目搭建与 XML 配置成本仍然较高。在此背景下，SpringBoot 以“约定优于配置”为核心理念，显著降低了项目初始化和依赖整合成本，使得中小型信息系统能够在较短周期内建立规范化后端工程[14][19-20]。</w:t>
      </w:r>
    </w:p>
    <w:p w14:paraId="7CE1C7A2">
      <w:pPr>
        <w:spacing w:before="0" w:after="0" w:line="360" w:lineRule="auto"/>
        <w:ind w:firstLine="480"/>
      </w:pPr>
      <w:r>
        <w:rPr>
          <w:rFonts w:ascii="Times New Roman" w:hAnsi="Times New Roman" w:eastAsia="宋体" w:cs="Times New Roman"/>
          <w:b w:val="0"/>
          <w:sz w:val="24"/>
        </w:rPr>
        <w:t>对于多角色协同的校园管理系统而言，SpringBoot 的自动装配机制、统一异常处理、与安全框架的集成能力以及生态完善性，使其在身份认证、接口分层、参数校验和日志治理方面表现出较强优势[14-15]。再结合 MyBatis-Plus 在常规 CRUD、分页查询和条件构造方面的便利性，可以进一步减少样板代码，提高开发效率[13][21]。因此，SpringBoot 已成为当前高校管理系统、教育平台和公益服务类系统中较为常见的后端技术选择[19-21]。</w:t>
      </w:r>
    </w:p>
    <w:p w14:paraId="333B6877">
      <w:pPr>
        <w:spacing w:before="120" w:after="120" w:line="360" w:lineRule="auto"/>
        <w:ind w:firstLine="0"/>
        <w:jc w:val="left"/>
        <w:outlineLvl w:val="2"/>
      </w:pPr>
      <w:r>
        <w:rPr>
          <w:rFonts w:ascii="Times New Roman" w:hAnsi="Times New Roman" w:eastAsia="黑体" w:cs="Times New Roman"/>
          <w:b/>
          <w:sz w:val="24"/>
        </w:rPr>
        <w:t>1.2.3 前端工程化演进与前后端分离架构</w:t>
      </w:r>
    </w:p>
    <w:p w14:paraId="26A4D956">
      <w:pPr>
        <w:spacing w:before="0" w:after="0" w:line="360" w:lineRule="auto"/>
        <w:ind w:firstLine="480"/>
      </w:pPr>
      <w:r>
        <w:rPr>
          <w:rFonts w:ascii="Times New Roman" w:hAnsi="Times New Roman" w:eastAsia="宋体" w:cs="Times New Roman"/>
          <w:b w:val="0"/>
          <w:sz w:val="24"/>
        </w:rPr>
        <w:t>前端开发也经历了从静态页面与模板渲染到组件化、响应式开发的演进过程。Vue.js 以学习成本适中、组件复用能力强和开发生态成熟等特点，在教学管理、校园服务与中后台系统中得到广泛应用[16]。与传统 JSP 页面不同，Vue.js 更适合构建单页应用，可通过组件划分实现功能复用，通过状态管理与路由机制提升复杂业务场景下的可维护性[16][22]。</w:t>
      </w:r>
    </w:p>
    <w:p w14:paraId="48F98CE3">
      <w:pPr>
        <w:spacing w:before="0" w:after="0" w:line="360" w:lineRule="auto"/>
        <w:ind w:firstLine="480"/>
      </w:pPr>
      <w:r>
        <w:rPr>
          <w:rFonts w:ascii="Times New Roman" w:hAnsi="Times New Roman" w:eastAsia="宋体" w:cs="Times New Roman"/>
          <w:b w:val="0"/>
          <w:sz w:val="24"/>
        </w:rPr>
        <w:t>前后端分离架构的兴起，使后端可以专注于业务规则和数据接口，前端则负责交互呈现与用户体验优化。二者通过 RESTful API 连接，既便于团队并行开发，也有利于后续将 Web 端能力扩展到移动端或小程序端[2][7]。在校园旧物公益平台中，用户角色复杂、页面交互频繁、状态切换较多，采用前后端分离架构有助于实现更清晰的职责边界和更高效的迭代开发[22]。</w:t>
      </w:r>
    </w:p>
    <w:p w14:paraId="0FDB2F01">
      <w:pPr>
        <w:spacing w:before="120" w:after="120" w:line="360" w:lineRule="auto"/>
        <w:ind w:firstLine="0"/>
        <w:jc w:val="left"/>
        <w:outlineLvl w:val="2"/>
      </w:pPr>
      <w:r>
        <w:rPr>
          <w:rFonts w:ascii="Times New Roman" w:hAnsi="Times New Roman" w:eastAsia="黑体" w:cs="Times New Roman"/>
          <w:b/>
          <w:sz w:val="24"/>
        </w:rPr>
        <w:t>1.2.4 SpringBoot 与 Vue 技术栈的综合应用</w:t>
      </w:r>
    </w:p>
    <w:p w14:paraId="37705DCD">
      <w:pPr>
        <w:spacing w:before="0" w:after="0" w:line="360" w:lineRule="auto"/>
        <w:ind w:firstLine="480"/>
      </w:pPr>
      <w:r>
        <w:rPr>
          <w:rFonts w:ascii="Times New Roman" w:hAnsi="Times New Roman" w:eastAsia="宋体" w:cs="Times New Roman"/>
          <w:b w:val="0"/>
          <w:sz w:val="24"/>
        </w:rPr>
        <w:t>近年来，基于 SpringBoot 与 Vue.js 的信息系统研究不断增多，涵盖智慧校园、在线教育、项目协同、资源管理、文件管理等多个方向[23-25]。大量实践表明，该组合在构建中小型业务系统时兼具开发效率、维护便利与部署灵活的优势。一方面，SpringBoot 适合实现规范化服务端架构[14]；另一方面，Vue.js 适合实现多页面管理、表单交互、状态展示和数据可视化[16-18]。二者与 MySQL、JWT、WebSocket 等技术搭配后，能够较好地支撑以角色权限、状态流转和实时通知为核心的管理系统场景[8-9][12]。</w:t>
      </w:r>
    </w:p>
    <w:p w14:paraId="758660B2">
      <w:pPr>
        <w:spacing w:before="0" w:after="0" w:line="360" w:lineRule="auto"/>
        <w:ind w:firstLine="480"/>
      </w:pPr>
      <w:r>
        <w:rPr>
          <w:rFonts w:ascii="Times New Roman" w:hAnsi="Times New Roman" w:eastAsia="宋体" w:cs="Times New Roman"/>
          <w:b w:val="0"/>
          <w:sz w:val="24"/>
        </w:rPr>
        <w:t>从研究成果来看，现有工作多聚焦于教学管理、校园生活服务或通用资源管理，但真正面向“校园旧物公益捐赠回收”这一细分场景的研究仍相对有限[23-25]。特别是在“公益属性”“捐赠证明”“对接反馈”“过程公示”等具有显著公益治理特征的模块上，专门化设计仍有较大拓展空间。</w:t>
      </w:r>
    </w:p>
    <w:p w14:paraId="38E7F736">
      <w:pPr>
        <w:spacing w:before="120" w:after="120" w:line="360" w:lineRule="auto"/>
        <w:ind w:firstLine="0"/>
        <w:jc w:val="left"/>
        <w:outlineLvl w:val="2"/>
      </w:pPr>
      <w:r>
        <w:rPr>
          <w:rFonts w:ascii="Times New Roman" w:hAnsi="Times New Roman" w:eastAsia="黑体" w:cs="Times New Roman"/>
          <w:b/>
          <w:sz w:val="24"/>
        </w:rPr>
        <w:t>1.2.5 现有研究不足与本课题创新点</w:t>
      </w:r>
    </w:p>
    <w:p w14:paraId="63AF4EBB">
      <w:pPr>
        <w:spacing w:before="0" w:after="0" w:line="360" w:lineRule="auto"/>
        <w:ind w:firstLine="480"/>
      </w:pPr>
      <w:r>
        <w:rPr>
          <w:rFonts w:ascii="Times New Roman" w:hAnsi="Times New Roman" w:eastAsia="宋体" w:cs="Times New Roman"/>
          <w:b w:val="0"/>
          <w:sz w:val="24"/>
        </w:rPr>
        <w:t>综合已有研究，可以归纳出现有系统在以下三个方面仍存在不足。</w:t>
      </w:r>
    </w:p>
    <w:p w14:paraId="688D5D64">
      <w:pPr>
        <w:spacing w:before="0" w:after="0" w:line="360" w:lineRule="auto"/>
        <w:ind w:firstLine="480"/>
      </w:pPr>
      <w:r>
        <w:rPr>
          <w:rFonts w:ascii="Times New Roman" w:hAnsi="Times New Roman" w:eastAsia="宋体" w:cs="Times New Roman"/>
          <w:b w:val="0"/>
          <w:sz w:val="24"/>
        </w:rPr>
        <w:t>其一，场景适配性不足。多数研究聚焦于商业交易、普通库存管理或通用资源调配，缺乏对高校公益捐赠场景的专门化抽象，未能充分纳入校园组织管理、志愿者协同与捐赠者反馈诉求[23-25]。</w:t>
      </w:r>
    </w:p>
    <w:p w14:paraId="16480BD7">
      <w:pPr>
        <w:spacing w:before="0" w:after="0" w:line="360" w:lineRule="auto"/>
        <w:ind w:firstLine="480"/>
      </w:pPr>
      <w:r>
        <w:rPr>
          <w:rFonts w:ascii="Times New Roman" w:hAnsi="Times New Roman" w:eastAsia="宋体" w:cs="Times New Roman"/>
          <w:b w:val="0"/>
          <w:sz w:val="24"/>
        </w:rPr>
        <w:t>其二，流程闭环设计不足。部分系统虽然提供物品登记或需求发布功能，但在预约调度、旧物分级、公益对接、回执反馈和结果公示方面缺少端到端的闭环机制，难以建立持续信任[7][23]。</w:t>
      </w:r>
    </w:p>
    <w:p w14:paraId="63EF58FF">
      <w:pPr>
        <w:spacing w:before="0" w:after="0" w:line="360" w:lineRule="auto"/>
        <w:ind w:firstLine="480"/>
      </w:pPr>
      <w:r>
        <w:rPr>
          <w:rFonts w:ascii="Times New Roman" w:hAnsi="Times New Roman" w:eastAsia="宋体" w:cs="Times New Roman"/>
          <w:b w:val="0"/>
          <w:sz w:val="24"/>
        </w:rPr>
        <w:t>其三，多角色协同机制不足。公益活动中的捐赠者、回收志愿者、公益对接员和管理员在职责上存在显著差异，若角色权限边界不清，将直接导致流程效率下降与信息安全风险上升[10-11][15]。</w:t>
      </w:r>
    </w:p>
    <w:p w14:paraId="55C3867A">
      <w:pPr>
        <w:spacing w:before="0" w:after="0" w:line="360" w:lineRule="auto"/>
        <w:ind w:firstLine="480"/>
      </w:pPr>
      <w:r>
        <w:rPr>
          <w:rFonts w:ascii="Times New Roman" w:hAnsi="Times New Roman" w:eastAsia="宋体" w:cs="Times New Roman"/>
          <w:b w:val="0"/>
          <w:sz w:val="24"/>
        </w:rPr>
        <w:t>基于上述不足，本文的创新点主要体现在以下几个方面：第一，面向校园旧物公益流转场景构建专门化系统模型，将捐赠、回收、分类、对接与公示纳入统一业务链条；第二，设计多角色、细粒度权限控制机制，强化不同角色间的协同逻辑与责任边界；第三，引入预约码核验、分类标签体系、电子捐赠证明、消息推送与统计可视化等机制，以提升系统透明度、可追踪性与用户体验[8-9][16-18]。</w:t>
      </w:r>
    </w:p>
    <w:p w14:paraId="652BD355">
      <w:pPr>
        <w:spacing w:before="120" w:after="120" w:line="360" w:lineRule="auto"/>
        <w:ind w:firstLine="0"/>
        <w:jc w:val="left"/>
        <w:outlineLvl w:val="1"/>
      </w:pPr>
      <w:r>
        <w:rPr>
          <w:rFonts w:ascii="Times New Roman" w:hAnsi="Times New Roman" w:eastAsia="黑体" w:cs="Times New Roman"/>
          <w:b/>
          <w:sz w:val="28"/>
        </w:rPr>
        <w:t>1.3 主要研究内容</w:t>
      </w:r>
    </w:p>
    <w:p w14:paraId="4846D1E4">
      <w:pPr>
        <w:spacing w:before="0" w:after="0" w:line="360" w:lineRule="auto"/>
        <w:ind w:firstLine="480"/>
      </w:pPr>
      <w:r>
        <w:rPr>
          <w:rFonts w:ascii="Times New Roman" w:hAnsi="Times New Roman" w:eastAsia="宋体" w:cs="Times New Roman"/>
          <w:b w:val="0"/>
          <w:sz w:val="24"/>
        </w:rPr>
        <w:t>本文围绕校园旧物公益捐赠回收管理系统的设计与实现展开，主要研究内容包括以下四个层面。</w:t>
      </w:r>
    </w:p>
    <w:p w14:paraId="76AA7463">
      <w:pPr>
        <w:spacing w:before="0" w:after="0" w:line="360" w:lineRule="auto"/>
        <w:ind w:firstLine="480"/>
      </w:pPr>
      <w:r>
        <w:rPr>
          <w:rFonts w:ascii="Times New Roman" w:hAnsi="Times New Roman" w:eastAsia="宋体" w:cs="Times New Roman"/>
          <w:b w:val="0"/>
          <w:sz w:val="24"/>
        </w:rPr>
        <w:t>第一，需求层面。结合校园旧物回收与公益捐赠场景，对用户角色、核心业务流程、功能需求和非功能需求进行系统分析，明确系统边界、业务对象与交互关系。</w:t>
      </w:r>
    </w:p>
    <w:p w14:paraId="3A00AEAB">
      <w:pPr>
        <w:spacing w:before="0" w:after="0" w:line="360" w:lineRule="auto"/>
        <w:ind w:firstLine="480"/>
      </w:pPr>
      <w:r>
        <w:rPr>
          <w:rFonts w:ascii="Times New Roman" w:hAnsi="Times New Roman" w:eastAsia="宋体" w:cs="Times New Roman"/>
          <w:b w:val="0"/>
          <w:sz w:val="24"/>
        </w:rPr>
        <w:t>第二，设计层面。基于前后端分离架构完成总体设计，围绕系统模块、数据库结构、接口规范与安全机制形成相对完整的技术方案，为后续编码实现提供结构化依据。</w:t>
      </w:r>
    </w:p>
    <w:p w14:paraId="3C8F5B28">
      <w:pPr>
        <w:spacing w:before="0" w:after="0" w:line="360" w:lineRule="auto"/>
        <w:ind w:firstLine="480"/>
      </w:pPr>
      <w:r>
        <w:rPr>
          <w:rFonts w:ascii="Times New Roman" w:hAnsi="Times New Roman" w:eastAsia="宋体" w:cs="Times New Roman"/>
          <w:b w:val="0"/>
          <w:sz w:val="24"/>
        </w:rPr>
        <w:t>第三，实现层面。围绕用户认证、捐赠预约、旧物管理、公益对接、消息通知和数据统计等关键模块展开实现分析，说明系统如何以技术手段承载业务需求。</w:t>
      </w:r>
    </w:p>
    <w:p w14:paraId="4D3EEF3B">
      <w:pPr>
        <w:spacing w:before="0" w:after="0" w:line="360" w:lineRule="auto"/>
        <w:ind w:firstLine="480"/>
      </w:pPr>
      <w:r>
        <w:rPr>
          <w:rFonts w:ascii="Times New Roman" w:hAnsi="Times New Roman" w:eastAsia="宋体" w:cs="Times New Roman"/>
          <w:b w:val="0"/>
          <w:sz w:val="24"/>
        </w:rPr>
        <w:t>第四，验证层面。针对系统的功能正确性、接口稳定性和基本性能表现设计测试方案，分析系统在典型业务场景下的适用性，并总结其优势与局限。</w:t>
      </w:r>
    </w:p>
    <w:p w14:paraId="79212DDA">
      <w:pPr>
        <w:spacing w:before="120" w:after="120" w:line="360" w:lineRule="auto"/>
        <w:ind w:firstLine="0"/>
        <w:jc w:val="left"/>
        <w:outlineLvl w:val="1"/>
      </w:pPr>
      <w:r>
        <w:rPr>
          <w:rFonts w:ascii="Times New Roman" w:hAnsi="Times New Roman" w:eastAsia="黑体" w:cs="Times New Roman"/>
          <w:b/>
          <w:sz w:val="28"/>
        </w:rPr>
        <w:t>1.4 论文结构安排</w:t>
      </w:r>
    </w:p>
    <w:p w14:paraId="7DD96746">
      <w:pPr>
        <w:spacing w:before="0" w:after="0" w:line="360" w:lineRule="auto"/>
        <w:ind w:firstLine="480"/>
      </w:pPr>
      <w:r>
        <w:rPr>
          <w:rFonts w:ascii="Times New Roman" w:hAnsi="Times New Roman" w:eastAsia="宋体" w:cs="Times New Roman"/>
          <w:b w:val="0"/>
          <w:sz w:val="24"/>
        </w:rPr>
        <w:t>本文共分为五章和结论部分。</w:t>
      </w:r>
    </w:p>
    <w:p w14:paraId="45AD6C97">
      <w:pPr>
        <w:spacing w:before="0" w:after="0" w:line="360" w:lineRule="auto"/>
        <w:ind w:firstLine="480"/>
      </w:pPr>
      <w:r>
        <w:rPr>
          <w:rFonts w:ascii="Times New Roman" w:hAnsi="Times New Roman" w:eastAsia="宋体" w:cs="Times New Roman"/>
          <w:b w:val="0"/>
          <w:sz w:val="24"/>
        </w:rPr>
        <w:t>第一章为绪论，主要介绍课题背景、研究意义、国内外研究现状、主要研究内容及论文结构安排。</w:t>
      </w:r>
    </w:p>
    <w:p w14:paraId="0E955F6A">
      <w:pPr>
        <w:spacing w:before="0" w:after="0" w:line="360" w:lineRule="auto"/>
        <w:ind w:firstLine="480"/>
      </w:pPr>
      <w:r>
        <w:rPr>
          <w:rFonts w:ascii="Times New Roman" w:hAnsi="Times New Roman" w:eastAsia="宋体" w:cs="Times New Roman"/>
          <w:b w:val="0"/>
          <w:sz w:val="24"/>
        </w:rPr>
        <w:t>第二章为系统需求分析，围绕可行性、用户角色、功能需求和非功能需求展开详细论述。</w:t>
      </w:r>
    </w:p>
    <w:p w14:paraId="239CF27F">
      <w:pPr>
        <w:spacing w:before="0" w:after="0" w:line="360" w:lineRule="auto"/>
        <w:ind w:firstLine="480"/>
      </w:pPr>
      <w:r>
        <w:rPr>
          <w:rFonts w:ascii="Times New Roman" w:hAnsi="Times New Roman" w:eastAsia="宋体" w:cs="Times New Roman"/>
          <w:b w:val="0"/>
          <w:sz w:val="24"/>
        </w:rPr>
        <w:t>第三章为系统设计，阐述总体架构、功能模块、数据库、接口和安全设计。</w:t>
      </w:r>
    </w:p>
    <w:p w14:paraId="5178582D">
      <w:pPr>
        <w:spacing w:before="0" w:after="0" w:line="360" w:lineRule="auto"/>
        <w:ind w:firstLine="480"/>
      </w:pPr>
      <w:r>
        <w:rPr>
          <w:rFonts w:ascii="Times New Roman" w:hAnsi="Times New Roman" w:eastAsia="宋体" w:cs="Times New Roman"/>
          <w:b w:val="0"/>
          <w:sz w:val="24"/>
        </w:rPr>
        <w:t>第四章为系统实现，从开发环境、后端实现、前端实现和关键界面等方面介绍系统落地过程。</w:t>
      </w:r>
    </w:p>
    <w:p w14:paraId="26A4254B">
      <w:pPr>
        <w:spacing w:before="0" w:after="0" w:line="360" w:lineRule="auto"/>
        <w:ind w:firstLine="480"/>
      </w:pPr>
      <w:r>
        <w:rPr>
          <w:rFonts w:ascii="Times New Roman" w:hAnsi="Times New Roman" w:eastAsia="宋体" w:cs="Times New Roman"/>
          <w:b w:val="0"/>
          <w:sz w:val="24"/>
        </w:rPr>
        <w:t>第五章为系统测试，介绍测试环境、测试方法、功能测试、接口测试和性能验证思路。</w:t>
      </w:r>
    </w:p>
    <w:p w14:paraId="1B5B5FFF">
      <w:pPr>
        <w:spacing w:before="0" w:after="0" w:line="360" w:lineRule="auto"/>
        <w:ind w:firstLine="480"/>
      </w:pPr>
      <w:r>
        <w:rPr>
          <w:rFonts w:ascii="Times New Roman" w:hAnsi="Times New Roman" w:eastAsia="宋体" w:cs="Times New Roman"/>
          <w:b w:val="0"/>
          <w:sz w:val="24"/>
        </w:rPr>
        <w:t>结论部分总结全文工作，概括系统特点、创新之处与后续改进方向。</w:t>
      </w:r>
    </w:p>
    <w:p w14:paraId="466BD42C">
      <w:r>
        <w:br w:type="page"/>
      </w:r>
    </w:p>
    <w:p w14:paraId="4515E3D3">
      <w:pPr>
        <w:spacing w:before="120" w:after="120" w:line="360" w:lineRule="auto"/>
        <w:ind w:firstLine="0"/>
        <w:jc w:val="center"/>
        <w:outlineLvl w:val="0"/>
      </w:pPr>
      <w:r>
        <w:rPr>
          <w:rFonts w:ascii="Times New Roman" w:hAnsi="Times New Roman" w:eastAsia="黑体" w:cs="Times New Roman"/>
          <w:b/>
          <w:sz w:val="30"/>
        </w:rPr>
        <w:t>2 系统需求分析</w:t>
      </w:r>
    </w:p>
    <w:p w14:paraId="46602993">
      <w:pPr>
        <w:spacing w:before="120" w:after="120" w:line="360" w:lineRule="auto"/>
        <w:ind w:firstLine="0"/>
        <w:jc w:val="left"/>
        <w:outlineLvl w:val="1"/>
      </w:pPr>
      <w:r>
        <w:rPr>
          <w:rFonts w:ascii="Times New Roman" w:hAnsi="Times New Roman" w:eastAsia="黑体" w:cs="Times New Roman"/>
          <w:b/>
          <w:sz w:val="28"/>
        </w:rPr>
        <w:t>2.1 可行性分析</w:t>
      </w:r>
    </w:p>
    <w:p w14:paraId="34AFD2E1">
      <w:pPr>
        <w:spacing w:before="120" w:after="120" w:line="360" w:lineRule="auto"/>
        <w:ind w:firstLine="0"/>
        <w:jc w:val="left"/>
        <w:outlineLvl w:val="2"/>
      </w:pPr>
      <w:r>
        <w:rPr>
          <w:rFonts w:ascii="Times New Roman" w:hAnsi="Times New Roman" w:eastAsia="黑体" w:cs="Times New Roman"/>
          <w:b/>
          <w:sz w:val="24"/>
        </w:rPr>
        <w:t>2.1.1 技术可行性</w:t>
      </w:r>
    </w:p>
    <w:p w14:paraId="57A8E175">
      <w:pPr>
        <w:spacing w:before="0" w:after="0" w:line="360" w:lineRule="auto"/>
        <w:ind w:firstLine="480"/>
      </w:pPr>
      <w:r>
        <w:rPr>
          <w:rFonts w:ascii="Times New Roman" w:hAnsi="Times New Roman" w:eastAsia="宋体" w:cs="Times New Roman"/>
          <w:b w:val="0"/>
          <w:sz w:val="24"/>
        </w:rPr>
        <w:t>从技术选型角度看，本课题采用的 Vue.js、SpringBoot、MySQL、MyBatis-Plus、JWT 与 WebSocket 等均为成熟、稳定且文档完善的技术组件，具备较高的工程可实施性。Vue.js 在构建中后台系统时具有开发效率高、组件组织灵活和生态成熟的优势；SpringBoot 在服务端开发中提供了依赖管理、自动装配、统一配置和嵌入式部署能力，能够有效降低系统搭建成本；MySQL 适合处理中小规模业务数据的结构化存储需求；MyBatis-Plus 则可减少重复数据访问代码。就系统规模而言，校园旧物公益平台的数据量、并发量和业务复杂度总体处于典型中小型 Web 系统范围内，因此上述技术栈完全能够满足需求。</w:t>
      </w:r>
    </w:p>
    <w:p w14:paraId="5788E8BD">
      <w:pPr>
        <w:spacing w:before="0" w:after="0" w:line="360" w:lineRule="auto"/>
        <w:ind w:firstLine="480"/>
      </w:pPr>
      <w:r>
        <w:rPr>
          <w:rFonts w:ascii="Times New Roman" w:hAnsi="Times New Roman" w:eastAsia="宋体" w:cs="Times New Roman"/>
          <w:b w:val="0"/>
          <w:sz w:val="24"/>
        </w:rPr>
        <w:t>从架构实施角度看，系统业务流程清晰，主要由用户管理、预约管理、物品管理、对接管理、通知管理和统计管理等模块构成，模块之间耦合相对可控，适合采用分层架构和模块化开发。基于 RESTful API 的前后端协同方式可使页面开发与服务端开发相对独立，既有利于提高开发效率，也便于后续系统功能扩展。</w:t>
      </w:r>
    </w:p>
    <w:p w14:paraId="558BB597">
      <w:pPr>
        <w:spacing w:before="0" w:after="0" w:line="360" w:lineRule="auto"/>
        <w:ind w:firstLine="480"/>
      </w:pPr>
      <w:r>
        <w:rPr>
          <w:rFonts w:ascii="Times New Roman" w:hAnsi="Times New Roman" w:eastAsia="宋体" w:cs="Times New Roman"/>
          <w:b w:val="0"/>
          <w:sz w:val="24"/>
        </w:rPr>
        <w:t>从维护与迭代角度看，所采用技术栈在高校课程设计、毕业设计以及企业级开发中均有广泛实践，相关学习资源和示例丰富，遇到常见问题时具备较强的问题定位与解决能力。因此，从技术储备、系统复杂度与实施路径三个方面综合判断，本课题具备较强的技术可行性。</w:t>
      </w:r>
    </w:p>
    <w:p w14:paraId="2F256886">
      <w:pPr>
        <w:spacing w:before="120" w:after="120" w:line="360" w:lineRule="auto"/>
        <w:ind w:firstLine="0"/>
        <w:jc w:val="left"/>
        <w:outlineLvl w:val="2"/>
      </w:pPr>
      <w:r>
        <w:rPr>
          <w:rFonts w:ascii="Times New Roman" w:hAnsi="Times New Roman" w:eastAsia="黑体" w:cs="Times New Roman"/>
          <w:b/>
          <w:sz w:val="24"/>
        </w:rPr>
        <w:t>2.1.2 经济可行性</w:t>
      </w:r>
    </w:p>
    <w:p w14:paraId="7FD00AA8">
      <w:pPr>
        <w:spacing w:before="0" w:after="0" w:line="360" w:lineRule="auto"/>
        <w:ind w:firstLine="480"/>
      </w:pPr>
      <w:r>
        <w:rPr>
          <w:rFonts w:ascii="Times New Roman" w:hAnsi="Times New Roman" w:eastAsia="宋体" w:cs="Times New Roman"/>
          <w:b w:val="0"/>
          <w:sz w:val="24"/>
        </w:rPr>
        <w:t>本系统采用的核心开发框架和运行环境均以开源方案为主，不依赖商业授权软件，因此在软件采购成本方面具有明显优势。系统开发可在普通个人计算机上完成，数据库、中间件与开发工具均可使用教学环境或开源版本，从而大幅降低项目投入门槛。</w:t>
      </w:r>
    </w:p>
    <w:p w14:paraId="72F079ED">
      <w:pPr>
        <w:spacing w:before="0" w:after="0" w:line="360" w:lineRule="auto"/>
        <w:ind w:firstLine="480"/>
      </w:pPr>
      <w:r>
        <w:rPr>
          <w:rFonts w:ascii="Times New Roman" w:hAnsi="Times New Roman" w:eastAsia="宋体" w:cs="Times New Roman"/>
          <w:b w:val="0"/>
          <w:sz w:val="24"/>
        </w:rPr>
        <w:t>对于部署层面，系统目标用户主要为校内师生和相关公益组织，初期访问规模相对有限，可部署于校内服务器、学院实验环境或云平台学生优惠实例上，无需高额硬件投入。即使后续需要面向更多校园场景推广，也可通过增加数据库性能优化、应用服务器配置或采用容器化部署方式平滑扩容，具备较好的投入产出比。</w:t>
      </w:r>
    </w:p>
    <w:p w14:paraId="0396E5C8">
      <w:pPr>
        <w:spacing w:before="0" w:after="0" w:line="360" w:lineRule="auto"/>
        <w:ind w:firstLine="480"/>
      </w:pPr>
      <w:r>
        <w:rPr>
          <w:rFonts w:ascii="Times New Roman" w:hAnsi="Times New Roman" w:eastAsia="宋体" w:cs="Times New Roman"/>
          <w:b w:val="0"/>
          <w:sz w:val="24"/>
        </w:rPr>
        <w:t>此外，本系统所能带来的资源节约和组织效率提升，本身也具有显性和隐性的经济收益。通过提高旧物二次利用率、减少物资浪费和降低线下组织成本，系统在长期运行中具备积极的综合经济价值。因此，本课题具有良好的经济可行性。</w:t>
      </w:r>
    </w:p>
    <w:p w14:paraId="4E1D3D2C">
      <w:pPr>
        <w:spacing w:before="120" w:after="120" w:line="360" w:lineRule="auto"/>
        <w:ind w:firstLine="0"/>
        <w:jc w:val="left"/>
        <w:outlineLvl w:val="2"/>
      </w:pPr>
      <w:r>
        <w:rPr>
          <w:rFonts w:ascii="Times New Roman" w:hAnsi="Times New Roman" w:eastAsia="黑体" w:cs="Times New Roman"/>
          <w:b/>
          <w:sz w:val="24"/>
        </w:rPr>
        <w:t>2.1.3 操作可行性</w:t>
      </w:r>
    </w:p>
    <w:p w14:paraId="10929010">
      <w:pPr>
        <w:spacing w:before="0" w:after="0" w:line="360" w:lineRule="auto"/>
        <w:ind w:firstLine="480"/>
      </w:pPr>
      <w:r>
        <w:rPr>
          <w:rFonts w:ascii="Times New Roman" w:hAnsi="Times New Roman" w:eastAsia="宋体" w:cs="Times New Roman"/>
          <w:b w:val="0"/>
          <w:sz w:val="24"/>
        </w:rPr>
        <w:t>系统面向的主要用户为大学生、教职工、志愿者和公益协同人员，这类用户普遍具备较强的互联网使用能力。系统采用浏览器访问方式，不要求安装额外客户端，能够显著降低使用门槛。对于捐赠者而言，只需按照页面引导完成注册、预约、填写物品信息与查看状态即可完成主要操作；对于志愿者和管理员而言，系统提供面向任务和流程的后台页面，便于快速掌握。</w:t>
      </w:r>
    </w:p>
    <w:p w14:paraId="546D27D0">
      <w:pPr>
        <w:spacing w:before="0" w:after="0" w:line="360" w:lineRule="auto"/>
        <w:ind w:firstLine="480"/>
      </w:pPr>
      <w:r>
        <w:rPr>
          <w:rFonts w:ascii="Times New Roman" w:hAnsi="Times New Roman" w:eastAsia="宋体" w:cs="Times New Roman"/>
          <w:b w:val="0"/>
          <w:sz w:val="24"/>
        </w:rPr>
        <w:t>从业务组织角度看，系统并不改变校园公益活动的本质流程，而是对原有人工流程进行信息化重构。其核心作用在于提升预约登记效率、降低沟通成本、增强物品流向透明度，因此对现有工作方式的冲击较小，容易被学校公益组织和学生团队接受。</w:t>
      </w:r>
    </w:p>
    <w:p w14:paraId="447B9C1E">
      <w:pPr>
        <w:spacing w:before="0" w:after="0" w:line="360" w:lineRule="auto"/>
        <w:ind w:firstLine="480"/>
      </w:pPr>
      <w:r>
        <w:rPr>
          <w:rFonts w:ascii="Times New Roman" w:hAnsi="Times New Roman" w:eastAsia="宋体" w:cs="Times New Roman"/>
          <w:b w:val="0"/>
          <w:sz w:val="24"/>
        </w:rPr>
        <w:t>从培训和推广角度看，系统界面设计可采用统一菜单导航、状态标签、表单校验和结果反馈机制，能够让不同角色快速建立操作认知。在高校环境下，配合一次简短培训或操作文档即可完成推广。因此，本系统具有良好的操作可行性。</w:t>
      </w:r>
    </w:p>
    <w:p w14:paraId="7DF405F9">
      <w:pPr>
        <w:spacing w:before="120" w:after="120" w:line="360" w:lineRule="auto"/>
        <w:ind w:firstLine="0"/>
        <w:jc w:val="left"/>
        <w:outlineLvl w:val="1"/>
      </w:pPr>
      <w:r>
        <w:rPr>
          <w:rFonts w:ascii="Times New Roman" w:hAnsi="Times New Roman" w:eastAsia="黑体" w:cs="Times New Roman"/>
          <w:b/>
          <w:sz w:val="28"/>
        </w:rPr>
        <w:t>2.2 用户角色分析</w:t>
      </w:r>
    </w:p>
    <w:p w14:paraId="75667E9B">
      <w:pPr>
        <w:spacing w:before="120" w:after="120" w:line="360" w:lineRule="auto"/>
        <w:ind w:firstLine="0"/>
        <w:jc w:val="left"/>
        <w:outlineLvl w:val="2"/>
      </w:pPr>
      <w:r>
        <w:rPr>
          <w:rFonts w:ascii="Times New Roman" w:hAnsi="Times New Roman" w:eastAsia="黑体" w:cs="Times New Roman"/>
          <w:b/>
          <w:sz w:val="24"/>
        </w:rPr>
        <w:t>2.2.1 捐赠者</w:t>
      </w:r>
    </w:p>
    <w:p w14:paraId="797F8B87">
      <w:pPr>
        <w:spacing w:before="0" w:after="0" w:line="360" w:lineRule="auto"/>
        <w:ind w:firstLine="480"/>
      </w:pPr>
      <w:r>
        <w:rPr>
          <w:rFonts w:ascii="Times New Roman" w:hAnsi="Times New Roman" w:eastAsia="宋体" w:cs="Times New Roman"/>
          <w:b w:val="0"/>
          <w:sz w:val="24"/>
        </w:rPr>
        <w:t>捐赠者是系统的主要服务对象之一，通常包括学生和教职工。该角色的核心诉求在于以尽量低的操作成本完成旧物捐赠，并能够明确知晓物品去向和处理结果。因此，系统需为捐赠者提供清晰、简洁且反馈及时的操作流程。</w:t>
      </w:r>
    </w:p>
    <w:p w14:paraId="1BDB4CDE">
      <w:pPr>
        <w:spacing w:before="0" w:after="0" w:line="360" w:lineRule="auto"/>
        <w:ind w:firstLine="480"/>
      </w:pPr>
      <w:r>
        <w:rPr>
          <w:rFonts w:ascii="Times New Roman" w:hAnsi="Times New Roman" w:eastAsia="宋体" w:cs="Times New Roman"/>
          <w:b w:val="0"/>
          <w:sz w:val="24"/>
        </w:rPr>
        <w:t>捐赠者的主要功能包括：用户注册与登录、完善个人信息、提交捐赠预约、填写旧物类别与数量、选择回收时间和回收点、查看预约码、跟踪捐赠状态、接收系统通知以及下载或查看电子捐赠证明。对捐赠者而言，系统可信度主要来源于流程透明和结果可见，因此状态展示和消息通知是该角色体验设计的关键。</w:t>
      </w:r>
    </w:p>
    <w:p w14:paraId="24B2FFC4">
      <w:pPr>
        <w:spacing w:before="120" w:after="120" w:line="360" w:lineRule="auto"/>
        <w:ind w:firstLine="0"/>
        <w:jc w:val="left"/>
        <w:outlineLvl w:val="2"/>
      </w:pPr>
      <w:r>
        <w:rPr>
          <w:rFonts w:ascii="Times New Roman" w:hAnsi="Times New Roman" w:eastAsia="黑体" w:cs="Times New Roman"/>
          <w:b/>
          <w:sz w:val="24"/>
        </w:rPr>
        <w:t>2.2.2 回收志愿者</w:t>
      </w:r>
    </w:p>
    <w:p w14:paraId="4FF57FCC">
      <w:pPr>
        <w:spacing w:before="0" w:after="0" w:line="360" w:lineRule="auto"/>
        <w:ind w:firstLine="480"/>
      </w:pPr>
      <w:r>
        <w:rPr>
          <w:rFonts w:ascii="Times New Roman" w:hAnsi="Times New Roman" w:eastAsia="宋体" w:cs="Times New Roman"/>
          <w:b w:val="0"/>
          <w:sz w:val="24"/>
        </w:rPr>
        <w:t>回收志愿者承担旧物回收过程中的执行职责，是连接捐赠者与公益流转链条的重要中间角色。其主要工作包括核验预约信息、确认接收物品、完成分类登记、标记物品状态以及记录异常情况。</w:t>
      </w:r>
    </w:p>
    <w:p w14:paraId="59F6613D">
      <w:pPr>
        <w:spacing w:before="0" w:after="0" w:line="360" w:lineRule="auto"/>
        <w:ind w:firstLine="480"/>
      </w:pPr>
      <w:r>
        <w:rPr>
          <w:rFonts w:ascii="Times New Roman" w:hAnsi="Times New Roman" w:eastAsia="宋体" w:cs="Times New Roman"/>
          <w:b w:val="0"/>
          <w:sz w:val="24"/>
        </w:rPr>
        <w:t>志愿者需要通过系统查看预约清单、了解回收时间分布、按照预约码进行现场核验，并对接收到的旧物进行初步分类与完好度判断。在系统设计上，该角色需要较高的信息录入效率，因此页面应支持快速检索、批量处理和状态切换。若缺少该角色，整个公益流程将难以实现从线上信息到线下实物流的准确衔接。</w:t>
      </w:r>
    </w:p>
    <w:p w14:paraId="3D6EEBEC">
      <w:pPr>
        <w:spacing w:before="120" w:after="120" w:line="360" w:lineRule="auto"/>
        <w:ind w:firstLine="0"/>
        <w:jc w:val="left"/>
        <w:outlineLvl w:val="2"/>
      </w:pPr>
      <w:r>
        <w:rPr>
          <w:rFonts w:ascii="Times New Roman" w:hAnsi="Times New Roman" w:eastAsia="黑体" w:cs="Times New Roman"/>
          <w:b/>
          <w:sz w:val="24"/>
        </w:rPr>
        <w:t>2.2.3 公益对接员</w:t>
      </w:r>
    </w:p>
    <w:p w14:paraId="1EA0F70E">
      <w:pPr>
        <w:spacing w:before="0" w:after="0" w:line="360" w:lineRule="auto"/>
        <w:ind w:firstLine="480"/>
      </w:pPr>
      <w:r>
        <w:rPr>
          <w:rFonts w:ascii="Times New Roman" w:hAnsi="Times New Roman" w:eastAsia="宋体" w:cs="Times New Roman"/>
          <w:b w:val="0"/>
          <w:sz w:val="24"/>
        </w:rPr>
        <w:t>公益对接员负责将已完成回收和分类的旧物与具体公益对象进行匹配，是实现社会价值转化的关键角色。该角色的工作内容包括筛选符合条件的旧物、查看库存与分类信息、发起公益对接、记录受赠组织信息、回填对接结果和上传反馈材料。</w:t>
      </w:r>
    </w:p>
    <w:p w14:paraId="487E9B72">
      <w:pPr>
        <w:spacing w:before="0" w:after="0" w:line="360" w:lineRule="auto"/>
        <w:ind w:firstLine="480"/>
      </w:pPr>
      <w:r>
        <w:rPr>
          <w:rFonts w:ascii="Times New Roman" w:hAnsi="Times New Roman" w:eastAsia="宋体" w:cs="Times New Roman"/>
          <w:b w:val="0"/>
          <w:sz w:val="24"/>
        </w:rPr>
        <w:t>与一般仓储或库存角色不同，公益对接员不仅关注物品状态，还关注受赠主体资质、需求匹配程度、对接进度与反馈质量。因此，系统需要为其提供可筛选、可追踪的物品列表、对接申请记录和结果反馈入口，以确保公益流向清晰、过程可留痕。</w:t>
      </w:r>
    </w:p>
    <w:p w14:paraId="4305B241">
      <w:pPr>
        <w:spacing w:before="120" w:after="120" w:line="360" w:lineRule="auto"/>
        <w:ind w:firstLine="0"/>
        <w:jc w:val="left"/>
        <w:outlineLvl w:val="2"/>
      </w:pPr>
      <w:r>
        <w:rPr>
          <w:rFonts w:ascii="Times New Roman" w:hAnsi="Times New Roman" w:eastAsia="黑体" w:cs="Times New Roman"/>
          <w:b/>
          <w:sz w:val="24"/>
        </w:rPr>
        <w:t>2.2.4 管理员</w:t>
      </w:r>
    </w:p>
    <w:p w14:paraId="726A84A3">
      <w:pPr>
        <w:spacing w:before="0" w:after="0" w:line="360" w:lineRule="auto"/>
        <w:ind w:firstLine="480"/>
      </w:pPr>
      <w:r>
        <w:rPr>
          <w:rFonts w:ascii="Times New Roman" w:hAnsi="Times New Roman" w:eastAsia="宋体" w:cs="Times New Roman"/>
          <w:b w:val="0"/>
          <w:sz w:val="24"/>
        </w:rPr>
        <w:t>管理员负责系统的全局配置与监督控制，是保障系统稳定运行和规则一致性的核心角色。其职责主要包括用户账号管理、角色审核、回收点维护、公告通知发布、公益对象资质审核、异常数据处理以及统计分析查看等。</w:t>
      </w:r>
    </w:p>
    <w:p w14:paraId="507992E5">
      <w:pPr>
        <w:spacing w:before="0" w:after="0" w:line="360" w:lineRule="auto"/>
        <w:ind w:firstLine="480"/>
      </w:pPr>
      <w:r>
        <w:rPr>
          <w:rFonts w:ascii="Times New Roman" w:hAnsi="Times New Roman" w:eastAsia="宋体" w:cs="Times New Roman"/>
          <w:b w:val="0"/>
          <w:sz w:val="24"/>
        </w:rPr>
        <w:t>管理员在系统中拥有最高级别的业务管理权限，但不应无边界地访问所有数据操作入口，而应通过清晰的权限模型限定其职责范围。例如，管理员可以审核和发布规则，但不直接替代志愿者执行现场回收，也不替代公益对接员完成具体外部联系工作。此种职责分离有助于降低误操作风险并强化审计性。</w:t>
      </w:r>
    </w:p>
    <w:p w14:paraId="17AEE33B">
      <w:pPr>
        <w:spacing w:before="120" w:after="120" w:line="360" w:lineRule="auto"/>
        <w:ind w:firstLine="0"/>
        <w:jc w:val="left"/>
        <w:outlineLvl w:val="1"/>
      </w:pPr>
      <w:r>
        <w:rPr>
          <w:rFonts w:ascii="Times New Roman" w:hAnsi="Times New Roman" w:eastAsia="黑体" w:cs="Times New Roman"/>
          <w:b/>
          <w:sz w:val="28"/>
        </w:rPr>
        <w:t>2.3 功能性需求分析</w:t>
      </w:r>
    </w:p>
    <w:p w14:paraId="7113C9B2">
      <w:pPr>
        <w:spacing w:before="120" w:after="120" w:line="360" w:lineRule="auto"/>
        <w:ind w:firstLine="0"/>
        <w:jc w:val="left"/>
        <w:outlineLvl w:val="2"/>
      </w:pPr>
      <w:r>
        <w:rPr>
          <w:rFonts w:ascii="Times New Roman" w:hAnsi="Times New Roman" w:eastAsia="黑体" w:cs="Times New Roman"/>
          <w:b/>
          <w:sz w:val="24"/>
        </w:rPr>
        <w:t>2.3.1 总体用例分析</w:t>
      </w:r>
    </w:p>
    <w:p w14:paraId="4EE83872">
      <w:pPr>
        <w:spacing w:before="0" w:after="0" w:line="360" w:lineRule="auto"/>
        <w:ind w:firstLine="480"/>
      </w:pPr>
      <w:r>
        <w:rPr>
          <w:rFonts w:ascii="Times New Roman" w:hAnsi="Times New Roman" w:eastAsia="宋体" w:cs="Times New Roman"/>
          <w:b w:val="0"/>
          <w:sz w:val="24"/>
        </w:rPr>
        <w:t>系统从业务流程上可抽象为“预约发起—物品接收—分类管理—公益对接—结果反馈—数据统计”六个连续阶段。围绕这一主线，四类用户形成既分工明确又彼此依赖的协同关系。捐赠者发起预约并提交基础物品信息；回收志愿者负责线下接收和分类登记；公益对接员负责筛选符合条件的物资并对接公益对象；管理员则负责规则管理、全局协调和监督控制。系统总体用例图可围绕上述角色与模块展开绘制。</w:t>
      </w:r>
    </w:p>
    <w:p w14:paraId="56F420B7">
      <w:pPr>
        <w:spacing w:before="0" w:after="0" w:line="360" w:lineRule="auto"/>
        <w:ind w:firstLine="480"/>
      </w:pPr>
      <w:r>
        <w:rPr>
          <w:rFonts w:ascii="Times New Roman" w:hAnsi="Times New Roman" w:eastAsia="宋体" w:cs="Times New Roman"/>
          <w:b w:val="0"/>
          <w:sz w:val="24"/>
        </w:rPr>
        <w:t>从论文撰写规范看，在本节中宜首先绘制系统总体用例图，展示四类角色与核心功能之间的关系，再分别绘制各角色用例图，以突出业务边界与职责差异。文字说明部分应解释每个用例的业务目标和触发条件，而非仅停留在图示本身。</w:t>
      </w:r>
    </w:p>
    <w:p w14:paraId="061B3142">
      <w:pPr>
        <w:spacing w:before="120" w:after="120" w:line="360" w:lineRule="auto"/>
        <w:ind w:firstLine="0"/>
        <w:jc w:val="left"/>
        <w:outlineLvl w:val="2"/>
      </w:pPr>
      <w:r>
        <w:rPr>
          <w:rFonts w:ascii="Times New Roman" w:hAnsi="Times New Roman" w:eastAsia="黑体" w:cs="Times New Roman"/>
          <w:b/>
          <w:sz w:val="24"/>
        </w:rPr>
        <w:t>2.3.2 捐赠预约模块需求</w:t>
      </w:r>
    </w:p>
    <w:p w14:paraId="3BD861C9">
      <w:pPr>
        <w:spacing w:before="0" w:after="0" w:line="360" w:lineRule="auto"/>
        <w:ind w:firstLine="480"/>
      </w:pPr>
      <w:r>
        <w:rPr>
          <w:rFonts w:ascii="Times New Roman" w:hAnsi="Times New Roman" w:eastAsia="宋体" w:cs="Times New Roman"/>
          <w:b w:val="0"/>
          <w:sz w:val="24"/>
        </w:rPr>
        <w:t>捐赠预约模块是系统的入口模块，其核心任务是让捐赠者在标准化流程中完成捐赠意愿提交，并为后续回收安排提供结构化数据。该模块需要支持以下能力：第一，捐赠者填写旧物类别、数量、描述、可预约时间以及希望交付的回收点；第二，系统生成唯一预约记录，并分配可核验的预约码；第三，系统对预约信息进行合法性校验，如字段完整性、时间可用性和回收点是否开放；第四，预约成功后将状态初始化为“待接收”，并向相关志愿者或管理员同步信息。</w:t>
      </w:r>
    </w:p>
    <w:p w14:paraId="21D1BD3B">
      <w:pPr>
        <w:spacing w:before="0" w:after="0" w:line="360" w:lineRule="auto"/>
        <w:ind w:firstLine="480"/>
      </w:pPr>
      <w:r>
        <w:rPr>
          <w:rFonts w:ascii="Times New Roman" w:hAnsi="Times New Roman" w:eastAsia="宋体" w:cs="Times New Roman"/>
          <w:b w:val="0"/>
          <w:sz w:val="24"/>
        </w:rPr>
        <w:t>在用户体验层面，预约模块还需关注表单友好性和填写负担控制。旧物类别应采用预设分类与可选补充描述相结合的方式，以减少录入成本并提高后续统计质量。预约时间应当与回收点排班规则相协调，避免生成无法执行的订单。若用户重复提交、取消预约或修改预约，也应给出明确的状态规则。</w:t>
      </w:r>
    </w:p>
    <w:p w14:paraId="60BD40D1">
      <w:pPr>
        <w:spacing w:before="120" w:after="120" w:line="360" w:lineRule="auto"/>
        <w:ind w:firstLine="0"/>
        <w:jc w:val="left"/>
        <w:outlineLvl w:val="2"/>
      </w:pPr>
      <w:r>
        <w:rPr>
          <w:rFonts w:ascii="Times New Roman" w:hAnsi="Times New Roman" w:eastAsia="黑体" w:cs="Times New Roman"/>
          <w:b/>
          <w:sz w:val="24"/>
        </w:rPr>
        <w:t>2.3.3 旧物管理模块需求</w:t>
      </w:r>
    </w:p>
    <w:p w14:paraId="63538AE9">
      <w:pPr>
        <w:spacing w:before="0" w:after="0" w:line="360" w:lineRule="auto"/>
        <w:ind w:firstLine="480"/>
      </w:pPr>
      <w:r>
        <w:rPr>
          <w:rFonts w:ascii="Times New Roman" w:hAnsi="Times New Roman" w:eastAsia="宋体" w:cs="Times New Roman"/>
          <w:b w:val="0"/>
          <w:sz w:val="24"/>
        </w:rPr>
        <w:t>旧物管理模块负责承接预约后的实物接收和分类记录，是线上数据与线下物资对应关系建立的关键环节。志愿者在确认捐赠者到场后，应能够通过预约码快速调取预约记录，核验信息一致性，并对实物进行接收、分类、完好度评估和状态更新。</w:t>
      </w:r>
    </w:p>
    <w:p w14:paraId="40604DAF">
      <w:pPr>
        <w:spacing w:before="0" w:after="0" w:line="360" w:lineRule="auto"/>
        <w:ind w:firstLine="480"/>
      </w:pPr>
      <w:r>
        <w:rPr>
          <w:rFonts w:ascii="Times New Roman" w:hAnsi="Times New Roman" w:eastAsia="宋体" w:cs="Times New Roman"/>
          <w:b w:val="0"/>
          <w:sz w:val="24"/>
        </w:rPr>
        <w:t>该模块需要支持多维度信息记录，包括物品所属类别、数量、主要特征、完好度等级、可捐赠性判断、暂存位置及特殊备注等。对于不适合公益捐赠的物品，如损坏严重、存在安全风险或不符合学校规定的物品，系统应允许标记为“待处理”或“不可对接”，并保留处理说明。旧物管理模块的核心价值在于建立标准化分类体系，为后续公益匹配和数据统计奠定基础。</w:t>
      </w:r>
    </w:p>
    <w:p w14:paraId="5C65ADDE">
      <w:pPr>
        <w:spacing w:before="120" w:after="120" w:line="360" w:lineRule="auto"/>
        <w:ind w:firstLine="0"/>
        <w:jc w:val="left"/>
        <w:outlineLvl w:val="2"/>
      </w:pPr>
      <w:r>
        <w:rPr>
          <w:rFonts w:ascii="Times New Roman" w:hAnsi="Times New Roman" w:eastAsia="黑体" w:cs="Times New Roman"/>
          <w:b/>
          <w:sz w:val="24"/>
        </w:rPr>
        <w:t>2.3.4 公益对接模块需求</w:t>
      </w:r>
    </w:p>
    <w:p w14:paraId="005B7086">
      <w:pPr>
        <w:spacing w:before="0" w:after="0" w:line="360" w:lineRule="auto"/>
        <w:ind w:firstLine="480"/>
      </w:pPr>
      <w:r>
        <w:rPr>
          <w:rFonts w:ascii="Times New Roman" w:hAnsi="Times New Roman" w:eastAsia="宋体" w:cs="Times New Roman"/>
          <w:b w:val="0"/>
          <w:sz w:val="24"/>
        </w:rPr>
        <w:t>公益对接模块用于将经分类确认后的旧物分发给合适的公益对象，是系统实现公益价值的核心业务模块。该模块需要支持按照物品类别、完好度、库存状态和适配对象进行筛选；支持录入或维护受赠组织基础信息；支持对接申请的创建、审批和状态跟踪；支持记录物流或交付方式、对接时间与反馈结果。</w:t>
      </w:r>
    </w:p>
    <w:p w14:paraId="239E200E">
      <w:pPr>
        <w:spacing w:before="0" w:after="0" w:line="360" w:lineRule="auto"/>
        <w:ind w:firstLine="480"/>
      </w:pPr>
      <w:r>
        <w:rPr>
          <w:rFonts w:ascii="Times New Roman" w:hAnsi="Times New Roman" w:eastAsia="宋体" w:cs="Times New Roman"/>
          <w:b w:val="0"/>
          <w:sz w:val="24"/>
        </w:rPr>
        <w:t>由于公益对接直接影响捐赠透明度和系统公信力，因此系统应能够将对接信息与原始捐赠记录建立映射关系，使捐赠者在必要时可查看物品去向的阶段性信息。同时，系统还应支持上传公益反馈材料，如文字说明、接收凭证、照片编号或简要回执说明，从而提高流程可审计性。</w:t>
      </w:r>
    </w:p>
    <w:p w14:paraId="277E40ED">
      <w:pPr>
        <w:spacing w:before="120" w:after="120" w:line="360" w:lineRule="auto"/>
        <w:ind w:firstLine="0"/>
        <w:jc w:val="left"/>
        <w:outlineLvl w:val="2"/>
      </w:pPr>
      <w:r>
        <w:rPr>
          <w:rFonts w:ascii="Times New Roman" w:hAnsi="Times New Roman" w:eastAsia="黑体" w:cs="Times New Roman"/>
          <w:b/>
          <w:sz w:val="24"/>
        </w:rPr>
        <w:t>2.3.5 辅助服务模块需求</w:t>
      </w:r>
    </w:p>
    <w:p w14:paraId="473275A0">
      <w:pPr>
        <w:spacing w:before="0" w:after="0" w:line="360" w:lineRule="auto"/>
        <w:ind w:firstLine="480"/>
      </w:pPr>
      <w:r>
        <w:rPr>
          <w:rFonts w:ascii="Times New Roman" w:hAnsi="Times New Roman" w:eastAsia="宋体" w:cs="Times New Roman"/>
          <w:b w:val="0"/>
          <w:sz w:val="24"/>
        </w:rPr>
        <w:t>辅助服务模块虽然不直接改变主业务流程，但对系统完整性和用户满意度具有显著影响。该模块主要包括消息通知、捐赠公示、电子证明和公告发布等功能。</w:t>
      </w:r>
    </w:p>
    <w:p w14:paraId="6F5007D1">
      <w:pPr>
        <w:spacing w:before="0" w:after="0" w:line="360" w:lineRule="auto"/>
        <w:ind w:firstLine="480"/>
      </w:pPr>
      <w:r>
        <w:rPr>
          <w:rFonts w:ascii="Times New Roman" w:hAnsi="Times New Roman" w:eastAsia="宋体" w:cs="Times New Roman"/>
          <w:b w:val="0"/>
          <w:sz w:val="24"/>
        </w:rPr>
        <w:t>消息通知需要覆盖预约成功、预约变更、回收完成、对接完成和反馈更新等关键节点，以确保不同角色及时掌握进度。捐赠公示功能可在保护隐私前提下展示校园公益活动成果，例如某一时期回收总量、去向概况和典型案例，从而增强系统的社会影响力。电子证明则能够将学生参与公益活动的记录结构化保存，为志愿服务认定和综合素质评价提供支撑。</w:t>
      </w:r>
    </w:p>
    <w:p w14:paraId="5C7C9C7C">
      <w:pPr>
        <w:spacing w:before="120" w:after="120" w:line="360" w:lineRule="auto"/>
        <w:ind w:firstLine="0"/>
        <w:jc w:val="left"/>
        <w:outlineLvl w:val="2"/>
      </w:pPr>
      <w:r>
        <w:rPr>
          <w:rFonts w:ascii="Times New Roman" w:hAnsi="Times New Roman" w:eastAsia="黑体" w:cs="Times New Roman"/>
          <w:b/>
          <w:sz w:val="24"/>
        </w:rPr>
        <w:t>2.3.6 数据统计模块需求</w:t>
      </w:r>
    </w:p>
    <w:p w14:paraId="53256DF4">
      <w:pPr>
        <w:spacing w:before="0" w:after="0" w:line="360" w:lineRule="auto"/>
        <w:ind w:firstLine="480"/>
      </w:pPr>
      <w:r>
        <w:rPr>
          <w:rFonts w:ascii="Times New Roman" w:hAnsi="Times New Roman" w:eastAsia="宋体" w:cs="Times New Roman"/>
          <w:b w:val="0"/>
          <w:sz w:val="24"/>
        </w:rPr>
        <w:t>数据统计模块用于支持个人层面和管理层面的信息分析。对普通捐赠者而言，可查看个人累计捐赠次数、捐赠类型分布和证明记录；对管理员而言，可查看月度捐赠量、分类占比、对接成功率、各回收点工作量、不同角色活跃度等管理指标。</w:t>
      </w:r>
    </w:p>
    <w:p w14:paraId="4DA8BF00">
      <w:pPr>
        <w:spacing w:before="0" w:after="0" w:line="360" w:lineRule="auto"/>
        <w:ind w:firstLine="480"/>
      </w:pPr>
      <w:r>
        <w:rPr>
          <w:rFonts w:ascii="Times New Roman" w:hAnsi="Times New Roman" w:eastAsia="宋体" w:cs="Times New Roman"/>
          <w:b w:val="0"/>
          <w:sz w:val="24"/>
        </w:rPr>
        <w:t>统计模块的需求不应停留在“展示图表”层面，而应服务于管理优化。例如，通过分析不同时间段的预约数量，可为回收点开放安排提供依据；通过分析物品分类分布，可优化回收宣传重点；通过分析对接成功率，可识别公益资源匹配中的瓶颈。因此，数据统计模块兼具展示价值与决策支持价值。</w:t>
      </w:r>
    </w:p>
    <w:p w14:paraId="081BD130">
      <w:pPr>
        <w:spacing w:before="120" w:after="120" w:line="360" w:lineRule="auto"/>
        <w:ind w:firstLine="0"/>
        <w:jc w:val="left"/>
        <w:outlineLvl w:val="1"/>
      </w:pPr>
      <w:r>
        <w:rPr>
          <w:rFonts w:ascii="Times New Roman" w:hAnsi="Times New Roman" w:eastAsia="黑体" w:cs="Times New Roman"/>
          <w:b/>
          <w:sz w:val="28"/>
        </w:rPr>
        <w:t>2.4 非功能性需求分析</w:t>
      </w:r>
    </w:p>
    <w:p w14:paraId="5A568580">
      <w:pPr>
        <w:spacing w:before="120" w:after="120" w:line="360" w:lineRule="auto"/>
        <w:ind w:firstLine="0"/>
        <w:jc w:val="left"/>
        <w:outlineLvl w:val="2"/>
      </w:pPr>
      <w:r>
        <w:rPr>
          <w:rFonts w:ascii="Times New Roman" w:hAnsi="Times New Roman" w:eastAsia="黑体" w:cs="Times New Roman"/>
          <w:b/>
          <w:sz w:val="24"/>
        </w:rPr>
        <w:t>2.4.1 性能需求</w:t>
      </w:r>
    </w:p>
    <w:p w14:paraId="5CC2F83E">
      <w:pPr>
        <w:spacing w:before="0" w:after="0" w:line="360" w:lineRule="auto"/>
        <w:ind w:firstLine="480"/>
      </w:pPr>
      <w:r>
        <w:rPr>
          <w:rFonts w:ascii="Times New Roman" w:hAnsi="Times New Roman" w:eastAsia="宋体" w:cs="Times New Roman"/>
          <w:b w:val="0"/>
          <w:sz w:val="24"/>
        </w:rPr>
        <w:t>系统作为校园内部公益管理平台，典型访问高峰主要出现在毕业季、学期末和集中活动期间。虽然总体并发规模有限，但预约提交、列表查询和状态更新等核心操作仍需保持较好的响应速度。系统应满足常规页面操作流畅、接口响应稳定、常见列表分页查询快速返回等基本性能要求。在论文撰写中，可将接口平均响应时间、并发访问表现和数据库查询效率作为后续性能测试的核心指标。</w:t>
      </w:r>
    </w:p>
    <w:p w14:paraId="42A16E86">
      <w:pPr>
        <w:spacing w:before="120" w:after="120" w:line="360" w:lineRule="auto"/>
        <w:ind w:firstLine="0"/>
        <w:jc w:val="left"/>
        <w:outlineLvl w:val="2"/>
      </w:pPr>
      <w:r>
        <w:rPr>
          <w:rFonts w:ascii="Times New Roman" w:hAnsi="Times New Roman" w:eastAsia="黑体" w:cs="Times New Roman"/>
          <w:b/>
          <w:sz w:val="24"/>
        </w:rPr>
        <w:t>2.4.2 安全需求</w:t>
      </w:r>
    </w:p>
    <w:p w14:paraId="18517AFF">
      <w:pPr>
        <w:spacing w:before="0" w:after="0" w:line="360" w:lineRule="auto"/>
        <w:ind w:firstLine="480"/>
      </w:pPr>
      <w:r>
        <w:rPr>
          <w:rFonts w:ascii="Times New Roman" w:hAnsi="Times New Roman" w:eastAsia="宋体" w:cs="Times New Roman"/>
          <w:b w:val="0"/>
          <w:sz w:val="24"/>
        </w:rPr>
        <w:t>系统涉及用户身份信息、公益组织信息和物品流向数据，因此安全需求具有重要地位。首先，系统应实现可靠的身份认证和角色授权，确保不同用户只能访问与自身职责相符的数据与接口；其次，应避免未登录访问、越权调用、参数篡改和敏感信息泄露等常见风险；再次，系统应具备必要的数据备份和异常日志记录机制，以满足后续问题追踪和运维管理需要。</w:t>
      </w:r>
    </w:p>
    <w:p w14:paraId="2CA0C3CD">
      <w:pPr>
        <w:spacing w:before="120" w:after="120" w:line="360" w:lineRule="auto"/>
        <w:ind w:firstLine="0"/>
        <w:jc w:val="left"/>
        <w:outlineLvl w:val="2"/>
      </w:pPr>
      <w:r>
        <w:rPr>
          <w:rFonts w:ascii="Times New Roman" w:hAnsi="Times New Roman" w:eastAsia="黑体" w:cs="Times New Roman"/>
          <w:b/>
          <w:sz w:val="24"/>
        </w:rPr>
        <w:t>2.4.3 可维护性需求</w:t>
      </w:r>
    </w:p>
    <w:p w14:paraId="207418A6">
      <w:pPr>
        <w:spacing w:before="0" w:after="0" w:line="360" w:lineRule="auto"/>
        <w:ind w:firstLine="480"/>
      </w:pPr>
      <w:r>
        <w:rPr>
          <w:rFonts w:ascii="Times New Roman" w:hAnsi="Times New Roman" w:eastAsia="宋体" w:cs="Times New Roman"/>
          <w:b w:val="0"/>
          <w:sz w:val="24"/>
        </w:rPr>
        <w:t>考虑到系统后续可能根据学校管理要求或业务实践不断调整，系统在设计时应强调模块清晰、接口规范、命名统一和代码职责明确。通过前后端分离与分层架构，能够使界面调整、接口扩展和数据模型演化在相对可控的范围内完成。对于毕业设计类系统而言，可维护性不仅体现在代码层面，也体现在文档可读性和设计一致性上。</w:t>
      </w:r>
    </w:p>
    <w:p w14:paraId="44E35767">
      <w:pPr>
        <w:spacing w:before="120" w:after="120" w:line="360" w:lineRule="auto"/>
        <w:ind w:firstLine="0"/>
        <w:jc w:val="left"/>
        <w:outlineLvl w:val="2"/>
      </w:pPr>
      <w:r>
        <w:rPr>
          <w:rFonts w:ascii="Times New Roman" w:hAnsi="Times New Roman" w:eastAsia="黑体" w:cs="Times New Roman"/>
          <w:b/>
          <w:sz w:val="24"/>
        </w:rPr>
        <w:t>2.4.4 兼容性需求</w:t>
      </w:r>
    </w:p>
    <w:p w14:paraId="69715368">
      <w:pPr>
        <w:spacing w:before="0" w:after="0" w:line="360" w:lineRule="auto"/>
        <w:ind w:firstLine="480"/>
      </w:pPr>
      <w:r>
        <w:rPr>
          <w:rFonts w:ascii="Times New Roman" w:hAnsi="Times New Roman" w:eastAsia="宋体" w:cs="Times New Roman"/>
          <w:b w:val="0"/>
          <w:sz w:val="24"/>
        </w:rPr>
        <w:t>系统应支持主流浏览器环境下的稳定访问，并适应常见分辨率和不同使用场景。由于主要用户是校内师生，系统至少需要在桌面浏览器环境下获得良好兼容性；若面向移动端浏览器访问，也应保证核心功能如预约提交、进度查询和通知查看的可用性。此外，在数据库、操作系统和部署环境变化时，系统也应具备一定迁移能力。</w:t>
      </w:r>
    </w:p>
    <w:p w14:paraId="50167F47">
      <w:pPr>
        <w:spacing w:before="120" w:after="120" w:line="360" w:lineRule="auto"/>
        <w:ind w:firstLine="0"/>
        <w:jc w:val="left"/>
        <w:outlineLvl w:val="1"/>
      </w:pPr>
      <w:r>
        <w:rPr>
          <w:rFonts w:ascii="Times New Roman" w:hAnsi="Times New Roman" w:eastAsia="黑体" w:cs="Times New Roman"/>
          <w:b/>
          <w:sz w:val="28"/>
        </w:rPr>
        <w:t>2.5 业务流程与数据流分析</w:t>
      </w:r>
    </w:p>
    <w:p w14:paraId="73121E42">
      <w:pPr>
        <w:spacing w:before="120" w:after="120" w:line="360" w:lineRule="auto"/>
        <w:ind w:firstLine="0"/>
        <w:jc w:val="left"/>
        <w:outlineLvl w:val="2"/>
      </w:pPr>
      <w:r>
        <w:rPr>
          <w:rFonts w:ascii="Times New Roman" w:hAnsi="Times New Roman" w:eastAsia="黑体" w:cs="Times New Roman"/>
          <w:b/>
          <w:sz w:val="24"/>
        </w:rPr>
        <w:t>2.5.1 捐赠预约业务流程分析</w:t>
      </w:r>
    </w:p>
    <w:p w14:paraId="0C21DA83">
      <w:pPr>
        <w:spacing w:before="0" w:after="0" w:line="360" w:lineRule="auto"/>
        <w:ind w:firstLine="480"/>
      </w:pPr>
      <w:r>
        <w:rPr>
          <w:rFonts w:ascii="Times New Roman" w:hAnsi="Times New Roman" w:eastAsia="宋体" w:cs="Times New Roman"/>
          <w:b w:val="0"/>
          <w:sz w:val="24"/>
        </w:rPr>
        <w:t>捐赠预约流程是系统全链路的起点，其业务正确性直接决定后续回收与对接流程的稳定性。该流程可分解为“用户认证、预约填写、规则校验、记录生成、消息通知”五个阶段。首先，用户进入预约页面前需通过认证模块完成身份校验，系统依据角色信息控制可访问功能范围。其次，用户在预约表单中提交旧物类别、数量、预约时间和回收点信息，前端完成必填项检查与格式校验。再次，后端接收请求后进行业务规则校验，包括时间段可用性、回收点状态、账号状态和重复预约检查。最后，系统在数据库中创建预约记录并生成预约码，随后触发通知模块向相关志愿者和用户推送状态更新信息。</w:t>
      </w:r>
    </w:p>
    <w:p w14:paraId="5B405C2C">
      <w:pPr>
        <w:spacing w:before="0" w:after="0" w:line="360" w:lineRule="auto"/>
        <w:ind w:firstLine="480"/>
      </w:pPr>
      <w:r>
        <w:rPr>
          <w:rFonts w:ascii="Times New Roman" w:hAnsi="Times New Roman" w:eastAsia="宋体" w:cs="Times New Roman"/>
          <w:b w:val="0"/>
          <w:sz w:val="24"/>
        </w:rPr>
        <w:t>从流程控制角度看，预约流程的核心约束是“预约请求必须可执行、可追踪、可撤销”。可执行性强调时间与地点冲突判定；可追踪性强调预约记录与后续物品记录的一致映射；可撤销性强调在既定状态下支持用户取消操作。若缺乏这三类约束，系统将出现“无效预约进入执行链路”或“执行链路无法回溯”的问题，从而影响线下工作组织效率。</w:t>
      </w:r>
    </w:p>
    <w:p w14:paraId="62B6000F">
      <w:pPr>
        <w:spacing w:before="120" w:after="120" w:line="360" w:lineRule="auto"/>
        <w:ind w:firstLine="0"/>
        <w:jc w:val="left"/>
        <w:outlineLvl w:val="2"/>
      </w:pPr>
      <w:r>
        <w:rPr>
          <w:rFonts w:ascii="Times New Roman" w:hAnsi="Times New Roman" w:eastAsia="黑体" w:cs="Times New Roman"/>
          <w:b/>
          <w:sz w:val="24"/>
        </w:rPr>
        <w:t>2.5.2 旧物接收与分类流程分析</w:t>
      </w:r>
    </w:p>
    <w:p w14:paraId="40684344">
      <w:pPr>
        <w:spacing w:before="0" w:after="0" w:line="360" w:lineRule="auto"/>
        <w:ind w:firstLine="480"/>
      </w:pPr>
      <w:r>
        <w:rPr>
          <w:rFonts w:ascii="Times New Roman" w:hAnsi="Times New Roman" w:eastAsia="宋体" w:cs="Times New Roman"/>
          <w:b w:val="0"/>
          <w:sz w:val="24"/>
        </w:rPr>
        <w:t>旧物接收与分类流程属于线上业务与线下实物流融合最紧密的环节。流程起点为志愿者通过预约码或列表筛选进入待处理任务，随后执行到场核验、实物接收、分类登记、状态更新和异常标记。流程结束后，系统将预约状态由“待接收”更新为“已接收”或“处理中”，并创建旧物明细记录。</w:t>
      </w:r>
    </w:p>
    <w:p w14:paraId="0F3928B2">
      <w:pPr>
        <w:spacing w:before="0" w:after="0" w:line="360" w:lineRule="auto"/>
        <w:ind w:firstLine="480"/>
      </w:pPr>
      <w:r>
        <w:rPr>
          <w:rFonts w:ascii="Times New Roman" w:hAnsi="Times New Roman" w:eastAsia="宋体" w:cs="Times New Roman"/>
          <w:b w:val="0"/>
          <w:sz w:val="24"/>
        </w:rPr>
        <w:t>该流程的关键难点在于分类一致性与异常处理规范化。为降低不同志愿者对同类物品判断标准不一致带来的统计偏差，系统将分类字段与完好度字段进行结构化设计，并采用枚举值或字典表约束录入范围。对“不适宜捐赠”类物品，系统要求必须填写异常原因和处置意见，防止无描述的状态变更导致后续审计困难。通过这一机制，系统不仅完成实物流登记，还建立了具有管理价值的数据证据链。</w:t>
      </w:r>
    </w:p>
    <w:p w14:paraId="307298A8">
      <w:pPr>
        <w:spacing w:before="120" w:after="120" w:line="360" w:lineRule="auto"/>
        <w:ind w:firstLine="0"/>
        <w:jc w:val="left"/>
        <w:outlineLvl w:val="2"/>
      </w:pPr>
      <w:r>
        <w:rPr>
          <w:rFonts w:ascii="Times New Roman" w:hAnsi="Times New Roman" w:eastAsia="黑体" w:cs="Times New Roman"/>
          <w:b/>
          <w:sz w:val="24"/>
        </w:rPr>
        <w:t>2.5.3 公益对接与反馈流程分析</w:t>
      </w:r>
    </w:p>
    <w:p w14:paraId="189DB280">
      <w:pPr>
        <w:spacing w:before="0" w:after="0" w:line="360" w:lineRule="auto"/>
        <w:ind w:firstLine="480"/>
      </w:pPr>
      <w:r>
        <w:rPr>
          <w:rFonts w:ascii="Times New Roman" w:hAnsi="Times New Roman" w:eastAsia="宋体" w:cs="Times New Roman"/>
          <w:b w:val="0"/>
          <w:sz w:val="24"/>
        </w:rPr>
        <w:t>公益对接流程是系统实现社会价值转化的核心流程，其质量决定了平台公信力。流程通常由公益对接员发起，先从可捐赠库存中筛选目标物品，再录入受赠组织信息并创建对接记录。执行交付后，对接员提交反馈信息，系统更新对接状态并通知相关捐赠者。</w:t>
      </w:r>
    </w:p>
    <w:p w14:paraId="5CE2AE32">
      <w:pPr>
        <w:spacing w:before="0" w:after="0" w:line="360" w:lineRule="auto"/>
        <w:ind w:firstLine="480"/>
      </w:pPr>
      <w:r>
        <w:rPr>
          <w:rFonts w:ascii="Times New Roman" w:hAnsi="Times New Roman" w:eastAsia="宋体" w:cs="Times New Roman"/>
          <w:b w:val="0"/>
          <w:sz w:val="24"/>
        </w:rPr>
        <w:t>该流程强调“三个闭环”：其一是物资闭环，即从入库到出库全过程可查；其二是信息闭环，即受赠方信息、交付方式和结果反馈完整记录；其三是责任闭环，即对接操作人、时间和关键节点可追溯。通过闭环机制，系统将传统公益活动中的“结果不可见”问题转化为“过程可验证、结果可复核”的数字化流程[10][23-25]。</w:t>
      </w:r>
    </w:p>
    <w:p w14:paraId="5975A1D3">
      <w:pPr>
        <w:spacing w:before="120" w:after="120" w:line="360" w:lineRule="auto"/>
        <w:ind w:firstLine="0"/>
        <w:jc w:val="left"/>
        <w:outlineLvl w:val="2"/>
      </w:pPr>
      <w:r>
        <w:rPr>
          <w:rFonts w:ascii="Times New Roman" w:hAnsi="Times New Roman" w:eastAsia="黑体" w:cs="Times New Roman"/>
          <w:b/>
          <w:sz w:val="24"/>
        </w:rPr>
        <w:t>2.5.4 异常流程与边界场景分析</w:t>
      </w:r>
    </w:p>
    <w:p w14:paraId="26B7FF59">
      <w:pPr>
        <w:spacing w:before="0" w:after="0" w:line="360" w:lineRule="auto"/>
        <w:ind w:firstLine="480"/>
      </w:pPr>
      <w:r>
        <w:rPr>
          <w:rFonts w:ascii="Times New Roman" w:hAnsi="Times New Roman" w:eastAsia="宋体" w:cs="Times New Roman"/>
          <w:b w:val="0"/>
          <w:sz w:val="24"/>
        </w:rPr>
        <w:t>在校园公益场景中，异常流程具有高频但分散的特点，主要包括预约失效、重复提交、预约码无效、越权访问、对接中断和通知失败等。若系统仅覆盖正常流程，实际运行时将出现大量人工补录和状态修复，显著提高管理成本。因此，需求阶段必须明确异常路径及其处置规则。</w:t>
      </w:r>
    </w:p>
    <w:p w14:paraId="3FA66DC7">
      <w:pPr>
        <w:spacing w:before="0" w:after="0" w:line="360" w:lineRule="auto"/>
        <w:ind w:firstLine="480"/>
      </w:pPr>
      <w:r>
        <w:rPr>
          <w:rFonts w:ascii="Times New Roman" w:hAnsi="Times New Roman" w:eastAsia="宋体" w:cs="Times New Roman"/>
          <w:b w:val="0"/>
          <w:sz w:val="24"/>
        </w:rPr>
        <w:t>典型异常处理策略如下：对重复提交请求采用幂等性控制并返回明确错误码；对令牌失效请求统一返回认证异常并引导重新登录；对无效预约码查询返回业务级错误信息而非系统异常；对对接流程中断场景保留中间状态并支持人工重试；对实时通知失败场景采用“站内信留痕 + 下次登录补偿推送”策略。异常流程覆盖越完整，系统在高峰时段越能保持稳定性与可维护性[8-9][11]。</w:t>
      </w:r>
    </w:p>
    <w:p w14:paraId="10F2DC7E">
      <w:pPr>
        <w:spacing w:before="120" w:after="120" w:line="360" w:lineRule="auto"/>
        <w:ind w:firstLine="0"/>
        <w:jc w:val="left"/>
        <w:outlineLvl w:val="1"/>
      </w:pPr>
      <w:r>
        <w:rPr>
          <w:rFonts w:ascii="Times New Roman" w:hAnsi="Times New Roman" w:eastAsia="黑体" w:cs="Times New Roman"/>
          <w:b/>
          <w:sz w:val="28"/>
        </w:rPr>
        <w:t>2.6 本章小结</w:t>
      </w:r>
    </w:p>
    <w:p w14:paraId="661D88D0">
      <w:pPr>
        <w:spacing w:before="0" w:after="0" w:line="360" w:lineRule="auto"/>
        <w:ind w:firstLine="480"/>
      </w:pPr>
      <w:r>
        <w:rPr>
          <w:rFonts w:ascii="Times New Roman" w:hAnsi="Times New Roman" w:eastAsia="宋体" w:cs="Times New Roman"/>
          <w:b w:val="0"/>
          <w:sz w:val="24"/>
        </w:rPr>
        <w:t>本章从可行性、用户角色、功能需求、非功能需求和业务流程五个维度对系统需求进行了系统分析。研究表明，本课题在技术、经济与操作层面均具备可行性；在业务层面，系统已明确形成“预约—接收—分类—对接—反馈—统计”的端到端流程；在质量属性层面，系统对性能、安全、维护性和兼容性提出了可落地要求。上述分析为后续系统设计与实现提供了边界清晰、逻辑完整的需求基线。</w:t>
      </w:r>
    </w:p>
    <w:p w14:paraId="01B7295B">
      <w:r>
        <w:br w:type="page"/>
      </w:r>
    </w:p>
    <w:p w14:paraId="5355DC1E">
      <w:pPr>
        <w:spacing w:before="120" w:after="120" w:line="360" w:lineRule="auto"/>
        <w:ind w:firstLine="0"/>
        <w:jc w:val="center"/>
        <w:outlineLvl w:val="0"/>
      </w:pPr>
      <w:r>
        <w:rPr>
          <w:rFonts w:ascii="Times New Roman" w:hAnsi="Times New Roman" w:eastAsia="黑体" w:cs="Times New Roman"/>
          <w:b/>
          <w:sz w:val="30"/>
        </w:rPr>
        <w:t>3 系统设计</w:t>
      </w:r>
    </w:p>
    <w:p w14:paraId="1FEE77BE">
      <w:pPr>
        <w:spacing w:before="120" w:after="120" w:line="360" w:lineRule="auto"/>
        <w:ind w:firstLine="0"/>
        <w:jc w:val="left"/>
        <w:outlineLvl w:val="1"/>
      </w:pPr>
      <w:r>
        <w:rPr>
          <w:rFonts w:ascii="Times New Roman" w:hAnsi="Times New Roman" w:eastAsia="黑体" w:cs="Times New Roman"/>
          <w:b/>
          <w:sz w:val="28"/>
        </w:rPr>
        <w:t>3.1 总体架构设计</w:t>
      </w:r>
    </w:p>
    <w:p w14:paraId="1A0DE5BB">
      <w:pPr>
        <w:spacing w:before="120" w:after="120" w:line="360" w:lineRule="auto"/>
        <w:ind w:firstLine="0"/>
        <w:jc w:val="left"/>
        <w:outlineLvl w:val="2"/>
      </w:pPr>
      <w:r>
        <w:rPr>
          <w:rFonts w:ascii="Times New Roman" w:hAnsi="Times New Roman" w:eastAsia="黑体" w:cs="Times New Roman"/>
          <w:b/>
          <w:sz w:val="24"/>
        </w:rPr>
        <w:t>3.1.1 前后端分离架构说明</w:t>
      </w:r>
    </w:p>
    <w:p w14:paraId="7EA2C6F5">
      <w:pPr>
        <w:spacing w:before="0" w:after="0" w:line="360" w:lineRule="auto"/>
        <w:ind w:firstLine="480"/>
      </w:pPr>
      <w:r>
        <w:rPr>
          <w:rFonts w:ascii="Times New Roman" w:hAnsi="Times New Roman" w:eastAsia="宋体" w:cs="Times New Roman"/>
          <w:b w:val="0"/>
          <w:sz w:val="24"/>
        </w:rPr>
        <w:t>本系统采用前后端分离架构。前端负责页面渲染、用户交互、表单校验和可视化展示；后端负责业务处理、权限控制、数据持久化和消息推送。二者通过 RESTful API 进行通信，数据格式统一为 JSON[2][7]。该架构的优势主要体现在以下三点：其一，职责划分清晰，前后端可并行开发；其二，后端接口具备良好的复用性，便于未来扩展移动端或小程序端；其三，前端组件化和后端服务化有利于后续维护与重构[3-4]。</w:t>
      </w:r>
    </w:p>
    <w:p w14:paraId="36DF365C">
      <w:pPr>
        <w:spacing w:before="0" w:after="0" w:line="360" w:lineRule="auto"/>
        <w:ind w:firstLine="480"/>
      </w:pPr>
      <w:r>
        <w:rPr>
          <w:rFonts w:ascii="Times New Roman" w:hAnsi="Times New Roman" w:eastAsia="宋体" w:cs="Times New Roman"/>
          <w:b w:val="0"/>
          <w:sz w:val="24"/>
        </w:rPr>
        <w:t>在业务执行过程中，前端首先通过登录接口获取令牌，随后在请求拦截器中自动附带认证信息访问后端接口；后端在控制层接收请求后，交由业务层处理，再由数据访问层完成数据库读写操作，最终将处理结果通过统一响应结构返回前端。对于状态变化通知等需要实时交互的场景，系统通过 WebSocket 推送信息，从而避免高频轮询带来的资源浪费[8-9][17]。</w:t>
      </w:r>
    </w:p>
    <w:p w14:paraId="67133C8B">
      <w:pPr>
        <w:spacing w:before="120" w:after="120" w:line="360" w:lineRule="auto"/>
        <w:ind w:firstLine="0"/>
        <w:jc w:val="left"/>
        <w:outlineLvl w:val="2"/>
      </w:pPr>
      <w:r>
        <w:rPr>
          <w:rFonts w:ascii="Times New Roman" w:hAnsi="Times New Roman" w:eastAsia="黑体" w:cs="Times New Roman"/>
          <w:b/>
          <w:sz w:val="24"/>
        </w:rPr>
        <w:t>3.1.2 系统四层架构设计</w:t>
      </w:r>
    </w:p>
    <w:p w14:paraId="30507C07">
      <w:pPr>
        <w:spacing w:before="0" w:after="0" w:line="360" w:lineRule="auto"/>
        <w:ind w:firstLine="480"/>
      </w:pPr>
      <w:r>
        <w:rPr>
          <w:rFonts w:ascii="Times New Roman" w:hAnsi="Times New Roman" w:eastAsia="宋体" w:cs="Times New Roman"/>
          <w:b w:val="0"/>
          <w:sz w:val="24"/>
        </w:rPr>
        <w:t>为增强系统结构清晰度，后端可进一步划分为展示层、控制层、业务逻辑层和数据访问层四个层次。</w:t>
      </w:r>
    </w:p>
    <w:p w14:paraId="7C05D99B">
      <w:pPr>
        <w:spacing w:before="0" w:after="0" w:line="360" w:lineRule="auto"/>
        <w:ind w:firstLine="480"/>
      </w:pPr>
      <w:r>
        <w:rPr>
          <w:rFonts w:ascii="Times New Roman" w:hAnsi="Times New Roman" w:eastAsia="宋体" w:cs="Times New Roman"/>
          <w:b w:val="0"/>
          <w:sz w:val="24"/>
        </w:rPr>
        <w:t>展示层主要指前端页面及其组件，负责向不同角色呈现对应功能入口与结果信息。控制层主要由 Controller 构成，负责参数接收、权限校验入口控制、结果返回和异常捕获。业务逻辑层主要由 Service 构成，负责封装预约生成、物品分类、对接流转、证明生成和消息触发等核心规则。数据访问层主要由 Mapper 或 DAO 构成，负责实体与表结构之间的数据映射以及查询操作。</w:t>
      </w:r>
    </w:p>
    <w:p w14:paraId="0BB6F591">
      <w:pPr>
        <w:spacing w:before="0" w:after="0" w:line="360" w:lineRule="auto"/>
        <w:ind w:firstLine="480"/>
      </w:pPr>
      <w:r>
        <w:rPr>
          <w:rFonts w:ascii="Times New Roman" w:hAnsi="Times New Roman" w:eastAsia="宋体" w:cs="Times New Roman"/>
          <w:b w:val="0"/>
          <w:sz w:val="24"/>
        </w:rPr>
        <w:t>四层结构的引入，使系统在面对需求变化时能够保持较好的修改边界。例如，当回收点管理规则变化时，通常只需调整业务层逻辑与部分数据结构，而不会影响前端整体组织；当界面交互优化时，也不会直接冲击数据库结构和核心服务逻辑。这种分层设计符合软件工程中高内聚、低耦合的基本原则。</w:t>
      </w:r>
    </w:p>
    <w:p w14:paraId="1C4A0255">
      <w:pPr>
        <w:spacing w:before="120" w:after="120" w:line="360" w:lineRule="auto"/>
        <w:ind w:firstLine="0"/>
        <w:jc w:val="left"/>
        <w:outlineLvl w:val="2"/>
      </w:pPr>
      <w:r>
        <w:rPr>
          <w:rFonts w:ascii="Times New Roman" w:hAnsi="Times New Roman" w:eastAsia="黑体" w:cs="Times New Roman"/>
          <w:b/>
          <w:sz w:val="24"/>
        </w:rPr>
        <w:t>3.1.3 技术选型说明</w:t>
      </w:r>
    </w:p>
    <w:p w14:paraId="281CC3C3">
      <w:pPr>
        <w:spacing w:before="0" w:after="0" w:line="360" w:lineRule="auto"/>
        <w:ind w:firstLine="480"/>
      </w:pPr>
      <w:r>
        <w:rPr>
          <w:rFonts w:ascii="Times New Roman" w:hAnsi="Times New Roman" w:eastAsia="宋体" w:cs="Times New Roman"/>
          <w:b w:val="0"/>
          <w:sz w:val="24"/>
        </w:rPr>
        <w:t>系统技术选型遵循“满足需求、实现简洁、便于维护”的原则。</w:t>
      </w:r>
    </w:p>
    <w:p w14:paraId="44178D17">
      <w:pPr>
        <w:spacing w:before="0" w:after="0" w:line="360" w:lineRule="auto"/>
        <w:ind w:firstLine="480"/>
      </w:pPr>
      <w:r>
        <w:rPr>
          <w:rFonts w:ascii="Times New Roman" w:hAnsi="Times New Roman" w:eastAsia="宋体" w:cs="Times New Roman"/>
          <w:b w:val="0"/>
          <w:sz w:val="24"/>
        </w:rPr>
        <w:t>前端采用 Vue.js，用于构建单页应用，并通过组件化方式复用表单、列表、状态标签、弹窗与图表页面[16]。Vue Router 用于路由控制，状态管理可结合 Vuex 或 Pinia 完成统一数据维护，Axios 用于接口调用，Element UI 或同类型组件库用于快速构建中后台界面[17]。</w:t>
      </w:r>
    </w:p>
    <w:p w14:paraId="68627DF0">
      <w:pPr>
        <w:spacing w:before="0" w:after="0" w:line="360" w:lineRule="auto"/>
        <w:ind w:firstLine="480"/>
      </w:pPr>
      <w:r>
        <w:rPr>
          <w:rFonts w:ascii="Times New Roman" w:hAnsi="Times New Roman" w:eastAsia="宋体" w:cs="Times New Roman"/>
          <w:b w:val="0"/>
          <w:sz w:val="24"/>
        </w:rPr>
        <w:t>后端采用 SpringBoot 作为核心框架，以 Spring MVC 处理 HTTP 请求，以 Spring Security 负责权限控制，以 JWT 负责无状态认证，以 MyBatis-Plus 处理常规数据访问[8][13-15]。数据库采用 MySQL，用于存储用户、预约、物品、对接、通知与统计等业务数据[12]。消息通知采用 WebSocket，以满足状态变化的实时提醒需求[9]。</w:t>
      </w:r>
    </w:p>
    <w:p w14:paraId="2D68A4A7">
      <w:pPr>
        <w:spacing w:before="0" w:after="0" w:line="360" w:lineRule="auto"/>
        <w:ind w:firstLine="480"/>
      </w:pPr>
      <w:r>
        <w:rPr>
          <w:rFonts w:ascii="Times New Roman" w:hAnsi="Times New Roman" w:eastAsia="宋体" w:cs="Times New Roman"/>
          <w:b w:val="0"/>
          <w:sz w:val="24"/>
        </w:rPr>
        <w:t>综合来看，该技术栈既满足毕业设计的工程实现深度，又具备良好的开发效率和可扩展性，与本课题需求高度匹配。</w:t>
      </w:r>
    </w:p>
    <w:p w14:paraId="1EC8653D">
      <w:pPr>
        <w:spacing w:before="120" w:after="120" w:line="360" w:lineRule="auto"/>
        <w:ind w:firstLine="0"/>
        <w:jc w:val="left"/>
        <w:outlineLvl w:val="1"/>
      </w:pPr>
      <w:r>
        <w:rPr>
          <w:rFonts w:ascii="Times New Roman" w:hAnsi="Times New Roman" w:eastAsia="黑体" w:cs="Times New Roman"/>
          <w:b/>
          <w:sz w:val="28"/>
        </w:rPr>
        <w:t>3.2 功能模块设计</w:t>
      </w:r>
    </w:p>
    <w:p w14:paraId="3623F197">
      <w:pPr>
        <w:spacing w:before="120" w:after="120" w:line="360" w:lineRule="auto"/>
        <w:ind w:firstLine="0"/>
        <w:jc w:val="left"/>
        <w:outlineLvl w:val="2"/>
      </w:pPr>
      <w:r>
        <w:rPr>
          <w:rFonts w:ascii="Times New Roman" w:hAnsi="Times New Roman" w:eastAsia="黑体" w:cs="Times New Roman"/>
          <w:b/>
          <w:sz w:val="24"/>
        </w:rPr>
        <w:t>3.2.1 系统功能结构设计</w:t>
      </w:r>
    </w:p>
    <w:p w14:paraId="70C243B9">
      <w:pPr>
        <w:spacing w:before="0" w:after="0" w:line="360" w:lineRule="auto"/>
        <w:ind w:firstLine="480"/>
      </w:pPr>
      <w:r>
        <w:rPr>
          <w:rFonts w:ascii="Times New Roman" w:hAnsi="Times New Roman" w:eastAsia="宋体" w:cs="Times New Roman"/>
          <w:b w:val="0"/>
          <w:sz w:val="24"/>
        </w:rPr>
        <w:t>根据需求分析，系统总体功能可划分为六个一级模块：用户认证与权限管理模块、捐赠预约模块、旧物管理模块、公益对接模块、辅助服务模块和数据统计模块。本节按“一级模块—二级功能”方式绘制系统功能结构图，并辅以文字说明，以体现系统的层次化设计。</w:t>
      </w:r>
    </w:p>
    <w:p w14:paraId="19D10568">
      <w:pPr>
        <w:spacing w:before="0" w:after="0" w:line="360" w:lineRule="auto"/>
        <w:ind w:firstLine="480"/>
      </w:pPr>
      <w:r>
        <w:rPr>
          <w:rFonts w:ascii="Times New Roman" w:hAnsi="Times New Roman" w:eastAsia="宋体" w:cs="Times New Roman"/>
          <w:b w:val="0"/>
          <w:sz w:val="24"/>
        </w:rPr>
        <w:t>从结构关系看，用户认证与权限管理模块为其他所有模块提供访问控制基础；捐赠预约模块负责生成业务起点；旧物管理模块负责中间处理；公益对接模块负责价值转化；辅助服务模块负责增强体验与透明度；数据统计模块负责沉淀管理价值。该结构既反映业务顺序，也反映系统依赖关系。</w:t>
      </w:r>
    </w:p>
    <w:p w14:paraId="15461852">
      <w:pPr>
        <w:spacing w:before="120" w:after="120" w:line="360" w:lineRule="auto"/>
        <w:ind w:firstLine="0"/>
        <w:jc w:val="left"/>
        <w:outlineLvl w:val="2"/>
      </w:pPr>
      <w:r>
        <w:rPr>
          <w:rFonts w:ascii="Times New Roman" w:hAnsi="Times New Roman" w:eastAsia="黑体" w:cs="Times New Roman"/>
          <w:b/>
          <w:sz w:val="24"/>
        </w:rPr>
        <w:t>3.2.2 用户认证与权限管理模块设计</w:t>
      </w:r>
    </w:p>
    <w:p w14:paraId="48848C62">
      <w:pPr>
        <w:spacing w:before="0" w:after="0" w:line="360" w:lineRule="auto"/>
        <w:ind w:firstLine="480"/>
      </w:pPr>
      <w:r>
        <w:rPr>
          <w:rFonts w:ascii="Times New Roman" w:hAnsi="Times New Roman" w:eastAsia="宋体" w:cs="Times New Roman"/>
          <w:b w:val="0"/>
          <w:sz w:val="24"/>
        </w:rPr>
        <w:t>用户认证模块主要完成注册、登录、令牌签发、身份校验与权限分配。用户登录成功后，后端根据用户身份生成 JWT 令牌并返回前端，前端在本地保存令牌并在后续请求中自动附加。后端通过过滤器或拦截器解析令牌，恢复用户身份信息，并结合角色权限完成接口授权。</w:t>
      </w:r>
    </w:p>
    <w:p w14:paraId="7B026E95">
      <w:pPr>
        <w:spacing w:before="0" w:after="0" w:line="360" w:lineRule="auto"/>
        <w:ind w:firstLine="480"/>
      </w:pPr>
      <w:r>
        <w:rPr>
          <w:rFonts w:ascii="Times New Roman" w:hAnsi="Times New Roman" w:eastAsia="宋体" w:cs="Times New Roman"/>
          <w:b w:val="0"/>
          <w:sz w:val="24"/>
        </w:rPr>
        <w:t>权限管理模块需支持最少以下四类角色：捐赠者、回收志愿者、公益对接员和管理员。为避免权限边界混乱，建议采用“角色—资源—操作”三元映射思路进行设计。即，不同角色可以访问不同资源集合，并对资源执行不同操作。比如，捐赠者可创建预约、查看自身记录，但不能修改公益对接信息；志愿者可更新回收状态，但不能审核公益机构资质；管理员可维护基础配置，但不直接替代所有角色完成具体业务。</w:t>
      </w:r>
    </w:p>
    <w:p w14:paraId="58E59FB9">
      <w:pPr>
        <w:spacing w:before="120" w:after="120" w:line="360" w:lineRule="auto"/>
        <w:ind w:firstLine="0"/>
        <w:jc w:val="left"/>
        <w:outlineLvl w:val="2"/>
      </w:pPr>
      <w:r>
        <w:rPr>
          <w:rFonts w:ascii="Times New Roman" w:hAnsi="Times New Roman" w:eastAsia="黑体" w:cs="Times New Roman"/>
          <w:b/>
          <w:sz w:val="24"/>
        </w:rPr>
        <w:t>3.2.3 捐赠预约模块设计</w:t>
      </w:r>
    </w:p>
    <w:p w14:paraId="50D824B8">
      <w:pPr>
        <w:spacing w:before="0" w:after="0" w:line="360" w:lineRule="auto"/>
        <w:ind w:firstLine="480"/>
      </w:pPr>
      <w:r>
        <w:rPr>
          <w:rFonts w:ascii="Times New Roman" w:hAnsi="Times New Roman" w:eastAsia="宋体" w:cs="Times New Roman"/>
          <w:b w:val="0"/>
          <w:sz w:val="24"/>
        </w:rPr>
        <w:t>捐赠预约模块的关键设计点在于数据完整性和时间安排合理性。预约实体至少应包含预约编号、捐赠者编号、回收点编号、预约时间、旧物概况、状态、预约码和创建时间等字段。系统在接收预约请求后，应完成以下处理：校验用户登录状态；校验字段合法性；校验预约时间与回收点开放时间是否冲突；生成唯一预约码；写入预约记录；触发通知机制。</w:t>
      </w:r>
    </w:p>
    <w:p w14:paraId="7DB96627">
      <w:pPr>
        <w:spacing w:before="0" w:after="0" w:line="360" w:lineRule="auto"/>
        <w:ind w:firstLine="480"/>
      </w:pPr>
      <w:r>
        <w:rPr>
          <w:rFonts w:ascii="Times New Roman" w:hAnsi="Times New Roman" w:eastAsia="宋体" w:cs="Times New Roman"/>
          <w:b w:val="0"/>
          <w:sz w:val="24"/>
        </w:rPr>
        <w:t>从业务流角度看，预约状态可设计为“待审核（可选）”“待接收”“已接收”“已取消”“已完成”等。若系统需求较简单，可不设置人工审核步骤，而是在提交成功后直接进入“待接收”。预约码采用 UUID 或其裁剪形式生成，既保证唯一性，也便于线下核验。为提升用户体验，系统应支持预约列表查询与状态筛选，并允许在规定时间范围内取消预约。</w:t>
      </w:r>
    </w:p>
    <w:p w14:paraId="109CD186">
      <w:pPr>
        <w:spacing w:before="120" w:after="120" w:line="360" w:lineRule="auto"/>
        <w:ind w:firstLine="0"/>
        <w:jc w:val="left"/>
        <w:outlineLvl w:val="2"/>
      </w:pPr>
      <w:r>
        <w:rPr>
          <w:rFonts w:ascii="Times New Roman" w:hAnsi="Times New Roman" w:eastAsia="黑体" w:cs="Times New Roman"/>
          <w:b/>
          <w:sz w:val="24"/>
        </w:rPr>
        <w:t>3.2.4 旧物管理模块设计</w:t>
      </w:r>
    </w:p>
    <w:p w14:paraId="51308331">
      <w:pPr>
        <w:spacing w:before="0" w:after="0" w:line="360" w:lineRule="auto"/>
        <w:ind w:firstLine="480"/>
      </w:pPr>
      <w:r>
        <w:rPr>
          <w:rFonts w:ascii="Times New Roman" w:hAnsi="Times New Roman" w:eastAsia="宋体" w:cs="Times New Roman"/>
          <w:b w:val="0"/>
          <w:sz w:val="24"/>
        </w:rPr>
        <w:t>旧物管理模块围绕“接收—分类—标记—暂存”四个动作展开。系统应将捐赠记录与旧物记录进行一对多关联，以适配一笔捐赠包含多个类别物品的场景。旧物信息实体可包括物品名称、物品类别、数量、完好度、分类标签、是否适宜捐赠、当前状态、暂存位置和备注说明等字段。</w:t>
      </w:r>
    </w:p>
    <w:p w14:paraId="30EF9DE6">
      <w:pPr>
        <w:spacing w:before="0" w:after="0" w:line="360" w:lineRule="auto"/>
        <w:ind w:firstLine="480"/>
      </w:pPr>
      <w:r>
        <w:rPr>
          <w:rFonts w:ascii="Times New Roman" w:hAnsi="Times New Roman" w:eastAsia="宋体" w:cs="Times New Roman"/>
          <w:b w:val="0"/>
          <w:sz w:val="24"/>
        </w:rPr>
        <w:t>在设计上，该模块需重点解决分类标准不统一的问题。为提高统计质量和后续匹配效率，系统应预设分类维度，如书籍、衣物、数码设备、生活用品等；完好度可设定为“全新”“九成新”“可正常使用”“待处理”四级或类似结构。对于电子类物品，还可增加安全检查或功能检测说明字段。通过统一字段定义，可显著提升后续公益对接的准确性。</w:t>
      </w:r>
    </w:p>
    <w:p w14:paraId="60B41C5B">
      <w:pPr>
        <w:spacing w:before="120" w:after="120" w:line="360" w:lineRule="auto"/>
        <w:ind w:firstLine="0"/>
        <w:jc w:val="left"/>
        <w:outlineLvl w:val="2"/>
      </w:pPr>
      <w:r>
        <w:rPr>
          <w:rFonts w:ascii="Times New Roman" w:hAnsi="Times New Roman" w:eastAsia="黑体" w:cs="Times New Roman"/>
          <w:b/>
          <w:sz w:val="24"/>
        </w:rPr>
        <w:t>3.2.5 公益对接模块设计</w:t>
      </w:r>
    </w:p>
    <w:p w14:paraId="2D4AE7B2">
      <w:pPr>
        <w:spacing w:before="0" w:after="0" w:line="360" w:lineRule="auto"/>
        <w:ind w:firstLine="480"/>
      </w:pPr>
      <w:r>
        <w:rPr>
          <w:rFonts w:ascii="Times New Roman" w:hAnsi="Times New Roman" w:eastAsia="宋体" w:cs="Times New Roman"/>
          <w:b w:val="0"/>
          <w:sz w:val="24"/>
        </w:rPr>
        <w:t>公益对接模块需要将旧物资源与公益需求进行匹配。其核心实体包括公益对接记录、受赠组织信息和对接反馈信息。对接记录应关联旧物记录和处理人员，记录对接对象、对接时间、对接方式、状态、反馈摘要等信息。</w:t>
      </w:r>
    </w:p>
    <w:p w14:paraId="63C2CBFF">
      <w:pPr>
        <w:spacing w:before="0" w:after="0" w:line="360" w:lineRule="auto"/>
        <w:ind w:firstLine="480"/>
      </w:pPr>
      <w:r>
        <w:rPr>
          <w:rFonts w:ascii="Times New Roman" w:hAnsi="Times New Roman" w:eastAsia="宋体" w:cs="Times New Roman"/>
          <w:b w:val="0"/>
          <w:sz w:val="24"/>
        </w:rPr>
        <w:t>在流程设计上，对接模块可采用“筛选—申请—确认—反馈”四阶段模型。首先，对接员从已入库且适宜捐赠的旧物中筛选可对接物品；其次，创建对接记录并录入受赠方信息；再次，在交付完成后更新对接状态；最后，补充反馈内容并同步给相关捐赠者或管理员。该流程不仅保证了业务闭环，也增强了系统的可追踪性和公信力。</w:t>
      </w:r>
    </w:p>
    <w:p w14:paraId="5FB05B08">
      <w:pPr>
        <w:spacing w:before="120" w:after="120" w:line="360" w:lineRule="auto"/>
        <w:ind w:firstLine="0"/>
        <w:jc w:val="left"/>
        <w:outlineLvl w:val="2"/>
      </w:pPr>
      <w:r>
        <w:rPr>
          <w:rFonts w:ascii="Times New Roman" w:hAnsi="Times New Roman" w:eastAsia="黑体" w:cs="Times New Roman"/>
          <w:b/>
          <w:sz w:val="24"/>
        </w:rPr>
        <w:t>3.2.6 数据统计与可视化模块设计</w:t>
      </w:r>
    </w:p>
    <w:p w14:paraId="17AD2B8C">
      <w:pPr>
        <w:spacing w:before="0" w:after="0" w:line="360" w:lineRule="auto"/>
        <w:ind w:firstLine="480"/>
      </w:pPr>
      <w:r>
        <w:rPr>
          <w:rFonts w:ascii="Times New Roman" w:hAnsi="Times New Roman" w:eastAsia="宋体" w:cs="Times New Roman"/>
          <w:b w:val="0"/>
          <w:sz w:val="24"/>
        </w:rPr>
        <w:t>数据统计模块需要从运营管理视角对业务数据进行聚合。系统可按日、周、月维度统计预约数量、回收数量、不同类别旧物占比、公益对接次数和对接成功率等指标。对于个人维度统计，可提供累计捐赠次数、累计物品件数和历史证明下载情况等信息。</w:t>
      </w:r>
    </w:p>
    <w:p w14:paraId="43E3DD51">
      <w:pPr>
        <w:spacing w:before="0" w:after="0" w:line="360" w:lineRule="auto"/>
        <w:ind w:firstLine="480"/>
      </w:pPr>
      <w:r>
        <w:rPr>
          <w:rFonts w:ascii="Times New Roman" w:hAnsi="Times New Roman" w:eastAsia="宋体" w:cs="Times New Roman"/>
          <w:b w:val="0"/>
          <w:sz w:val="24"/>
        </w:rPr>
        <w:t>在可视化设计上，柱状图适合展示月度趋势，饼图适合展示类别分布，折线图适合展示时间序列变化，卡片式数字概览适合展示关键汇总指标。设计统计模块时应注意查询效率和口径统一，避免前端分别请求多个来源不一致的数据导致展示冲突。</w:t>
      </w:r>
    </w:p>
    <w:p w14:paraId="7AE5B57F">
      <w:pPr>
        <w:spacing w:before="120" w:after="120" w:line="360" w:lineRule="auto"/>
        <w:ind w:firstLine="0"/>
        <w:jc w:val="left"/>
        <w:outlineLvl w:val="1"/>
      </w:pPr>
      <w:r>
        <w:rPr>
          <w:rFonts w:ascii="Times New Roman" w:hAnsi="Times New Roman" w:eastAsia="黑体" w:cs="Times New Roman"/>
          <w:b/>
          <w:sz w:val="28"/>
        </w:rPr>
        <w:t>3.3 数据库设计</w:t>
      </w:r>
    </w:p>
    <w:p w14:paraId="39FEAEA2">
      <w:pPr>
        <w:spacing w:before="120" w:after="120" w:line="360" w:lineRule="auto"/>
        <w:ind w:firstLine="0"/>
        <w:jc w:val="left"/>
        <w:outlineLvl w:val="2"/>
      </w:pPr>
      <w:r>
        <w:rPr>
          <w:rFonts w:ascii="Times New Roman" w:hAnsi="Times New Roman" w:eastAsia="黑体" w:cs="Times New Roman"/>
          <w:b/>
          <w:sz w:val="24"/>
        </w:rPr>
        <w:t>3.3.1 概念结构设计</w:t>
      </w:r>
    </w:p>
    <w:p w14:paraId="6FF6F1C8">
      <w:pPr>
        <w:spacing w:before="0" w:after="0" w:line="360" w:lineRule="auto"/>
        <w:ind w:firstLine="480"/>
      </w:pPr>
      <w:r>
        <w:rPr>
          <w:rFonts w:ascii="Times New Roman" w:hAnsi="Times New Roman" w:eastAsia="宋体" w:cs="Times New Roman"/>
          <w:b w:val="0"/>
          <w:sz w:val="24"/>
        </w:rPr>
        <w:t>系统数据库围绕“用户—预约—旧物—对接—通知—证明—统计”几个核心业务对象展开。用户实体是系统中的基础实体；预约实体记录捐赠意愿与时间信息；旧物实体记录具体物资的分类与状态；公益对接实体反映物品流向和处理结果；回收点实体描述线下交付场所；通知实体用于保存系统消息；证明实体用于记录电子证明生成信息；统计实体用于沉淀周期性分析结果。论文中建议先绘制用例图，再绘制 ER 图，以符合软件工程分析与设计顺序要求。</w:t>
      </w:r>
    </w:p>
    <w:p w14:paraId="51A478AC">
      <w:pPr>
        <w:spacing w:before="0" w:after="0" w:line="360" w:lineRule="auto"/>
        <w:ind w:firstLine="480"/>
      </w:pPr>
      <w:r>
        <w:rPr>
          <w:rFonts w:ascii="Times New Roman" w:hAnsi="Times New Roman" w:eastAsia="宋体" w:cs="Times New Roman"/>
          <w:b w:val="0"/>
          <w:sz w:val="24"/>
        </w:rPr>
        <w:t>ER 图中应重点体现以下关系：一个用户可以对应多条预约记录；一条预约记录可以对应多条旧物记录；一条旧物记录在特定阶段可对应零条或一条公益对接记录；一个回收点可以关联多条预约；一个用户可以收到多条通知；一个用户可以拥有多份证明记录。通过这些关系可以构成完整的数据主线。</w:t>
      </w:r>
    </w:p>
    <w:p w14:paraId="63D28AEC">
      <w:pPr>
        <w:spacing w:before="120" w:after="120" w:line="360" w:lineRule="auto"/>
        <w:ind w:firstLine="0"/>
        <w:jc w:val="left"/>
        <w:outlineLvl w:val="2"/>
      </w:pPr>
      <w:r>
        <w:rPr>
          <w:rFonts w:ascii="Times New Roman" w:hAnsi="Times New Roman" w:eastAsia="黑体" w:cs="Times New Roman"/>
          <w:b/>
          <w:sz w:val="24"/>
        </w:rPr>
        <w:t>3.3.2 逻辑结构设计</w:t>
      </w:r>
    </w:p>
    <w:p w14:paraId="103BABF8">
      <w:pPr>
        <w:spacing w:before="0" w:after="0" w:line="360" w:lineRule="auto"/>
        <w:ind w:firstLine="480"/>
      </w:pPr>
      <w:r>
        <w:rPr>
          <w:rFonts w:ascii="Times New Roman" w:hAnsi="Times New Roman" w:eastAsia="宋体" w:cs="Times New Roman"/>
          <w:b w:val="0"/>
          <w:sz w:val="24"/>
        </w:rPr>
        <w:t>为满足业务需求，数据库逻辑结构采用“主数据表 + 业务流水表 + 辅助服务表”方式组织，并在高频查询字段上建立索引，以保证查询性能与扩展性[12-13][21]。核心表如表3-1所示。</w:t>
      </w:r>
    </w:p>
    <w:p w14:paraId="146942D4">
      <w:pPr>
        <w:spacing w:before="120" w:after="120" w:line="360" w:lineRule="auto"/>
        <w:ind w:firstLine="0"/>
        <w:jc w:val="center"/>
      </w:pPr>
      <w:r>
        <w:rPr>
          <w:rFonts w:ascii="Times New Roman" w:hAnsi="Times New Roman" w:eastAsia="宋体" w:cs="Times New Roman"/>
          <w:b w:val="0"/>
          <w:sz w:val="24"/>
        </w:rPr>
        <w:t>表3-1 核心数据库表总览</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88"/>
        <w:gridCol w:w="1963"/>
        <w:gridCol w:w="1188"/>
        <w:gridCol w:w="1188"/>
        <w:gridCol w:w="2849"/>
        <w:gridCol w:w="1189"/>
      </w:tblGrid>
      <w:tr w14:paraId="6418211E">
        <w:tc>
          <w:tcPr>
            <w:tcW w:w="1558" w:type="dxa"/>
          </w:tcPr>
          <w:p w14:paraId="66C5D3A5">
            <w:pPr>
              <w:spacing w:after="0" w:line="240" w:lineRule="auto"/>
              <w:jc w:val="center"/>
            </w:pPr>
            <w:r>
              <w:rPr>
                <w:rFonts w:ascii="Times New Roman" w:hAnsi="Times New Roman" w:eastAsia="宋体" w:cs="Times New Roman"/>
                <w:b/>
                <w:sz w:val="24"/>
              </w:rPr>
              <w:t>序号</w:t>
            </w:r>
          </w:p>
        </w:tc>
        <w:tc>
          <w:tcPr>
            <w:tcW w:w="1558" w:type="dxa"/>
          </w:tcPr>
          <w:p w14:paraId="59E0004F">
            <w:pPr>
              <w:spacing w:after="0" w:line="240" w:lineRule="auto"/>
              <w:jc w:val="center"/>
            </w:pPr>
            <w:r>
              <w:rPr>
                <w:rFonts w:ascii="Times New Roman" w:hAnsi="Times New Roman" w:eastAsia="宋体" w:cs="Times New Roman"/>
                <w:b/>
                <w:sz w:val="24"/>
              </w:rPr>
              <w:t>表名</w:t>
            </w:r>
          </w:p>
        </w:tc>
        <w:tc>
          <w:tcPr>
            <w:tcW w:w="1558" w:type="dxa"/>
          </w:tcPr>
          <w:p w14:paraId="0F9FE7A5">
            <w:pPr>
              <w:spacing w:after="0" w:line="240" w:lineRule="auto"/>
              <w:jc w:val="center"/>
            </w:pPr>
            <w:r>
              <w:rPr>
                <w:rFonts w:ascii="Times New Roman" w:hAnsi="Times New Roman" w:eastAsia="宋体" w:cs="Times New Roman"/>
                <w:b/>
                <w:sz w:val="24"/>
              </w:rPr>
              <w:t>业务含义</w:t>
            </w:r>
          </w:p>
        </w:tc>
        <w:tc>
          <w:tcPr>
            <w:tcW w:w="1558" w:type="dxa"/>
          </w:tcPr>
          <w:p w14:paraId="1DAFE1F8">
            <w:pPr>
              <w:spacing w:after="0" w:line="240" w:lineRule="auto"/>
              <w:jc w:val="center"/>
            </w:pPr>
            <w:r>
              <w:rPr>
                <w:rFonts w:ascii="Times New Roman" w:hAnsi="Times New Roman" w:eastAsia="宋体" w:cs="Times New Roman"/>
                <w:b/>
                <w:sz w:val="24"/>
              </w:rPr>
              <w:t>主键</w:t>
            </w:r>
          </w:p>
        </w:tc>
        <w:tc>
          <w:tcPr>
            <w:tcW w:w="1558" w:type="dxa"/>
          </w:tcPr>
          <w:p w14:paraId="63114913">
            <w:pPr>
              <w:spacing w:after="0" w:line="240" w:lineRule="auto"/>
              <w:jc w:val="center"/>
            </w:pPr>
            <w:r>
              <w:rPr>
                <w:rFonts w:ascii="Times New Roman" w:hAnsi="Times New Roman" w:eastAsia="宋体" w:cs="Times New Roman"/>
                <w:b/>
                <w:sz w:val="24"/>
              </w:rPr>
              <w:t>关键外键</w:t>
            </w:r>
          </w:p>
        </w:tc>
        <w:tc>
          <w:tcPr>
            <w:tcW w:w="1558" w:type="dxa"/>
          </w:tcPr>
          <w:p w14:paraId="15D1FDA9">
            <w:pPr>
              <w:spacing w:after="0" w:line="240" w:lineRule="auto"/>
              <w:jc w:val="center"/>
            </w:pPr>
            <w:r>
              <w:rPr>
                <w:rFonts w:ascii="Times New Roman" w:hAnsi="Times New Roman" w:eastAsia="宋体" w:cs="Times New Roman"/>
                <w:b/>
                <w:sz w:val="24"/>
              </w:rPr>
              <w:t>说明</w:t>
            </w:r>
          </w:p>
        </w:tc>
      </w:tr>
      <w:tr w14:paraId="53023731">
        <w:tc>
          <w:tcPr>
            <w:tcW w:w="1558" w:type="dxa"/>
          </w:tcPr>
          <w:p w14:paraId="33F83B69">
            <w:pPr>
              <w:spacing w:after="0" w:line="240" w:lineRule="auto"/>
              <w:jc w:val="center"/>
            </w:pPr>
            <w:r>
              <w:rPr>
                <w:rFonts w:ascii="Times New Roman" w:hAnsi="Times New Roman" w:eastAsia="宋体" w:cs="Times New Roman"/>
                <w:b w:val="0"/>
                <w:sz w:val="24"/>
              </w:rPr>
              <w:t>1</w:t>
            </w:r>
          </w:p>
        </w:tc>
        <w:tc>
          <w:tcPr>
            <w:tcW w:w="1558" w:type="dxa"/>
          </w:tcPr>
          <w:p w14:paraId="0B681207">
            <w:pPr>
              <w:spacing w:after="0" w:line="240" w:lineRule="auto"/>
              <w:jc w:val="center"/>
            </w:pPr>
            <w:r>
              <w:rPr>
                <w:rFonts w:ascii="Times New Roman" w:hAnsi="Times New Roman" w:eastAsia="宋体" w:cs="Times New Roman"/>
                <w:b w:val="0"/>
                <w:sz w:val="24"/>
              </w:rPr>
              <w:t>t_user</w:t>
            </w:r>
          </w:p>
        </w:tc>
        <w:tc>
          <w:tcPr>
            <w:tcW w:w="1558" w:type="dxa"/>
          </w:tcPr>
          <w:p w14:paraId="5D3CE634">
            <w:pPr>
              <w:spacing w:after="0" w:line="240" w:lineRule="auto"/>
              <w:jc w:val="center"/>
            </w:pPr>
            <w:r>
              <w:rPr>
                <w:rFonts w:ascii="Times New Roman" w:hAnsi="Times New Roman" w:eastAsia="宋体" w:cs="Times New Roman"/>
                <w:b w:val="0"/>
                <w:sz w:val="24"/>
              </w:rPr>
              <w:t>用户与角色信息</w:t>
            </w:r>
          </w:p>
        </w:tc>
        <w:tc>
          <w:tcPr>
            <w:tcW w:w="1558" w:type="dxa"/>
          </w:tcPr>
          <w:p w14:paraId="13E1AB80">
            <w:pPr>
              <w:spacing w:after="0" w:line="240" w:lineRule="auto"/>
              <w:jc w:val="center"/>
            </w:pPr>
            <w:r>
              <w:rPr>
                <w:rFonts w:ascii="Times New Roman" w:hAnsi="Times New Roman" w:eastAsia="宋体" w:cs="Times New Roman"/>
                <w:b w:val="0"/>
                <w:sz w:val="24"/>
              </w:rPr>
              <w:t>id</w:t>
            </w:r>
          </w:p>
        </w:tc>
        <w:tc>
          <w:tcPr>
            <w:tcW w:w="1558" w:type="dxa"/>
          </w:tcPr>
          <w:p w14:paraId="5F6FA5D2">
            <w:pPr>
              <w:spacing w:after="0" w:line="240" w:lineRule="auto"/>
              <w:jc w:val="center"/>
            </w:pPr>
            <w:r>
              <w:rPr>
                <w:rFonts w:ascii="Times New Roman" w:hAnsi="Times New Roman" w:eastAsia="宋体" w:cs="Times New Roman"/>
                <w:b w:val="0"/>
                <w:sz w:val="24"/>
              </w:rPr>
              <w:t>-</w:t>
            </w:r>
          </w:p>
        </w:tc>
        <w:tc>
          <w:tcPr>
            <w:tcW w:w="1558" w:type="dxa"/>
          </w:tcPr>
          <w:p w14:paraId="1F65C24B">
            <w:pPr>
              <w:spacing w:after="0" w:line="240" w:lineRule="auto"/>
              <w:jc w:val="center"/>
            </w:pPr>
            <w:r>
              <w:rPr>
                <w:rFonts w:ascii="Times New Roman" w:hAnsi="Times New Roman" w:eastAsia="宋体" w:cs="Times New Roman"/>
                <w:b w:val="0"/>
                <w:sz w:val="24"/>
              </w:rPr>
              <w:t>认证与权限基础表</w:t>
            </w:r>
          </w:p>
        </w:tc>
      </w:tr>
      <w:tr w14:paraId="556548D7">
        <w:tc>
          <w:tcPr>
            <w:tcW w:w="1558" w:type="dxa"/>
          </w:tcPr>
          <w:p w14:paraId="7DA107E1">
            <w:pPr>
              <w:spacing w:after="0" w:line="240" w:lineRule="auto"/>
              <w:jc w:val="center"/>
            </w:pPr>
            <w:r>
              <w:rPr>
                <w:rFonts w:ascii="Times New Roman" w:hAnsi="Times New Roman" w:eastAsia="宋体" w:cs="Times New Roman"/>
                <w:b w:val="0"/>
                <w:sz w:val="24"/>
              </w:rPr>
              <w:t>2</w:t>
            </w:r>
          </w:p>
        </w:tc>
        <w:tc>
          <w:tcPr>
            <w:tcW w:w="1558" w:type="dxa"/>
          </w:tcPr>
          <w:p w14:paraId="5D02CE81">
            <w:pPr>
              <w:spacing w:after="0" w:line="240" w:lineRule="auto"/>
              <w:jc w:val="center"/>
            </w:pPr>
            <w:r>
              <w:rPr>
                <w:rFonts w:ascii="Times New Roman" w:hAnsi="Times New Roman" w:eastAsia="宋体" w:cs="Times New Roman"/>
                <w:b w:val="0"/>
                <w:sz w:val="24"/>
              </w:rPr>
              <w:t>t_donation</w:t>
            </w:r>
          </w:p>
        </w:tc>
        <w:tc>
          <w:tcPr>
            <w:tcW w:w="1558" w:type="dxa"/>
          </w:tcPr>
          <w:p w14:paraId="321D2D32">
            <w:pPr>
              <w:spacing w:after="0" w:line="240" w:lineRule="auto"/>
              <w:jc w:val="center"/>
            </w:pPr>
            <w:r>
              <w:rPr>
                <w:rFonts w:ascii="Times New Roman" w:hAnsi="Times New Roman" w:eastAsia="宋体" w:cs="Times New Roman"/>
                <w:b w:val="0"/>
                <w:sz w:val="24"/>
              </w:rPr>
              <w:t>捐赠预约记录</w:t>
            </w:r>
          </w:p>
        </w:tc>
        <w:tc>
          <w:tcPr>
            <w:tcW w:w="1558" w:type="dxa"/>
          </w:tcPr>
          <w:p w14:paraId="19F16070">
            <w:pPr>
              <w:spacing w:after="0" w:line="240" w:lineRule="auto"/>
              <w:jc w:val="center"/>
            </w:pPr>
            <w:r>
              <w:rPr>
                <w:rFonts w:ascii="Times New Roman" w:hAnsi="Times New Roman" w:eastAsia="宋体" w:cs="Times New Roman"/>
                <w:b w:val="0"/>
                <w:sz w:val="24"/>
              </w:rPr>
              <w:t>id</w:t>
            </w:r>
          </w:p>
        </w:tc>
        <w:tc>
          <w:tcPr>
            <w:tcW w:w="1558" w:type="dxa"/>
          </w:tcPr>
          <w:p w14:paraId="528EA09A">
            <w:pPr>
              <w:spacing w:after="0" w:line="240" w:lineRule="auto"/>
              <w:jc w:val="center"/>
            </w:pPr>
            <w:r>
              <w:rPr>
                <w:rFonts w:ascii="Times New Roman" w:hAnsi="Times New Roman" w:eastAsia="宋体" w:cs="Times New Roman"/>
                <w:b w:val="0"/>
                <w:sz w:val="24"/>
              </w:rPr>
              <w:t>user_id,collection_point_id</w:t>
            </w:r>
          </w:p>
        </w:tc>
        <w:tc>
          <w:tcPr>
            <w:tcW w:w="1558" w:type="dxa"/>
          </w:tcPr>
          <w:p w14:paraId="68B2E292">
            <w:pPr>
              <w:spacing w:after="0" w:line="240" w:lineRule="auto"/>
              <w:jc w:val="center"/>
            </w:pPr>
            <w:r>
              <w:rPr>
                <w:rFonts w:ascii="Times New Roman" w:hAnsi="Times New Roman" w:eastAsia="宋体" w:cs="Times New Roman"/>
                <w:b w:val="0"/>
                <w:sz w:val="24"/>
              </w:rPr>
              <w:t>业务起点表</w:t>
            </w:r>
          </w:p>
        </w:tc>
      </w:tr>
      <w:tr w14:paraId="11D80FB5">
        <w:tc>
          <w:tcPr>
            <w:tcW w:w="1558" w:type="dxa"/>
          </w:tcPr>
          <w:p w14:paraId="3775B257">
            <w:pPr>
              <w:spacing w:after="0" w:line="240" w:lineRule="auto"/>
              <w:jc w:val="center"/>
            </w:pPr>
            <w:r>
              <w:rPr>
                <w:rFonts w:ascii="Times New Roman" w:hAnsi="Times New Roman" w:eastAsia="宋体" w:cs="Times New Roman"/>
                <w:b w:val="0"/>
                <w:sz w:val="24"/>
              </w:rPr>
              <w:t>3</w:t>
            </w:r>
          </w:p>
        </w:tc>
        <w:tc>
          <w:tcPr>
            <w:tcW w:w="1558" w:type="dxa"/>
          </w:tcPr>
          <w:p w14:paraId="04FAD29D">
            <w:pPr>
              <w:spacing w:after="0" w:line="240" w:lineRule="auto"/>
              <w:jc w:val="center"/>
            </w:pPr>
            <w:r>
              <w:rPr>
                <w:rFonts w:ascii="Times New Roman" w:hAnsi="Times New Roman" w:eastAsia="宋体" w:cs="Times New Roman"/>
                <w:b w:val="0"/>
                <w:sz w:val="24"/>
              </w:rPr>
              <w:t>t_item</w:t>
            </w:r>
          </w:p>
        </w:tc>
        <w:tc>
          <w:tcPr>
            <w:tcW w:w="1558" w:type="dxa"/>
          </w:tcPr>
          <w:p w14:paraId="0D94176E">
            <w:pPr>
              <w:spacing w:after="0" w:line="240" w:lineRule="auto"/>
              <w:jc w:val="center"/>
            </w:pPr>
            <w:r>
              <w:rPr>
                <w:rFonts w:ascii="Times New Roman" w:hAnsi="Times New Roman" w:eastAsia="宋体" w:cs="Times New Roman"/>
                <w:b w:val="0"/>
                <w:sz w:val="24"/>
              </w:rPr>
              <w:t>旧物明细记录</w:t>
            </w:r>
          </w:p>
        </w:tc>
        <w:tc>
          <w:tcPr>
            <w:tcW w:w="1558" w:type="dxa"/>
          </w:tcPr>
          <w:p w14:paraId="0505214F">
            <w:pPr>
              <w:spacing w:after="0" w:line="240" w:lineRule="auto"/>
              <w:jc w:val="center"/>
            </w:pPr>
            <w:r>
              <w:rPr>
                <w:rFonts w:ascii="Times New Roman" w:hAnsi="Times New Roman" w:eastAsia="宋体" w:cs="Times New Roman"/>
                <w:b w:val="0"/>
                <w:sz w:val="24"/>
              </w:rPr>
              <w:t>id</w:t>
            </w:r>
          </w:p>
        </w:tc>
        <w:tc>
          <w:tcPr>
            <w:tcW w:w="1558" w:type="dxa"/>
          </w:tcPr>
          <w:p w14:paraId="3181EFEC">
            <w:pPr>
              <w:spacing w:after="0" w:line="240" w:lineRule="auto"/>
              <w:jc w:val="center"/>
            </w:pPr>
            <w:r>
              <w:rPr>
                <w:rFonts w:ascii="Times New Roman" w:hAnsi="Times New Roman" w:eastAsia="宋体" w:cs="Times New Roman"/>
                <w:b w:val="0"/>
                <w:sz w:val="24"/>
              </w:rPr>
              <w:t>donation_id</w:t>
            </w:r>
          </w:p>
        </w:tc>
        <w:tc>
          <w:tcPr>
            <w:tcW w:w="1558" w:type="dxa"/>
          </w:tcPr>
          <w:p w14:paraId="5C328996">
            <w:pPr>
              <w:spacing w:after="0" w:line="240" w:lineRule="auto"/>
              <w:jc w:val="center"/>
            </w:pPr>
            <w:r>
              <w:rPr>
                <w:rFonts w:ascii="Times New Roman" w:hAnsi="Times New Roman" w:eastAsia="宋体" w:cs="Times New Roman"/>
                <w:b w:val="0"/>
                <w:sz w:val="24"/>
              </w:rPr>
              <w:t>分类与状态核心表</w:t>
            </w:r>
          </w:p>
        </w:tc>
      </w:tr>
      <w:tr w14:paraId="61D04A35">
        <w:tc>
          <w:tcPr>
            <w:tcW w:w="1558" w:type="dxa"/>
          </w:tcPr>
          <w:p w14:paraId="4EA5FD1F">
            <w:pPr>
              <w:spacing w:after="0" w:line="240" w:lineRule="auto"/>
              <w:jc w:val="center"/>
            </w:pPr>
            <w:r>
              <w:rPr>
                <w:rFonts w:ascii="Times New Roman" w:hAnsi="Times New Roman" w:eastAsia="宋体" w:cs="Times New Roman"/>
                <w:b w:val="0"/>
                <w:sz w:val="24"/>
              </w:rPr>
              <w:t>4</w:t>
            </w:r>
          </w:p>
        </w:tc>
        <w:tc>
          <w:tcPr>
            <w:tcW w:w="1558" w:type="dxa"/>
          </w:tcPr>
          <w:p w14:paraId="7A368A83">
            <w:pPr>
              <w:spacing w:after="0" w:line="240" w:lineRule="auto"/>
              <w:jc w:val="center"/>
            </w:pPr>
            <w:r>
              <w:rPr>
                <w:rFonts w:ascii="Times New Roman" w:hAnsi="Times New Roman" w:eastAsia="宋体" w:cs="Times New Roman"/>
                <w:b w:val="0"/>
                <w:sz w:val="24"/>
              </w:rPr>
              <w:t>t_public_welfare</w:t>
            </w:r>
          </w:p>
        </w:tc>
        <w:tc>
          <w:tcPr>
            <w:tcW w:w="1558" w:type="dxa"/>
          </w:tcPr>
          <w:p w14:paraId="1974409C">
            <w:pPr>
              <w:spacing w:after="0" w:line="240" w:lineRule="auto"/>
              <w:jc w:val="center"/>
            </w:pPr>
            <w:r>
              <w:rPr>
                <w:rFonts w:ascii="Times New Roman" w:hAnsi="Times New Roman" w:eastAsia="宋体" w:cs="Times New Roman"/>
                <w:b w:val="0"/>
                <w:sz w:val="24"/>
              </w:rPr>
              <w:t>公益对接记录</w:t>
            </w:r>
          </w:p>
        </w:tc>
        <w:tc>
          <w:tcPr>
            <w:tcW w:w="1558" w:type="dxa"/>
          </w:tcPr>
          <w:p w14:paraId="4BFA422E">
            <w:pPr>
              <w:spacing w:after="0" w:line="240" w:lineRule="auto"/>
              <w:jc w:val="center"/>
            </w:pPr>
            <w:r>
              <w:rPr>
                <w:rFonts w:ascii="Times New Roman" w:hAnsi="Times New Roman" w:eastAsia="宋体" w:cs="Times New Roman"/>
                <w:b w:val="0"/>
                <w:sz w:val="24"/>
              </w:rPr>
              <w:t>id</w:t>
            </w:r>
          </w:p>
        </w:tc>
        <w:tc>
          <w:tcPr>
            <w:tcW w:w="1558" w:type="dxa"/>
          </w:tcPr>
          <w:p w14:paraId="4BCF08B1">
            <w:pPr>
              <w:spacing w:after="0" w:line="240" w:lineRule="auto"/>
              <w:jc w:val="center"/>
            </w:pPr>
            <w:r>
              <w:rPr>
                <w:rFonts w:ascii="Times New Roman" w:hAnsi="Times New Roman" w:eastAsia="宋体" w:cs="Times New Roman"/>
                <w:b w:val="0"/>
                <w:sz w:val="24"/>
              </w:rPr>
              <w:t>item_id,handle_user_id</w:t>
            </w:r>
          </w:p>
        </w:tc>
        <w:tc>
          <w:tcPr>
            <w:tcW w:w="1558" w:type="dxa"/>
          </w:tcPr>
          <w:p w14:paraId="4AB837F8">
            <w:pPr>
              <w:spacing w:after="0" w:line="240" w:lineRule="auto"/>
              <w:jc w:val="center"/>
            </w:pPr>
            <w:r>
              <w:rPr>
                <w:rFonts w:ascii="Times New Roman" w:hAnsi="Times New Roman" w:eastAsia="宋体" w:cs="Times New Roman"/>
                <w:b w:val="0"/>
                <w:sz w:val="24"/>
              </w:rPr>
              <w:t>去向追踪表</w:t>
            </w:r>
          </w:p>
        </w:tc>
      </w:tr>
      <w:tr w14:paraId="744C89DD">
        <w:tc>
          <w:tcPr>
            <w:tcW w:w="1558" w:type="dxa"/>
          </w:tcPr>
          <w:p w14:paraId="6E5C77FC">
            <w:pPr>
              <w:spacing w:after="0" w:line="240" w:lineRule="auto"/>
              <w:jc w:val="center"/>
            </w:pPr>
            <w:r>
              <w:rPr>
                <w:rFonts w:ascii="Times New Roman" w:hAnsi="Times New Roman" w:eastAsia="宋体" w:cs="Times New Roman"/>
                <w:b w:val="0"/>
                <w:sz w:val="24"/>
              </w:rPr>
              <w:t>5</w:t>
            </w:r>
          </w:p>
        </w:tc>
        <w:tc>
          <w:tcPr>
            <w:tcW w:w="1558" w:type="dxa"/>
          </w:tcPr>
          <w:p w14:paraId="7FFCFFF8">
            <w:pPr>
              <w:spacing w:after="0" w:line="240" w:lineRule="auto"/>
              <w:jc w:val="center"/>
            </w:pPr>
            <w:r>
              <w:rPr>
                <w:rFonts w:ascii="Times New Roman" w:hAnsi="Times New Roman" w:eastAsia="宋体" w:cs="Times New Roman"/>
                <w:b w:val="0"/>
                <w:sz w:val="24"/>
              </w:rPr>
              <w:t>t_collection_point</w:t>
            </w:r>
          </w:p>
        </w:tc>
        <w:tc>
          <w:tcPr>
            <w:tcW w:w="1558" w:type="dxa"/>
          </w:tcPr>
          <w:p w14:paraId="0974556C">
            <w:pPr>
              <w:spacing w:after="0" w:line="240" w:lineRule="auto"/>
              <w:jc w:val="center"/>
            </w:pPr>
            <w:r>
              <w:rPr>
                <w:rFonts w:ascii="Times New Roman" w:hAnsi="Times New Roman" w:eastAsia="宋体" w:cs="Times New Roman"/>
                <w:b w:val="0"/>
                <w:sz w:val="24"/>
              </w:rPr>
              <w:t>回收点基础信息</w:t>
            </w:r>
          </w:p>
        </w:tc>
        <w:tc>
          <w:tcPr>
            <w:tcW w:w="1558" w:type="dxa"/>
          </w:tcPr>
          <w:p w14:paraId="50CA58B3">
            <w:pPr>
              <w:spacing w:after="0" w:line="240" w:lineRule="auto"/>
              <w:jc w:val="center"/>
            </w:pPr>
            <w:r>
              <w:rPr>
                <w:rFonts w:ascii="Times New Roman" w:hAnsi="Times New Roman" w:eastAsia="宋体" w:cs="Times New Roman"/>
                <w:b w:val="0"/>
                <w:sz w:val="24"/>
              </w:rPr>
              <w:t>id</w:t>
            </w:r>
          </w:p>
        </w:tc>
        <w:tc>
          <w:tcPr>
            <w:tcW w:w="1558" w:type="dxa"/>
          </w:tcPr>
          <w:p w14:paraId="719B9E9D">
            <w:pPr>
              <w:spacing w:after="0" w:line="240" w:lineRule="auto"/>
              <w:jc w:val="center"/>
            </w:pPr>
            <w:r>
              <w:rPr>
                <w:rFonts w:ascii="Times New Roman" w:hAnsi="Times New Roman" w:eastAsia="宋体" w:cs="Times New Roman"/>
                <w:b w:val="0"/>
                <w:sz w:val="24"/>
              </w:rPr>
              <w:t>-</w:t>
            </w:r>
          </w:p>
        </w:tc>
        <w:tc>
          <w:tcPr>
            <w:tcW w:w="1558" w:type="dxa"/>
          </w:tcPr>
          <w:p w14:paraId="4E293D1F">
            <w:pPr>
              <w:spacing w:after="0" w:line="240" w:lineRule="auto"/>
              <w:jc w:val="center"/>
            </w:pPr>
            <w:r>
              <w:rPr>
                <w:rFonts w:ascii="Times New Roman" w:hAnsi="Times New Roman" w:eastAsia="宋体" w:cs="Times New Roman"/>
                <w:b w:val="0"/>
                <w:sz w:val="24"/>
              </w:rPr>
              <w:t>线下交付配置表</w:t>
            </w:r>
          </w:p>
        </w:tc>
      </w:tr>
      <w:tr w14:paraId="32C5239E">
        <w:tc>
          <w:tcPr>
            <w:tcW w:w="1558" w:type="dxa"/>
          </w:tcPr>
          <w:p w14:paraId="053193E2">
            <w:pPr>
              <w:spacing w:after="0" w:line="240" w:lineRule="auto"/>
              <w:jc w:val="center"/>
            </w:pPr>
            <w:r>
              <w:rPr>
                <w:rFonts w:ascii="Times New Roman" w:hAnsi="Times New Roman" w:eastAsia="宋体" w:cs="Times New Roman"/>
                <w:b w:val="0"/>
                <w:sz w:val="24"/>
              </w:rPr>
              <w:t>6</w:t>
            </w:r>
          </w:p>
        </w:tc>
        <w:tc>
          <w:tcPr>
            <w:tcW w:w="1558" w:type="dxa"/>
          </w:tcPr>
          <w:p w14:paraId="6DB6104F">
            <w:pPr>
              <w:spacing w:after="0" w:line="240" w:lineRule="auto"/>
              <w:jc w:val="center"/>
            </w:pPr>
            <w:r>
              <w:rPr>
                <w:rFonts w:ascii="Times New Roman" w:hAnsi="Times New Roman" w:eastAsia="宋体" w:cs="Times New Roman"/>
                <w:b w:val="0"/>
                <w:sz w:val="24"/>
              </w:rPr>
              <w:t>t_certificate</w:t>
            </w:r>
          </w:p>
        </w:tc>
        <w:tc>
          <w:tcPr>
            <w:tcW w:w="1558" w:type="dxa"/>
          </w:tcPr>
          <w:p w14:paraId="02BF3628">
            <w:pPr>
              <w:spacing w:after="0" w:line="240" w:lineRule="auto"/>
              <w:jc w:val="center"/>
            </w:pPr>
            <w:r>
              <w:rPr>
                <w:rFonts w:ascii="Times New Roman" w:hAnsi="Times New Roman" w:eastAsia="宋体" w:cs="Times New Roman"/>
                <w:b w:val="0"/>
                <w:sz w:val="24"/>
              </w:rPr>
              <w:t>电子证明记录</w:t>
            </w:r>
          </w:p>
        </w:tc>
        <w:tc>
          <w:tcPr>
            <w:tcW w:w="1558" w:type="dxa"/>
          </w:tcPr>
          <w:p w14:paraId="2EBB8271">
            <w:pPr>
              <w:spacing w:after="0" w:line="240" w:lineRule="auto"/>
              <w:jc w:val="center"/>
            </w:pPr>
            <w:r>
              <w:rPr>
                <w:rFonts w:ascii="Times New Roman" w:hAnsi="Times New Roman" w:eastAsia="宋体" w:cs="Times New Roman"/>
                <w:b w:val="0"/>
                <w:sz w:val="24"/>
              </w:rPr>
              <w:t>id</w:t>
            </w:r>
          </w:p>
        </w:tc>
        <w:tc>
          <w:tcPr>
            <w:tcW w:w="1558" w:type="dxa"/>
          </w:tcPr>
          <w:p w14:paraId="377E72DF">
            <w:pPr>
              <w:spacing w:after="0" w:line="240" w:lineRule="auto"/>
              <w:jc w:val="center"/>
            </w:pPr>
            <w:r>
              <w:rPr>
                <w:rFonts w:ascii="Times New Roman" w:hAnsi="Times New Roman" w:eastAsia="宋体" w:cs="Times New Roman"/>
                <w:b w:val="0"/>
                <w:sz w:val="24"/>
              </w:rPr>
              <w:t>user_id,donation_id</w:t>
            </w:r>
          </w:p>
        </w:tc>
        <w:tc>
          <w:tcPr>
            <w:tcW w:w="1558" w:type="dxa"/>
          </w:tcPr>
          <w:p w14:paraId="02F75AD5">
            <w:pPr>
              <w:spacing w:after="0" w:line="240" w:lineRule="auto"/>
              <w:jc w:val="center"/>
            </w:pPr>
            <w:r>
              <w:rPr>
                <w:rFonts w:ascii="Times New Roman" w:hAnsi="Times New Roman" w:eastAsia="宋体" w:cs="Times New Roman"/>
                <w:b w:val="0"/>
                <w:sz w:val="24"/>
              </w:rPr>
              <w:t>捐赠证明留痕表</w:t>
            </w:r>
          </w:p>
        </w:tc>
      </w:tr>
      <w:tr w14:paraId="2D894902">
        <w:tc>
          <w:tcPr>
            <w:tcW w:w="1558" w:type="dxa"/>
          </w:tcPr>
          <w:p w14:paraId="6702AFFD">
            <w:pPr>
              <w:spacing w:after="0" w:line="240" w:lineRule="auto"/>
              <w:jc w:val="center"/>
            </w:pPr>
            <w:r>
              <w:rPr>
                <w:rFonts w:ascii="Times New Roman" w:hAnsi="Times New Roman" w:eastAsia="宋体" w:cs="Times New Roman"/>
                <w:b w:val="0"/>
                <w:sz w:val="24"/>
              </w:rPr>
              <w:t>7</w:t>
            </w:r>
          </w:p>
        </w:tc>
        <w:tc>
          <w:tcPr>
            <w:tcW w:w="1558" w:type="dxa"/>
          </w:tcPr>
          <w:p w14:paraId="45274575">
            <w:pPr>
              <w:spacing w:after="0" w:line="240" w:lineRule="auto"/>
              <w:jc w:val="center"/>
            </w:pPr>
            <w:r>
              <w:rPr>
                <w:rFonts w:ascii="Times New Roman" w:hAnsi="Times New Roman" w:eastAsia="宋体" w:cs="Times New Roman"/>
                <w:b w:val="0"/>
                <w:sz w:val="24"/>
              </w:rPr>
              <w:t>t_notification</w:t>
            </w:r>
          </w:p>
        </w:tc>
        <w:tc>
          <w:tcPr>
            <w:tcW w:w="1558" w:type="dxa"/>
          </w:tcPr>
          <w:p w14:paraId="2AE0CEA8">
            <w:pPr>
              <w:spacing w:after="0" w:line="240" w:lineRule="auto"/>
              <w:jc w:val="center"/>
            </w:pPr>
            <w:r>
              <w:rPr>
                <w:rFonts w:ascii="Times New Roman" w:hAnsi="Times New Roman" w:eastAsia="宋体" w:cs="Times New Roman"/>
                <w:b w:val="0"/>
                <w:sz w:val="24"/>
              </w:rPr>
              <w:t>站内消息通知</w:t>
            </w:r>
          </w:p>
        </w:tc>
        <w:tc>
          <w:tcPr>
            <w:tcW w:w="1558" w:type="dxa"/>
          </w:tcPr>
          <w:p w14:paraId="601A04D7">
            <w:pPr>
              <w:spacing w:after="0" w:line="240" w:lineRule="auto"/>
              <w:jc w:val="center"/>
            </w:pPr>
            <w:r>
              <w:rPr>
                <w:rFonts w:ascii="Times New Roman" w:hAnsi="Times New Roman" w:eastAsia="宋体" w:cs="Times New Roman"/>
                <w:b w:val="0"/>
                <w:sz w:val="24"/>
              </w:rPr>
              <w:t>id</w:t>
            </w:r>
          </w:p>
        </w:tc>
        <w:tc>
          <w:tcPr>
            <w:tcW w:w="1558" w:type="dxa"/>
          </w:tcPr>
          <w:p w14:paraId="31003452">
            <w:pPr>
              <w:spacing w:after="0" w:line="240" w:lineRule="auto"/>
              <w:jc w:val="center"/>
            </w:pPr>
            <w:r>
              <w:rPr>
                <w:rFonts w:ascii="Times New Roman" w:hAnsi="Times New Roman" w:eastAsia="宋体" w:cs="Times New Roman"/>
                <w:b w:val="0"/>
                <w:sz w:val="24"/>
              </w:rPr>
              <w:t>user_id</w:t>
            </w:r>
          </w:p>
        </w:tc>
        <w:tc>
          <w:tcPr>
            <w:tcW w:w="1558" w:type="dxa"/>
          </w:tcPr>
          <w:p w14:paraId="77129732">
            <w:pPr>
              <w:spacing w:after="0" w:line="240" w:lineRule="auto"/>
              <w:jc w:val="center"/>
            </w:pPr>
            <w:r>
              <w:rPr>
                <w:rFonts w:ascii="Times New Roman" w:hAnsi="Times New Roman" w:eastAsia="宋体" w:cs="Times New Roman"/>
                <w:b w:val="0"/>
                <w:sz w:val="24"/>
              </w:rPr>
              <w:t>消息推送与已读状态表</w:t>
            </w:r>
          </w:p>
        </w:tc>
      </w:tr>
      <w:tr w14:paraId="4495A9F7">
        <w:tc>
          <w:tcPr>
            <w:tcW w:w="1558" w:type="dxa"/>
          </w:tcPr>
          <w:p w14:paraId="2981965B">
            <w:pPr>
              <w:spacing w:after="0" w:line="240" w:lineRule="auto"/>
              <w:jc w:val="center"/>
            </w:pPr>
            <w:r>
              <w:rPr>
                <w:rFonts w:ascii="Times New Roman" w:hAnsi="Times New Roman" w:eastAsia="宋体" w:cs="Times New Roman"/>
                <w:b w:val="0"/>
                <w:sz w:val="24"/>
              </w:rPr>
              <w:t>8</w:t>
            </w:r>
          </w:p>
        </w:tc>
        <w:tc>
          <w:tcPr>
            <w:tcW w:w="1558" w:type="dxa"/>
          </w:tcPr>
          <w:p w14:paraId="28777E60">
            <w:pPr>
              <w:spacing w:after="0" w:line="240" w:lineRule="auto"/>
              <w:jc w:val="center"/>
            </w:pPr>
            <w:r>
              <w:rPr>
                <w:rFonts w:ascii="Times New Roman" w:hAnsi="Times New Roman" w:eastAsia="宋体" w:cs="Times New Roman"/>
                <w:b w:val="0"/>
                <w:sz w:val="24"/>
              </w:rPr>
              <w:t>t_statistics</w:t>
            </w:r>
          </w:p>
        </w:tc>
        <w:tc>
          <w:tcPr>
            <w:tcW w:w="1558" w:type="dxa"/>
          </w:tcPr>
          <w:p w14:paraId="57A77858">
            <w:pPr>
              <w:spacing w:after="0" w:line="240" w:lineRule="auto"/>
              <w:jc w:val="center"/>
            </w:pPr>
            <w:r>
              <w:rPr>
                <w:rFonts w:ascii="Times New Roman" w:hAnsi="Times New Roman" w:eastAsia="宋体" w:cs="Times New Roman"/>
                <w:b w:val="0"/>
                <w:sz w:val="24"/>
              </w:rPr>
              <w:t>统计聚合数据</w:t>
            </w:r>
          </w:p>
        </w:tc>
        <w:tc>
          <w:tcPr>
            <w:tcW w:w="1558" w:type="dxa"/>
          </w:tcPr>
          <w:p w14:paraId="39290A28">
            <w:pPr>
              <w:spacing w:after="0" w:line="240" w:lineRule="auto"/>
              <w:jc w:val="center"/>
            </w:pPr>
            <w:r>
              <w:rPr>
                <w:rFonts w:ascii="Times New Roman" w:hAnsi="Times New Roman" w:eastAsia="宋体" w:cs="Times New Roman"/>
                <w:b w:val="0"/>
                <w:sz w:val="24"/>
              </w:rPr>
              <w:t>id</w:t>
            </w:r>
          </w:p>
        </w:tc>
        <w:tc>
          <w:tcPr>
            <w:tcW w:w="1558" w:type="dxa"/>
          </w:tcPr>
          <w:p w14:paraId="50BABFC6">
            <w:pPr>
              <w:spacing w:after="0" w:line="240" w:lineRule="auto"/>
              <w:jc w:val="center"/>
            </w:pPr>
            <w:r>
              <w:rPr>
                <w:rFonts w:ascii="Times New Roman" w:hAnsi="Times New Roman" w:eastAsia="宋体" w:cs="Times New Roman"/>
                <w:b w:val="0"/>
                <w:sz w:val="24"/>
              </w:rPr>
              <w:t>-</w:t>
            </w:r>
          </w:p>
        </w:tc>
        <w:tc>
          <w:tcPr>
            <w:tcW w:w="1558" w:type="dxa"/>
          </w:tcPr>
          <w:p w14:paraId="020B7E05">
            <w:pPr>
              <w:spacing w:after="0" w:line="240" w:lineRule="auto"/>
              <w:jc w:val="center"/>
            </w:pPr>
            <w:r>
              <w:rPr>
                <w:rFonts w:ascii="Times New Roman" w:hAnsi="Times New Roman" w:eastAsia="宋体" w:cs="Times New Roman"/>
                <w:b w:val="0"/>
                <w:sz w:val="24"/>
              </w:rPr>
              <w:t>可视化与报表支撑表</w:t>
            </w:r>
          </w:p>
        </w:tc>
      </w:tr>
    </w:tbl>
    <w:p w14:paraId="0A13B678">
      <w:pPr>
        <w:spacing w:before="0" w:after="0" w:line="360" w:lineRule="auto"/>
        <w:ind w:firstLine="480"/>
      </w:pPr>
      <w:r>
        <w:rPr>
          <w:rFonts w:ascii="Times New Roman" w:hAnsi="Times New Roman" w:eastAsia="宋体" w:cs="Times New Roman"/>
          <w:b w:val="0"/>
          <w:sz w:val="24"/>
        </w:rPr>
        <w:t>各表字段采用“最小必要字段集 + 可扩展预留字段”思路，避免冗余堆叠，确保后续可维护性。各核心表结构如下。</w:t>
      </w:r>
    </w:p>
    <w:p w14:paraId="3587CAFB">
      <w:pPr>
        <w:spacing w:before="120" w:after="120" w:line="360" w:lineRule="auto"/>
        <w:ind w:firstLine="0"/>
        <w:jc w:val="center"/>
      </w:pPr>
      <w:r>
        <w:rPr>
          <w:rFonts w:ascii="Times New Roman" w:hAnsi="Times New Roman" w:eastAsia="宋体" w:cs="Times New Roman"/>
          <w:b w:val="0"/>
          <w:sz w:val="24"/>
        </w:rPr>
        <w:t>表3-2 t_user 用户表</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37"/>
        <w:gridCol w:w="2337"/>
        <w:gridCol w:w="2337"/>
        <w:gridCol w:w="2337"/>
      </w:tblGrid>
      <w:tr w14:paraId="0F1B6197">
        <w:tc>
          <w:tcPr>
            <w:tcW w:w="2337" w:type="dxa"/>
          </w:tcPr>
          <w:p w14:paraId="4F1D031E">
            <w:pPr>
              <w:spacing w:after="0" w:line="240" w:lineRule="auto"/>
              <w:jc w:val="center"/>
            </w:pPr>
            <w:r>
              <w:rPr>
                <w:rFonts w:ascii="Times New Roman" w:hAnsi="Times New Roman" w:eastAsia="宋体" w:cs="Times New Roman"/>
                <w:b/>
                <w:sz w:val="24"/>
              </w:rPr>
              <w:t>字段名</w:t>
            </w:r>
          </w:p>
        </w:tc>
        <w:tc>
          <w:tcPr>
            <w:tcW w:w="2337" w:type="dxa"/>
          </w:tcPr>
          <w:p w14:paraId="1B04538A">
            <w:pPr>
              <w:spacing w:after="0" w:line="240" w:lineRule="auto"/>
              <w:jc w:val="center"/>
            </w:pPr>
            <w:r>
              <w:rPr>
                <w:rFonts w:ascii="Times New Roman" w:hAnsi="Times New Roman" w:eastAsia="宋体" w:cs="Times New Roman"/>
                <w:b/>
                <w:sz w:val="24"/>
              </w:rPr>
              <w:t>类型</w:t>
            </w:r>
          </w:p>
        </w:tc>
        <w:tc>
          <w:tcPr>
            <w:tcW w:w="2337" w:type="dxa"/>
          </w:tcPr>
          <w:p w14:paraId="4375B16B">
            <w:pPr>
              <w:spacing w:after="0" w:line="240" w:lineRule="auto"/>
              <w:jc w:val="center"/>
            </w:pPr>
            <w:r>
              <w:rPr>
                <w:rFonts w:ascii="Times New Roman" w:hAnsi="Times New Roman" w:eastAsia="宋体" w:cs="Times New Roman"/>
                <w:b/>
                <w:sz w:val="24"/>
              </w:rPr>
              <w:t>约束</w:t>
            </w:r>
          </w:p>
        </w:tc>
        <w:tc>
          <w:tcPr>
            <w:tcW w:w="2337" w:type="dxa"/>
          </w:tcPr>
          <w:p w14:paraId="45E0153F">
            <w:pPr>
              <w:spacing w:after="0" w:line="240" w:lineRule="auto"/>
              <w:jc w:val="center"/>
            </w:pPr>
            <w:r>
              <w:rPr>
                <w:rFonts w:ascii="Times New Roman" w:hAnsi="Times New Roman" w:eastAsia="宋体" w:cs="Times New Roman"/>
                <w:b/>
                <w:sz w:val="24"/>
              </w:rPr>
              <w:t>说明</w:t>
            </w:r>
          </w:p>
        </w:tc>
      </w:tr>
      <w:tr w14:paraId="721C85DF">
        <w:tc>
          <w:tcPr>
            <w:tcW w:w="2337" w:type="dxa"/>
          </w:tcPr>
          <w:p w14:paraId="280A861B">
            <w:pPr>
              <w:spacing w:after="0" w:line="240" w:lineRule="auto"/>
              <w:jc w:val="center"/>
            </w:pPr>
            <w:r>
              <w:rPr>
                <w:rFonts w:ascii="Times New Roman" w:hAnsi="Times New Roman" w:eastAsia="宋体" w:cs="Times New Roman"/>
                <w:b w:val="0"/>
                <w:sz w:val="24"/>
              </w:rPr>
              <w:t>id</w:t>
            </w:r>
          </w:p>
        </w:tc>
        <w:tc>
          <w:tcPr>
            <w:tcW w:w="2337" w:type="dxa"/>
          </w:tcPr>
          <w:p w14:paraId="2BF257BA">
            <w:pPr>
              <w:spacing w:after="0" w:line="240" w:lineRule="auto"/>
              <w:jc w:val="center"/>
            </w:pPr>
            <w:r>
              <w:rPr>
                <w:rFonts w:ascii="Times New Roman" w:hAnsi="Times New Roman" w:eastAsia="宋体" w:cs="Times New Roman"/>
                <w:b w:val="0"/>
                <w:sz w:val="24"/>
              </w:rPr>
              <w:t>BIGINT</w:t>
            </w:r>
          </w:p>
        </w:tc>
        <w:tc>
          <w:tcPr>
            <w:tcW w:w="2337" w:type="dxa"/>
          </w:tcPr>
          <w:p w14:paraId="7CAD8868">
            <w:pPr>
              <w:spacing w:after="0" w:line="240" w:lineRule="auto"/>
              <w:jc w:val="center"/>
            </w:pPr>
            <w:r>
              <w:rPr>
                <w:rFonts w:ascii="Times New Roman" w:hAnsi="Times New Roman" w:eastAsia="宋体" w:cs="Times New Roman"/>
                <w:b w:val="0"/>
                <w:sz w:val="24"/>
              </w:rPr>
              <w:t>PK, NOT NULL</w:t>
            </w:r>
          </w:p>
        </w:tc>
        <w:tc>
          <w:tcPr>
            <w:tcW w:w="2337" w:type="dxa"/>
          </w:tcPr>
          <w:p w14:paraId="5A5317E4">
            <w:pPr>
              <w:spacing w:after="0" w:line="240" w:lineRule="auto"/>
              <w:jc w:val="center"/>
            </w:pPr>
            <w:r>
              <w:rPr>
                <w:rFonts w:ascii="Times New Roman" w:hAnsi="Times New Roman" w:eastAsia="宋体" w:cs="Times New Roman"/>
                <w:b w:val="0"/>
                <w:sz w:val="24"/>
              </w:rPr>
              <w:t>用户主键</w:t>
            </w:r>
          </w:p>
        </w:tc>
      </w:tr>
      <w:tr w14:paraId="3C11006E">
        <w:tc>
          <w:tcPr>
            <w:tcW w:w="2337" w:type="dxa"/>
          </w:tcPr>
          <w:p w14:paraId="4D594191">
            <w:pPr>
              <w:spacing w:after="0" w:line="240" w:lineRule="auto"/>
              <w:jc w:val="center"/>
            </w:pPr>
            <w:r>
              <w:rPr>
                <w:rFonts w:ascii="Times New Roman" w:hAnsi="Times New Roman" w:eastAsia="宋体" w:cs="Times New Roman"/>
                <w:b w:val="0"/>
                <w:sz w:val="24"/>
              </w:rPr>
              <w:t>username</w:t>
            </w:r>
          </w:p>
        </w:tc>
        <w:tc>
          <w:tcPr>
            <w:tcW w:w="2337" w:type="dxa"/>
          </w:tcPr>
          <w:p w14:paraId="088BB331">
            <w:pPr>
              <w:spacing w:after="0" w:line="240" w:lineRule="auto"/>
              <w:jc w:val="center"/>
            </w:pPr>
            <w:r>
              <w:rPr>
                <w:rFonts w:ascii="Times New Roman" w:hAnsi="Times New Roman" w:eastAsia="宋体" w:cs="Times New Roman"/>
                <w:b w:val="0"/>
                <w:sz w:val="24"/>
              </w:rPr>
              <w:t>VARCHAR(50)</w:t>
            </w:r>
          </w:p>
        </w:tc>
        <w:tc>
          <w:tcPr>
            <w:tcW w:w="2337" w:type="dxa"/>
          </w:tcPr>
          <w:p w14:paraId="700143A4">
            <w:pPr>
              <w:spacing w:after="0" w:line="240" w:lineRule="auto"/>
              <w:jc w:val="center"/>
            </w:pPr>
            <w:r>
              <w:rPr>
                <w:rFonts w:ascii="Times New Roman" w:hAnsi="Times New Roman" w:eastAsia="宋体" w:cs="Times New Roman"/>
                <w:b w:val="0"/>
                <w:sz w:val="24"/>
              </w:rPr>
              <w:t>UNIQUE, NOT NULL</w:t>
            </w:r>
          </w:p>
        </w:tc>
        <w:tc>
          <w:tcPr>
            <w:tcW w:w="2337" w:type="dxa"/>
          </w:tcPr>
          <w:p w14:paraId="66A1EA54">
            <w:pPr>
              <w:spacing w:after="0" w:line="240" w:lineRule="auto"/>
              <w:jc w:val="center"/>
            </w:pPr>
            <w:r>
              <w:rPr>
                <w:rFonts w:ascii="Times New Roman" w:hAnsi="Times New Roman" w:eastAsia="宋体" w:cs="Times New Roman"/>
                <w:b w:val="0"/>
                <w:sz w:val="24"/>
              </w:rPr>
              <w:t>登录账号</w:t>
            </w:r>
          </w:p>
        </w:tc>
      </w:tr>
      <w:tr w14:paraId="6A3348AF">
        <w:tc>
          <w:tcPr>
            <w:tcW w:w="2337" w:type="dxa"/>
          </w:tcPr>
          <w:p w14:paraId="30045934">
            <w:pPr>
              <w:spacing w:after="0" w:line="240" w:lineRule="auto"/>
              <w:jc w:val="center"/>
            </w:pPr>
            <w:r>
              <w:rPr>
                <w:rFonts w:ascii="Times New Roman" w:hAnsi="Times New Roman" w:eastAsia="宋体" w:cs="Times New Roman"/>
                <w:b w:val="0"/>
                <w:sz w:val="24"/>
              </w:rPr>
              <w:t>password</w:t>
            </w:r>
          </w:p>
        </w:tc>
        <w:tc>
          <w:tcPr>
            <w:tcW w:w="2337" w:type="dxa"/>
          </w:tcPr>
          <w:p w14:paraId="3F33C468">
            <w:pPr>
              <w:spacing w:after="0" w:line="240" w:lineRule="auto"/>
              <w:jc w:val="center"/>
            </w:pPr>
            <w:r>
              <w:rPr>
                <w:rFonts w:ascii="Times New Roman" w:hAnsi="Times New Roman" w:eastAsia="宋体" w:cs="Times New Roman"/>
                <w:b w:val="0"/>
                <w:sz w:val="24"/>
              </w:rPr>
              <w:t>VARCHAR(100)</w:t>
            </w:r>
          </w:p>
        </w:tc>
        <w:tc>
          <w:tcPr>
            <w:tcW w:w="2337" w:type="dxa"/>
          </w:tcPr>
          <w:p w14:paraId="43E54EE3">
            <w:pPr>
              <w:spacing w:after="0" w:line="240" w:lineRule="auto"/>
              <w:jc w:val="center"/>
            </w:pPr>
            <w:r>
              <w:rPr>
                <w:rFonts w:ascii="Times New Roman" w:hAnsi="Times New Roman" w:eastAsia="宋体" w:cs="Times New Roman"/>
                <w:b w:val="0"/>
                <w:sz w:val="24"/>
              </w:rPr>
              <w:t>NOT NULL</w:t>
            </w:r>
          </w:p>
        </w:tc>
        <w:tc>
          <w:tcPr>
            <w:tcW w:w="2337" w:type="dxa"/>
          </w:tcPr>
          <w:p w14:paraId="450FE2F8">
            <w:pPr>
              <w:spacing w:after="0" w:line="240" w:lineRule="auto"/>
              <w:jc w:val="center"/>
            </w:pPr>
            <w:r>
              <w:rPr>
                <w:rFonts w:ascii="Times New Roman" w:hAnsi="Times New Roman" w:eastAsia="宋体" w:cs="Times New Roman"/>
                <w:b w:val="0"/>
                <w:sz w:val="24"/>
              </w:rPr>
              <w:t>加密口令</w:t>
            </w:r>
          </w:p>
        </w:tc>
      </w:tr>
      <w:tr w14:paraId="753C4018">
        <w:tc>
          <w:tcPr>
            <w:tcW w:w="2337" w:type="dxa"/>
          </w:tcPr>
          <w:p w14:paraId="038CF907">
            <w:pPr>
              <w:spacing w:after="0" w:line="240" w:lineRule="auto"/>
              <w:jc w:val="center"/>
            </w:pPr>
            <w:r>
              <w:rPr>
                <w:rFonts w:ascii="Times New Roman" w:hAnsi="Times New Roman" w:eastAsia="宋体" w:cs="Times New Roman"/>
                <w:b w:val="0"/>
                <w:sz w:val="24"/>
              </w:rPr>
              <w:t>real_name</w:t>
            </w:r>
          </w:p>
        </w:tc>
        <w:tc>
          <w:tcPr>
            <w:tcW w:w="2337" w:type="dxa"/>
          </w:tcPr>
          <w:p w14:paraId="55F6309F">
            <w:pPr>
              <w:spacing w:after="0" w:line="240" w:lineRule="auto"/>
              <w:jc w:val="center"/>
            </w:pPr>
            <w:r>
              <w:rPr>
                <w:rFonts w:ascii="Times New Roman" w:hAnsi="Times New Roman" w:eastAsia="宋体" w:cs="Times New Roman"/>
                <w:b w:val="0"/>
                <w:sz w:val="24"/>
              </w:rPr>
              <w:t>VARCHAR(50)</w:t>
            </w:r>
          </w:p>
        </w:tc>
        <w:tc>
          <w:tcPr>
            <w:tcW w:w="2337" w:type="dxa"/>
          </w:tcPr>
          <w:p w14:paraId="531688D8">
            <w:pPr>
              <w:spacing w:after="0" w:line="240" w:lineRule="auto"/>
              <w:jc w:val="center"/>
            </w:pPr>
            <w:r>
              <w:rPr>
                <w:rFonts w:ascii="Times New Roman" w:hAnsi="Times New Roman" w:eastAsia="宋体" w:cs="Times New Roman"/>
                <w:b w:val="0"/>
                <w:sz w:val="24"/>
              </w:rPr>
              <w:t>NULL</w:t>
            </w:r>
          </w:p>
        </w:tc>
        <w:tc>
          <w:tcPr>
            <w:tcW w:w="2337" w:type="dxa"/>
          </w:tcPr>
          <w:p w14:paraId="62407D3B">
            <w:pPr>
              <w:spacing w:after="0" w:line="240" w:lineRule="auto"/>
              <w:jc w:val="center"/>
            </w:pPr>
            <w:r>
              <w:rPr>
                <w:rFonts w:ascii="Times New Roman" w:hAnsi="Times New Roman" w:eastAsia="宋体" w:cs="Times New Roman"/>
                <w:b w:val="0"/>
                <w:sz w:val="24"/>
              </w:rPr>
              <w:t>真实姓名</w:t>
            </w:r>
          </w:p>
        </w:tc>
      </w:tr>
      <w:tr w14:paraId="249CD4CF">
        <w:tc>
          <w:tcPr>
            <w:tcW w:w="2337" w:type="dxa"/>
          </w:tcPr>
          <w:p w14:paraId="18A01E1E">
            <w:pPr>
              <w:spacing w:after="0" w:line="240" w:lineRule="auto"/>
              <w:jc w:val="center"/>
            </w:pPr>
            <w:r>
              <w:rPr>
                <w:rFonts w:ascii="Times New Roman" w:hAnsi="Times New Roman" w:eastAsia="宋体" w:cs="Times New Roman"/>
                <w:b w:val="0"/>
                <w:sz w:val="24"/>
              </w:rPr>
              <w:t>phone</w:t>
            </w:r>
          </w:p>
        </w:tc>
        <w:tc>
          <w:tcPr>
            <w:tcW w:w="2337" w:type="dxa"/>
          </w:tcPr>
          <w:p w14:paraId="55BA061F">
            <w:pPr>
              <w:spacing w:after="0" w:line="240" w:lineRule="auto"/>
              <w:jc w:val="center"/>
            </w:pPr>
            <w:r>
              <w:rPr>
                <w:rFonts w:ascii="Times New Roman" w:hAnsi="Times New Roman" w:eastAsia="宋体" w:cs="Times New Roman"/>
                <w:b w:val="0"/>
                <w:sz w:val="24"/>
              </w:rPr>
              <w:t>VARCHAR(20)</w:t>
            </w:r>
          </w:p>
        </w:tc>
        <w:tc>
          <w:tcPr>
            <w:tcW w:w="2337" w:type="dxa"/>
          </w:tcPr>
          <w:p w14:paraId="195D2043">
            <w:pPr>
              <w:spacing w:after="0" w:line="240" w:lineRule="auto"/>
              <w:jc w:val="center"/>
            </w:pPr>
            <w:r>
              <w:rPr>
                <w:rFonts w:ascii="Times New Roman" w:hAnsi="Times New Roman" w:eastAsia="宋体" w:cs="Times New Roman"/>
                <w:b w:val="0"/>
                <w:sz w:val="24"/>
              </w:rPr>
              <w:t>NULL</w:t>
            </w:r>
          </w:p>
        </w:tc>
        <w:tc>
          <w:tcPr>
            <w:tcW w:w="2337" w:type="dxa"/>
          </w:tcPr>
          <w:p w14:paraId="39636B04">
            <w:pPr>
              <w:spacing w:after="0" w:line="240" w:lineRule="auto"/>
              <w:jc w:val="center"/>
            </w:pPr>
            <w:r>
              <w:rPr>
                <w:rFonts w:ascii="Times New Roman" w:hAnsi="Times New Roman" w:eastAsia="宋体" w:cs="Times New Roman"/>
                <w:b w:val="0"/>
                <w:sz w:val="24"/>
              </w:rPr>
              <w:t>联系方式</w:t>
            </w:r>
          </w:p>
        </w:tc>
      </w:tr>
      <w:tr w14:paraId="2E793AA6">
        <w:tc>
          <w:tcPr>
            <w:tcW w:w="2337" w:type="dxa"/>
          </w:tcPr>
          <w:p w14:paraId="0EDE5A2F">
            <w:pPr>
              <w:spacing w:after="0" w:line="240" w:lineRule="auto"/>
              <w:jc w:val="center"/>
            </w:pPr>
            <w:r>
              <w:rPr>
                <w:rFonts w:ascii="Times New Roman" w:hAnsi="Times New Roman" w:eastAsia="宋体" w:cs="Times New Roman"/>
                <w:b w:val="0"/>
                <w:sz w:val="24"/>
              </w:rPr>
              <w:t>role</w:t>
            </w:r>
          </w:p>
        </w:tc>
        <w:tc>
          <w:tcPr>
            <w:tcW w:w="2337" w:type="dxa"/>
          </w:tcPr>
          <w:p w14:paraId="5D98438E">
            <w:pPr>
              <w:spacing w:after="0" w:line="240" w:lineRule="auto"/>
              <w:jc w:val="center"/>
            </w:pPr>
            <w:r>
              <w:rPr>
                <w:rFonts w:ascii="Times New Roman" w:hAnsi="Times New Roman" w:eastAsia="宋体" w:cs="Times New Roman"/>
                <w:b w:val="0"/>
                <w:sz w:val="24"/>
              </w:rPr>
              <w:t>VARCHAR(20)</w:t>
            </w:r>
          </w:p>
        </w:tc>
        <w:tc>
          <w:tcPr>
            <w:tcW w:w="2337" w:type="dxa"/>
          </w:tcPr>
          <w:p w14:paraId="5E379116">
            <w:pPr>
              <w:spacing w:after="0" w:line="240" w:lineRule="auto"/>
              <w:jc w:val="center"/>
            </w:pPr>
            <w:r>
              <w:rPr>
                <w:rFonts w:ascii="Times New Roman" w:hAnsi="Times New Roman" w:eastAsia="宋体" w:cs="Times New Roman"/>
                <w:b w:val="0"/>
                <w:sz w:val="24"/>
              </w:rPr>
              <w:t>NOT NULL</w:t>
            </w:r>
          </w:p>
        </w:tc>
        <w:tc>
          <w:tcPr>
            <w:tcW w:w="2337" w:type="dxa"/>
          </w:tcPr>
          <w:p w14:paraId="5CF6E5E4">
            <w:pPr>
              <w:spacing w:after="0" w:line="240" w:lineRule="auto"/>
              <w:jc w:val="center"/>
            </w:pPr>
            <w:r>
              <w:rPr>
                <w:rFonts w:ascii="Times New Roman" w:hAnsi="Times New Roman" w:eastAsia="宋体" w:cs="Times New Roman"/>
                <w:b w:val="0"/>
                <w:sz w:val="24"/>
              </w:rPr>
              <w:t>角色标识</w:t>
            </w:r>
          </w:p>
        </w:tc>
      </w:tr>
      <w:tr w14:paraId="098C6A81">
        <w:tc>
          <w:tcPr>
            <w:tcW w:w="2337" w:type="dxa"/>
          </w:tcPr>
          <w:p w14:paraId="3B9C4D4E">
            <w:pPr>
              <w:spacing w:after="0" w:line="240" w:lineRule="auto"/>
              <w:jc w:val="center"/>
            </w:pPr>
            <w:r>
              <w:rPr>
                <w:rFonts w:ascii="Times New Roman" w:hAnsi="Times New Roman" w:eastAsia="宋体" w:cs="Times New Roman"/>
                <w:b w:val="0"/>
                <w:sz w:val="24"/>
              </w:rPr>
              <w:t>status</w:t>
            </w:r>
          </w:p>
        </w:tc>
        <w:tc>
          <w:tcPr>
            <w:tcW w:w="2337" w:type="dxa"/>
          </w:tcPr>
          <w:p w14:paraId="1A5CB277">
            <w:pPr>
              <w:spacing w:after="0" w:line="240" w:lineRule="auto"/>
              <w:jc w:val="center"/>
            </w:pPr>
            <w:r>
              <w:rPr>
                <w:rFonts w:ascii="Times New Roman" w:hAnsi="Times New Roman" w:eastAsia="宋体" w:cs="Times New Roman"/>
                <w:b w:val="0"/>
                <w:sz w:val="24"/>
              </w:rPr>
              <w:t>TINYINT</w:t>
            </w:r>
          </w:p>
        </w:tc>
        <w:tc>
          <w:tcPr>
            <w:tcW w:w="2337" w:type="dxa"/>
          </w:tcPr>
          <w:p w14:paraId="657852ED">
            <w:pPr>
              <w:spacing w:after="0" w:line="240" w:lineRule="auto"/>
              <w:jc w:val="center"/>
            </w:pPr>
            <w:r>
              <w:rPr>
                <w:rFonts w:ascii="Times New Roman" w:hAnsi="Times New Roman" w:eastAsia="宋体" w:cs="Times New Roman"/>
                <w:b w:val="0"/>
                <w:sz w:val="24"/>
              </w:rPr>
              <w:t>NOT NULL</w:t>
            </w:r>
          </w:p>
        </w:tc>
        <w:tc>
          <w:tcPr>
            <w:tcW w:w="2337" w:type="dxa"/>
          </w:tcPr>
          <w:p w14:paraId="2F70510A">
            <w:pPr>
              <w:spacing w:after="0" w:line="240" w:lineRule="auto"/>
              <w:jc w:val="center"/>
            </w:pPr>
            <w:r>
              <w:rPr>
                <w:rFonts w:ascii="Times New Roman" w:hAnsi="Times New Roman" w:eastAsia="宋体" w:cs="Times New Roman"/>
                <w:b w:val="0"/>
                <w:sz w:val="24"/>
              </w:rPr>
              <w:t>账号状态</w:t>
            </w:r>
          </w:p>
        </w:tc>
      </w:tr>
      <w:tr w14:paraId="7553C0D7">
        <w:tc>
          <w:tcPr>
            <w:tcW w:w="2337" w:type="dxa"/>
          </w:tcPr>
          <w:p w14:paraId="1D03EE01">
            <w:pPr>
              <w:spacing w:after="0" w:line="240" w:lineRule="auto"/>
              <w:jc w:val="center"/>
            </w:pPr>
            <w:r>
              <w:rPr>
                <w:rFonts w:ascii="Times New Roman" w:hAnsi="Times New Roman" w:eastAsia="宋体" w:cs="Times New Roman"/>
                <w:b w:val="0"/>
                <w:sz w:val="24"/>
              </w:rPr>
              <w:t>create_time</w:t>
            </w:r>
          </w:p>
        </w:tc>
        <w:tc>
          <w:tcPr>
            <w:tcW w:w="2337" w:type="dxa"/>
          </w:tcPr>
          <w:p w14:paraId="4BE50D4E">
            <w:pPr>
              <w:spacing w:after="0" w:line="240" w:lineRule="auto"/>
              <w:jc w:val="center"/>
            </w:pPr>
            <w:r>
              <w:rPr>
                <w:rFonts w:ascii="Times New Roman" w:hAnsi="Times New Roman" w:eastAsia="宋体" w:cs="Times New Roman"/>
                <w:b w:val="0"/>
                <w:sz w:val="24"/>
              </w:rPr>
              <w:t>DATETIME</w:t>
            </w:r>
          </w:p>
        </w:tc>
        <w:tc>
          <w:tcPr>
            <w:tcW w:w="2337" w:type="dxa"/>
          </w:tcPr>
          <w:p w14:paraId="4BAF1970">
            <w:pPr>
              <w:spacing w:after="0" w:line="240" w:lineRule="auto"/>
              <w:jc w:val="center"/>
            </w:pPr>
            <w:r>
              <w:rPr>
                <w:rFonts w:ascii="Times New Roman" w:hAnsi="Times New Roman" w:eastAsia="宋体" w:cs="Times New Roman"/>
                <w:b w:val="0"/>
                <w:sz w:val="24"/>
              </w:rPr>
              <w:t>NOT NULL</w:t>
            </w:r>
          </w:p>
        </w:tc>
        <w:tc>
          <w:tcPr>
            <w:tcW w:w="2337" w:type="dxa"/>
          </w:tcPr>
          <w:p w14:paraId="09A01D87">
            <w:pPr>
              <w:spacing w:after="0" w:line="240" w:lineRule="auto"/>
              <w:jc w:val="center"/>
            </w:pPr>
            <w:r>
              <w:rPr>
                <w:rFonts w:ascii="Times New Roman" w:hAnsi="Times New Roman" w:eastAsia="宋体" w:cs="Times New Roman"/>
                <w:b w:val="0"/>
                <w:sz w:val="24"/>
              </w:rPr>
              <w:t>创建时间</w:t>
            </w:r>
          </w:p>
        </w:tc>
      </w:tr>
    </w:tbl>
    <w:p w14:paraId="7E6EF621">
      <w:pPr>
        <w:spacing w:before="0" w:after="0" w:line="360" w:lineRule="auto"/>
        <w:ind w:firstLine="480"/>
      </w:pPr>
      <w:r>
        <w:rPr>
          <w:rFonts w:ascii="Times New Roman" w:hAnsi="Times New Roman" w:eastAsia="宋体" w:cs="Times New Roman"/>
          <w:b w:val="0"/>
          <w:sz w:val="24"/>
        </w:rPr>
        <w:t>简述：t_user 用于管理身份认证与角色授权，是权限控制链路的入口表[8][15]。</w:t>
      </w:r>
    </w:p>
    <w:p w14:paraId="6D4AB6E8">
      <w:pPr>
        <w:spacing w:before="120" w:after="120" w:line="360" w:lineRule="auto"/>
        <w:ind w:firstLine="0"/>
        <w:jc w:val="center"/>
      </w:pPr>
      <w:r>
        <w:rPr>
          <w:rFonts w:ascii="Times New Roman" w:hAnsi="Times New Roman" w:eastAsia="宋体" w:cs="Times New Roman"/>
          <w:b w:val="0"/>
          <w:sz w:val="24"/>
        </w:rPr>
        <w:t>表3-3 t_donation 捐赠记录表</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37"/>
        <w:gridCol w:w="2337"/>
        <w:gridCol w:w="2337"/>
        <w:gridCol w:w="2337"/>
      </w:tblGrid>
      <w:tr w14:paraId="39BD0651">
        <w:tc>
          <w:tcPr>
            <w:tcW w:w="2337" w:type="dxa"/>
          </w:tcPr>
          <w:p w14:paraId="64259884">
            <w:pPr>
              <w:spacing w:after="0" w:line="240" w:lineRule="auto"/>
              <w:jc w:val="center"/>
            </w:pPr>
            <w:r>
              <w:rPr>
                <w:rFonts w:ascii="Times New Roman" w:hAnsi="Times New Roman" w:eastAsia="宋体" w:cs="Times New Roman"/>
                <w:b/>
                <w:sz w:val="24"/>
              </w:rPr>
              <w:t>字段名</w:t>
            </w:r>
          </w:p>
        </w:tc>
        <w:tc>
          <w:tcPr>
            <w:tcW w:w="2337" w:type="dxa"/>
          </w:tcPr>
          <w:p w14:paraId="28D20846">
            <w:pPr>
              <w:spacing w:after="0" w:line="240" w:lineRule="auto"/>
              <w:jc w:val="center"/>
            </w:pPr>
            <w:r>
              <w:rPr>
                <w:rFonts w:ascii="Times New Roman" w:hAnsi="Times New Roman" w:eastAsia="宋体" w:cs="Times New Roman"/>
                <w:b/>
                <w:sz w:val="24"/>
              </w:rPr>
              <w:t>类型</w:t>
            </w:r>
          </w:p>
        </w:tc>
        <w:tc>
          <w:tcPr>
            <w:tcW w:w="2337" w:type="dxa"/>
          </w:tcPr>
          <w:p w14:paraId="17DAE614">
            <w:pPr>
              <w:spacing w:after="0" w:line="240" w:lineRule="auto"/>
              <w:jc w:val="center"/>
            </w:pPr>
            <w:r>
              <w:rPr>
                <w:rFonts w:ascii="Times New Roman" w:hAnsi="Times New Roman" w:eastAsia="宋体" w:cs="Times New Roman"/>
                <w:b/>
                <w:sz w:val="24"/>
              </w:rPr>
              <w:t>约束</w:t>
            </w:r>
          </w:p>
        </w:tc>
        <w:tc>
          <w:tcPr>
            <w:tcW w:w="2337" w:type="dxa"/>
          </w:tcPr>
          <w:p w14:paraId="197146EF">
            <w:pPr>
              <w:spacing w:after="0" w:line="240" w:lineRule="auto"/>
              <w:jc w:val="center"/>
            </w:pPr>
            <w:r>
              <w:rPr>
                <w:rFonts w:ascii="Times New Roman" w:hAnsi="Times New Roman" w:eastAsia="宋体" w:cs="Times New Roman"/>
                <w:b/>
                <w:sz w:val="24"/>
              </w:rPr>
              <w:t>说明</w:t>
            </w:r>
          </w:p>
        </w:tc>
      </w:tr>
      <w:tr w14:paraId="4CF83125">
        <w:tc>
          <w:tcPr>
            <w:tcW w:w="2337" w:type="dxa"/>
          </w:tcPr>
          <w:p w14:paraId="03F2E9A4">
            <w:pPr>
              <w:spacing w:after="0" w:line="240" w:lineRule="auto"/>
              <w:jc w:val="center"/>
            </w:pPr>
            <w:r>
              <w:rPr>
                <w:rFonts w:ascii="Times New Roman" w:hAnsi="Times New Roman" w:eastAsia="宋体" w:cs="Times New Roman"/>
                <w:b w:val="0"/>
                <w:sz w:val="24"/>
              </w:rPr>
              <w:t>id</w:t>
            </w:r>
          </w:p>
        </w:tc>
        <w:tc>
          <w:tcPr>
            <w:tcW w:w="2337" w:type="dxa"/>
          </w:tcPr>
          <w:p w14:paraId="4FF8B61B">
            <w:pPr>
              <w:spacing w:after="0" w:line="240" w:lineRule="auto"/>
              <w:jc w:val="center"/>
            </w:pPr>
            <w:r>
              <w:rPr>
                <w:rFonts w:ascii="Times New Roman" w:hAnsi="Times New Roman" w:eastAsia="宋体" w:cs="Times New Roman"/>
                <w:b w:val="0"/>
                <w:sz w:val="24"/>
              </w:rPr>
              <w:t>BIGINT</w:t>
            </w:r>
          </w:p>
        </w:tc>
        <w:tc>
          <w:tcPr>
            <w:tcW w:w="2337" w:type="dxa"/>
          </w:tcPr>
          <w:p w14:paraId="54058CB5">
            <w:pPr>
              <w:spacing w:after="0" w:line="240" w:lineRule="auto"/>
              <w:jc w:val="center"/>
            </w:pPr>
            <w:r>
              <w:rPr>
                <w:rFonts w:ascii="Times New Roman" w:hAnsi="Times New Roman" w:eastAsia="宋体" w:cs="Times New Roman"/>
                <w:b w:val="0"/>
                <w:sz w:val="24"/>
              </w:rPr>
              <w:t>PK, NOT NULL</w:t>
            </w:r>
          </w:p>
        </w:tc>
        <w:tc>
          <w:tcPr>
            <w:tcW w:w="2337" w:type="dxa"/>
          </w:tcPr>
          <w:p w14:paraId="3CE61D9B">
            <w:pPr>
              <w:spacing w:after="0" w:line="240" w:lineRule="auto"/>
              <w:jc w:val="center"/>
            </w:pPr>
            <w:r>
              <w:rPr>
                <w:rFonts w:ascii="Times New Roman" w:hAnsi="Times New Roman" w:eastAsia="宋体" w:cs="Times New Roman"/>
                <w:b w:val="0"/>
                <w:sz w:val="24"/>
              </w:rPr>
              <w:t>预约主键</w:t>
            </w:r>
          </w:p>
        </w:tc>
      </w:tr>
      <w:tr w14:paraId="4702B0EB">
        <w:tc>
          <w:tcPr>
            <w:tcW w:w="2337" w:type="dxa"/>
          </w:tcPr>
          <w:p w14:paraId="2F26BFF6">
            <w:pPr>
              <w:spacing w:after="0" w:line="240" w:lineRule="auto"/>
              <w:jc w:val="center"/>
            </w:pPr>
            <w:r>
              <w:rPr>
                <w:rFonts w:ascii="Times New Roman" w:hAnsi="Times New Roman" w:eastAsia="宋体" w:cs="Times New Roman"/>
                <w:b w:val="0"/>
                <w:sz w:val="24"/>
              </w:rPr>
              <w:t>user_id</w:t>
            </w:r>
          </w:p>
        </w:tc>
        <w:tc>
          <w:tcPr>
            <w:tcW w:w="2337" w:type="dxa"/>
          </w:tcPr>
          <w:p w14:paraId="085A20E6">
            <w:pPr>
              <w:spacing w:after="0" w:line="240" w:lineRule="auto"/>
              <w:jc w:val="center"/>
            </w:pPr>
            <w:r>
              <w:rPr>
                <w:rFonts w:ascii="Times New Roman" w:hAnsi="Times New Roman" w:eastAsia="宋体" w:cs="Times New Roman"/>
                <w:b w:val="0"/>
                <w:sz w:val="24"/>
              </w:rPr>
              <w:t>BIGINT</w:t>
            </w:r>
          </w:p>
        </w:tc>
        <w:tc>
          <w:tcPr>
            <w:tcW w:w="2337" w:type="dxa"/>
          </w:tcPr>
          <w:p w14:paraId="2FBA55E1">
            <w:pPr>
              <w:spacing w:after="0" w:line="240" w:lineRule="auto"/>
              <w:jc w:val="center"/>
            </w:pPr>
            <w:r>
              <w:rPr>
                <w:rFonts w:ascii="Times New Roman" w:hAnsi="Times New Roman" w:eastAsia="宋体" w:cs="Times New Roman"/>
                <w:b w:val="0"/>
                <w:sz w:val="24"/>
              </w:rPr>
              <w:t>FK, NOT NULL</w:t>
            </w:r>
          </w:p>
        </w:tc>
        <w:tc>
          <w:tcPr>
            <w:tcW w:w="2337" w:type="dxa"/>
          </w:tcPr>
          <w:p w14:paraId="2393E0B7">
            <w:pPr>
              <w:spacing w:after="0" w:line="240" w:lineRule="auto"/>
              <w:jc w:val="center"/>
            </w:pPr>
            <w:r>
              <w:rPr>
                <w:rFonts w:ascii="Times New Roman" w:hAnsi="Times New Roman" w:eastAsia="宋体" w:cs="Times New Roman"/>
                <w:b w:val="0"/>
                <w:sz w:val="24"/>
              </w:rPr>
              <w:t>捐赠者编号</w:t>
            </w:r>
          </w:p>
        </w:tc>
      </w:tr>
      <w:tr w14:paraId="3C0BFF80">
        <w:tc>
          <w:tcPr>
            <w:tcW w:w="2337" w:type="dxa"/>
          </w:tcPr>
          <w:p w14:paraId="39710851">
            <w:pPr>
              <w:spacing w:after="0" w:line="240" w:lineRule="auto"/>
              <w:jc w:val="center"/>
            </w:pPr>
            <w:r>
              <w:rPr>
                <w:rFonts w:ascii="Times New Roman" w:hAnsi="Times New Roman" w:eastAsia="宋体" w:cs="Times New Roman"/>
                <w:b w:val="0"/>
                <w:sz w:val="24"/>
              </w:rPr>
              <w:t>appointment_code</w:t>
            </w:r>
          </w:p>
        </w:tc>
        <w:tc>
          <w:tcPr>
            <w:tcW w:w="2337" w:type="dxa"/>
          </w:tcPr>
          <w:p w14:paraId="253BF810">
            <w:pPr>
              <w:spacing w:after="0" w:line="240" w:lineRule="auto"/>
              <w:jc w:val="center"/>
            </w:pPr>
            <w:r>
              <w:rPr>
                <w:rFonts w:ascii="Times New Roman" w:hAnsi="Times New Roman" w:eastAsia="宋体" w:cs="Times New Roman"/>
                <w:b w:val="0"/>
                <w:sz w:val="24"/>
              </w:rPr>
              <w:t>VARCHAR(64)</w:t>
            </w:r>
          </w:p>
        </w:tc>
        <w:tc>
          <w:tcPr>
            <w:tcW w:w="2337" w:type="dxa"/>
          </w:tcPr>
          <w:p w14:paraId="62971CEE">
            <w:pPr>
              <w:spacing w:after="0" w:line="240" w:lineRule="auto"/>
              <w:jc w:val="center"/>
            </w:pPr>
            <w:r>
              <w:rPr>
                <w:rFonts w:ascii="Times New Roman" w:hAnsi="Times New Roman" w:eastAsia="宋体" w:cs="Times New Roman"/>
                <w:b w:val="0"/>
                <w:sz w:val="24"/>
              </w:rPr>
              <w:t>UNIQUE, NOT NULL</w:t>
            </w:r>
          </w:p>
        </w:tc>
        <w:tc>
          <w:tcPr>
            <w:tcW w:w="2337" w:type="dxa"/>
          </w:tcPr>
          <w:p w14:paraId="043105FB">
            <w:pPr>
              <w:spacing w:after="0" w:line="240" w:lineRule="auto"/>
              <w:jc w:val="center"/>
            </w:pPr>
            <w:r>
              <w:rPr>
                <w:rFonts w:ascii="Times New Roman" w:hAnsi="Times New Roman" w:eastAsia="宋体" w:cs="Times New Roman"/>
                <w:b w:val="0"/>
                <w:sz w:val="24"/>
              </w:rPr>
              <w:t>预约码</w:t>
            </w:r>
          </w:p>
        </w:tc>
      </w:tr>
      <w:tr w14:paraId="14249B23">
        <w:tc>
          <w:tcPr>
            <w:tcW w:w="2337" w:type="dxa"/>
          </w:tcPr>
          <w:p w14:paraId="2E5DA9F4">
            <w:pPr>
              <w:spacing w:after="0" w:line="240" w:lineRule="auto"/>
              <w:jc w:val="center"/>
            </w:pPr>
            <w:r>
              <w:rPr>
                <w:rFonts w:ascii="Times New Roman" w:hAnsi="Times New Roman" w:eastAsia="宋体" w:cs="Times New Roman"/>
                <w:b w:val="0"/>
                <w:sz w:val="24"/>
              </w:rPr>
              <w:t>collection_point_id</w:t>
            </w:r>
          </w:p>
        </w:tc>
        <w:tc>
          <w:tcPr>
            <w:tcW w:w="2337" w:type="dxa"/>
          </w:tcPr>
          <w:p w14:paraId="47FF0B90">
            <w:pPr>
              <w:spacing w:after="0" w:line="240" w:lineRule="auto"/>
              <w:jc w:val="center"/>
            </w:pPr>
            <w:r>
              <w:rPr>
                <w:rFonts w:ascii="Times New Roman" w:hAnsi="Times New Roman" w:eastAsia="宋体" w:cs="Times New Roman"/>
                <w:b w:val="0"/>
                <w:sz w:val="24"/>
              </w:rPr>
              <w:t>BIGINT</w:t>
            </w:r>
          </w:p>
        </w:tc>
        <w:tc>
          <w:tcPr>
            <w:tcW w:w="2337" w:type="dxa"/>
          </w:tcPr>
          <w:p w14:paraId="70AEB8E2">
            <w:pPr>
              <w:spacing w:after="0" w:line="240" w:lineRule="auto"/>
              <w:jc w:val="center"/>
            </w:pPr>
            <w:r>
              <w:rPr>
                <w:rFonts w:ascii="Times New Roman" w:hAnsi="Times New Roman" w:eastAsia="宋体" w:cs="Times New Roman"/>
                <w:b w:val="0"/>
                <w:sz w:val="24"/>
              </w:rPr>
              <w:t>FK, NOT NULL</w:t>
            </w:r>
          </w:p>
        </w:tc>
        <w:tc>
          <w:tcPr>
            <w:tcW w:w="2337" w:type="dxa"/>
          </w:tcPr>
          <w:p w14:paraId="526D35A6">
            <w:pPr>
              <w:spacing w:after="0" w:line="240" w:lineRule="auto"/>
              <w:jc w:val="center"/>
            </w:pPr>
            <w:r>
              <w:rPr>
                <w:rFonts w:ascii="Times New Roman" w:hAnsi="Times New Roman" w:eastAsia="宋体" w:cs="Times New Roman"/>
                <w:b w:val="0"/>
                <w:sz w:val="24"/>
              </w:rPr>
              <w:t>回收点编号</w:t>
            </w:r>
          </w:p>
        </w:tc>
      </w:tr>
      <w:tr w14:paraId="00BA6F57">
        <w:tc>
          <w:tcPr>
            <w:tcW w:w="2337" w:type="dxa"/>
          </w:tcPr>
          <w:p w14:paraId="524D5127">
            <w:pPr>
              <w:spacing w:after="0" w:line="240" w:lineRule="auto"/>
              <w:jc w:val="center"/>
            </w:pPr>
            <w:r>
              <w:rPr>
                <w:rFonts w:ascii="Times New Roman" w:hAnsi="Times New Roman" w:eastAsia="宋体" w:cs="Times New Roman"/>
                <w:b w:val="0"/>
                <w:sz w:val="24"/>
              </w:rPr>
              <w:t>appointment_time</w:t>
            </w:r>
          </w:p>
        </w:tc>
        <w:tc>
          <w:tcPr>
            <w:tcW w:w="2337" w:type="dxa"/>
          </w:tcPr>
          <w:p w14:paraId="23339473">
            <w:pPr>
              <w:spacing w:after="0" w:line="240" w:lineRule="auto"/>
              <w:jc w:val="center"/>
            </w:pPr>
            <w:r>
              <w:rPr>
                <w:rFonts w:ascii="Times New Roman" w:hAnsi="Times New Roman" w:eastAsia="宋体" w:cs="Times New Roman"/>
                <w:b w:val="0"/>
                <w:sz w:val="24"/>
              </w:rPr>
              <w:t>DATETIME</w:t>
            </w:r>
          </w:p>
        </w:tc>
        <w:tc>
          <w:tcPr>
            <w:tcW w:w="2337" w:type="dxa"/>
          </w:tcPr>
          <w:p w14:paraId="2C636A39">
            <w:pPr>
              <w:spacing w:after="0" w:line="240" w:lineRule="auto"/>
              <w:jc w:val="center"/>
            </w:pPr>
            <w:r>
              <w:rPr>
                <w:rFonts w:ascii="Times New Roman" w:hAnsi="Times New Roman" w:eastAsia="宋体" w:cs="Times New Roman"/>
                <w:b w:val="0"/>
                <w:sz w:val="24"/>
              </w:rPr>
              <w:t>NOT NULL</w:t>
            </w:r>
          </w:p>
        </w:tc>
        <w:tc>
          <w:tcPr>
            <w:tcW w:w="2337" w:type="dxa"/>
          </w:tcPr>
          <w:p w14:paraId="2122D797">
            <w:pPr>
              <w:spacing w:after="0" w:line="240" w:lineRule="auto"/>
              <w:jc w:val="center"/>
            </w:pPr>
            <w:r>
              <w:rPr>
                <w:rFonts w:ascii="Times New Roman" w:hAnsi="Times New Roman" w:eastAsia="宋体" w:cs="Times New Roman"/>
                <w:b w:val="0"/>
                <w:sz w:val="24"/>
              </w:rPr>
              <w:t>预约时间</w:t>
            </w:r>
          </w:p>
        </w:tc>
      </w:tr>
      <w:tr w14:paraId="4D0DF1D5">
        <w:tc>
          <w:tcPr>
            <w:tcW w:w="2337" w:type="dxa"/>
          </w:tcPr>
          <w:p w14:paraId="0C04AF82">
            <w:pPr>
              <w:spacing w:after="0" w:line="240" w:lineRule="auto"/>
              <w:jc w:val="center"/>
            </w:pPr>
            <w:r>
              <w:rPr>
                <w:rFonts w:ascii="Times New Roman" w:hAnsi="Times New Roman" w:eastAsia="宋体" w:cs="Times New Roman"/>
                <w:b w:val="0"/>
                <w:sz w:val="24"/>
              </w:rPr>
              <w:t>item_summary</w:t>
            </w:r>
          </w:p>
        </w:tc>
        <w:tc>
          <w:tcPr>
            <w:tcW w:w="2337" w:type="dxa"/>
          </w:tcPr>
          <w:p w14:paraId="744FFD68">
            <w:pPr>
              <w:spacing w:after="0" w:line="240" w:lineRule="auto"/>
              <w:jc w:val="center"/>
            </w:pPr>
            <w:r>
              <w:rPr>
                <w:rFonts w:ascii="Times New Roman" w:hAnsi="Times New Roman" w:eastAsia="宋体" w:cs="Times New Roman"/>
                <w:b w:val="0"/>
                <w:sz w:val="24"/>
              </w:rPr>
              <w:t>VARCHAR(500)</w:t>
            </w:r>
          </w:p>
        </w:tc>
        <w:tc>
          <w:tcPr>
            <w:tcW w:w="2337" w:type="dxa"/>
          </w:tcPr>
          <w:p w14:paraId="21F6C39B">
            <w:pPr>
              <w:spacing w:after="0" w:line="240" w:lineRule="auto"/>
              <w:jc w:val="center"/>
            </w:pPr>
            <w:r>
              <w:rPr>
                <w:rFonts w:ascii="Times New Roman" w:hAnsi="Times New Roman" w:eastAsia="宋体" w:cs="Times New Roman"/>
                <w:b w:val="0"/>
                <w:sz w:val="24"/>
              </w:rPr>
              <w:t>NULL</w:t>
            </w:r>
          </w:p>
        </w:tc>
        <w:tc>
          <w:tcPr>
            <w:tcW w:w="2337" w:type="dxa"/>
          </w:tcPr>
          <w:p w14:paraId="223DD7A0">
            <w:pPr>
              <w:spacing w:after="0" w:line="240" w:lineRule="auto"/>
              <w:jc w:val="center"/>
            </w:pPr>
            <w:r>
              <w:rPr>
                <w:rFonts w:ascii="Times New Roman" w:hAnsi="Times New Roman" w:eastAsia="宋体" w:cs="Times New Roman"/>
                <w:b w:val="0"/>
                <w:sz w:val="24"/>
              </w:rPr>
              <w:t>旧物概述</w:t>
            </w:r>
          </w:p>
        </w:tc>
      </w:tr>
      <w:tr w14:paraId="51FAC76D">
        <w:tc>
          <w:tcPr>
            <w:tcW w:w="2337" w:type="dxa"/>
          </w:tcPr>
          <w:p w14:paraId="3781E9DC">
            <w:pPr>
              <w:spacing w:after="0" w:line="240" w:lineRule="auto"/>
              <w:jc w:val="center"/>
            </w:pPr>
            <w:r>
              <w:rPr>
                <w:rFonts w:ascii="Times New Roman" w:hAnsi="Times New Roman" w:eastAsia="宋体" w:cs="Times New Roman"/>
                <w:b w:val="0"/>
                <w:sz w:val="24"/>
              </w:rPr>
              <w:t>status</w:t>
            </w:r>
          </w:p>
        </w:tc>
        <w:tc>
          <w:tcPr>
            <w:tcW w:w="2337" w:type="dxa"/>
          </w:tcPr>
          <w:p w14:paraId="32F958C1">
            <w:pPr>
              <w:spacing w:after="0" w:line="240" w:lineRule="auto"/>
              <w:jc w:val="center"/>
            </w:pPr>
            <w:r>
              <w:rPr>
                <w:rFonts w:ascii="Times New Roman" w:hAnsi="Times New Roman" w:eastAsia="宋体" w:cs="Times New Roman"/>
                <w:b w:val="0"/>
                <w:sz w:val="24"/>
              </w:rPr>
              <w:t>VARCHAR(20)</w:t>
            </w:r>
          </w:p>
        </w:tc>
        <w:tc>
          <w:tcPr>
            <w:tcW w:w="2337" w:type="dxa"/>
          </w:tcPr>
          <w:p w14:paraId="4F7F6604">
            <w:pPr>
              <w:spacing w:after="0" w:line="240" w:lineRule="auto"/>
              <w:jc w:val="center"/>
            </w:pPr>
            <w:r>
              <w:rPr>
                <w:rFonts w:ascii="Times New Roman" w:hAnsi="Times New Roman" w:eastAsia="宋体" w:cs="Times New Roman"/>
                <w:b w:val="0"/>
                <w:sz w:val="24"/>
              </w:rPr>
              <w:t>NOT NULL</w:t>
            </w:r>
          </w:p>
        </w:tc>
        <w:tc>
          <w:tcPr>
            <w:tcW w:w="2337" w:type="dxa"/>
          </w:tcPr>
          <w:p w14:paraId="5DC02D17">
            <w:pPr>
              <w:spacing w:after="0" w:line="240" w:lineRule="auto"/>
              <w:jc w:val="center"/>
            </w:pPr>
            <w:r>
              <w:rPr>
                <w:rFonts w:ascii="Times New Roman" w:hAnsi="Times New Roman" w:eastAsia="宋体" w:cs="Times New Roman"/>
                <w:b w:val="0"/>
                <w:sz w:val="24"/>
              </w:rPr>
              <w:t>预约状态</w:t>
            </w:r>
          </w:p>
        </w:tc>
      </w:tr>
      <w:tr w14:paraId="23817AA6">
        <w:tc>
          <w:tcPr>
            <w:tcW w:w="2337" w:type="dxa"/>
          </w:tcPr>
          <w:p w14:paraId="2668AB66">
            <w:pPr>
              <w:spacing w:after="0" w:line="240" w:lineRule="auto"/>
              <w:jc w:val="center"/>
            </w:pPr>
            <w:r>
              <w:rPr>
                <w:rFonts w:ascii="Times New Roman" w:hAnsi="Times New Roman" w:eastAsia="宋体" w:cs="Times New Roman"/>
                <w:b w:val="0"/>
                <w:sz w:val="24"/>
              </w:rPr>
              <w:t>remark</w:t>
            </w:r>
          </w:p>
        </w:tc>
        <w:tc>
          <w:tcPr>
            <w:tcW w:w="2337" w:type="dxa"/>
          </w:tcPr>
          <w:p w14:paraId="521214E6">
            <w:pPr>
              <w:spacing w:after="0" w:line="240" w:lineRule="auto"/>
              <w:jc w:val="center"/>
            </w:pPr>
            <w:r>
              <w:rPr>
                <w:rFonts w:ascii="Times New Roman" w:hAnsi="Times New Roman" w:eastAsia="宋体" w:cs="Times New Roman"/>
                <w:b w:val="0"/>
                <w:sz w:val="24"/>
              </w:rPr>
              <w:t>VARCHAR(500)</w:t>
            </w:r>
          </w:p>
        </w:tc>
        <w:tc>
          <w:tcPr>
            <w:tcW w:w="2337" w:type="dxa"/>
          </w:tcPr>
          <w:p w14:paraId="4B3170F8">
            <w:pPr>
              <w:spacing w:after="0" w:line="240" w:lineRule="auto"/>
              <w:jc w:val="center"/>
            </w:pPr>
            <w:r>
              <w:rPr>
                <w:rFonts w:ascii="Times New Roman" w:hAnsi="Times New Roman" w:eastAsia="宋体" w:cs="Times New Roman"/>
                <w:b w:val="0"/>
                <w:sz w:val="24"/>
              </w:rPr>
              <w:t>NULL</w:t>
            </w:r>
          </w:p>
        </w:tc>
        <w:tc>
          <w:tcPr>
            <w:tcW w:w="2337" w:type="dxa"/>
          </w:tcPr>
          <w:p w14:paraId="414C72A0">
            <w:pPr>
              <w:spacing w:after="0" w:line="240" w:lineRule="auto"/>
              <w:jc w:val="center"/>
            </w:pPr>
            <w:r>
              <w:rPr>
                <w:rFonts w:ascii="Times New Roman" w:hAnsi="Times New Roman" w:eastAsia="宋体" w:cs="Times New Roman"/>
                <w:b w:val="0"/>
                <w:sz w:val="24"/>
              </w:rPr>
              <w:t>备注</w:t>
            </w:r>
          </w:p>
        </w:tc>
      </w:tr>
      <w:tr w14:paraId="33A7462F">
        <w:tc>
          <w:tcPr>
            <w:tcW w:w="2337" w:type="dxa"/>
          </w:tcPr>
          <w:p w14:paraId="6649F169">
            <w:pPr>
              <w:spacing w:after="0" w:line="240" w:lineRule="auto"/>
              <w:jc w:val="center"/>
            </w:pPr>
            <w:r>
              <w:rPr>
                <w:rFonts w:ascii="Times New Roman" w:hAnsi="Times New Roman" w:eastAsia="宋体" w:cs="Times New Roman"/>
                <w:b w:val="0"/>
                <w:sz w:val="24"/>
              </w:rPr>
              <w:t>create_time</w:t>
            </w:r>
          </w:p>
        </w:tc>
        <w:tc>
          <w:tcPr>
            <w:tcW w:w="2337" w:type="dxa"/>
          </w:tcPr>
          <w:p w14:paraId="301CDA55">
            <w:pPr>
              <w:spacing w:after="0" w:line="240" w:lineRule="auto"/>
              <w:jc w:val="center"/>
            </w:pPr>
            <w:r>
              <w:rPr>
                <w:rFonts w:ascii="Times New Roman" w:hAnsi="Times New Roman" w:eastAsia="宋体" w:cs="Times New Roman"/>
                <w:b w:val="0"/>
                <w:sz w:val="24"/>
              </w:rPr>
              <w:t>DATETIME</w:t>
            </w:r>
          </w:p>
        </w:tc>
        <w:tc>
          <w:tcPr>
            <w:tcW w:w="2337" w:type="dxa"/>
          </w:tcPr>
          <w:p w14:paraId="545EA797">
            <w:pPr>
              <w:spacing w:after="0" w:line="240" w:lineRule="auto"/>
              <w:jc w:val="center"/>
            </w:pPr>
            <w:r>
              <w:rPr>
                <w:rFonts w:ascii="Times New Roman" w:hAnsi="Times New Roman" w:eastAsia="宋体" w:cs="Times New Roman"/>
                <w:b w:val="0"/>
                <w:sz w:val="24"/>
              </w:rPr>
              <w:t>NOT NULL</w:t>
            </w:r>
          </w:p>
        </w:tc>
        <w:tc>
          <w:tcPr>
            <w:tcW w:w="2337" w:type="dxa"/>
          </w:tcPr>
          <w:p w14:paraId="057B5462">
            <w:pPr>
              <w:spacing w:after="0" w:line="240" w:lineRule="auto"/>
              <w:jc w:val="center"/>
            </w:pPr>
            <w:r>
              <w:rPr>
                <w:rFonts w:ascii="Times New Roman" w:hAnsi="Times New Roman" w:eastAsia="宋体" w:cs="Times New Roman"/>
                <w:b w:val="0"/>
                <w:sz w:val="24"/>
              </w:rPr>
              <w:t>创建时间</w:t>
            </w:r>
          </w:p>
        </w:tc>
      </w:tr>
    </w:tbl>
    <w:p w14:paraId="6CBC6A5F">
      <w:pPr>
        <w:spacing w:before="0" w:after="0" w:line="360" w:lineRule="auto"/>
        <w:ind w:firstLine="480"/>
      </w:pPr>
      <w:r>
        <w:rPr>
          <w:rFonts w:ascii="Times New Roman" w:hAnsi="Times New Roman" w:eastAsia="宋体" w:cs="Times New Roman"/>
          <w:b w:val="0"/>
          <w:sz w:val="24"/>
        </w:rPr>
        <w:t>简述：t_donation 记录捐赠预约全流程状态，为回收与对接提供业务主线。</w:t>
      </w:r>
    </w:p>
    <w:p w14:paraId="0371D6B0">
      <w:pPr>
        <w:spacing w:before="120" w:after="120" w:line="360" w:lineRule="auto"/>
        <w:ind w:firstLine="0"/>
        <w:jc w:val="center"/>
      </w:pPr>
      <w:r>
        <w:rPr>
          <w:rFonts w:ascii="Times New Roman" w:hAnsi="Times New Roman" w:eastAsia="宋体" w:cs="Times New Roman"/>
          <w:b w:val="0"/>
          <w:sz w:val="24"/>
        </w:rPr>
        <w:t>表3-4 t_item 旧物信息表</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37"/>
        <w:gridCol w:w="2337"/>
        <w:gridCol w:w="2337"/>
        <w:gridCol w:w="2337"/>
      </w:tblGrid>
      <w:tr w14:paraId="4442F451">
        <w:tc>
          <w:tcPr>
            <w:tcW w:w="2337" w:type="dxa"/>
          </w:tcPr>
          <w:p w14:paraId="4218326C">
            <w:pPr>
              <w:spacing w:after="0" w:line="240" w:lineRule="auto"/>
              <w:jc w:val="center"/>
            </w:pPr>
            <w:r>
              <w:rPr>
                <w:rFonts w:ascii="Times New Roman" w:hAnsi="Times New Roman" w:eastAsia="宋体" w:cs="Times New Roman"/>
                <w:b/>
                <w:sz w:val="24"/>
              </w:rPr>
              <w:t>字段名</w:t>
            </w:r>
          </w:p>
        </w:tc>
        <w:tc>
          <w:tcPr>
            <w:tcW w:w="2337" w:type="dxa"/>
          </w:tcPr>
          <w:p w14:paraId="2B45DB9E">
            <w:pPr>
              <w:spacing w:after="0" w:line="240" w:lineRule="auto"/>
              <w:jc w:val="center"/>
            </w:pPr>
            <w:r>
              <w:rPr>
                <w:rFonts w:ascii="Times New Roman" w:hAnsi="Times New Roman" w:eastAsia="宋体" w:cs="Times New Roman"/>
                <w:b/>
                <w:sz w:val="24"/>
              </w:rPr>
              <w:t>类型</w:t>
            </w:r>
          </w:p>
        </w:tc>
        <w:tc>
          <w:tcPr>
            <w:tcW w:w="2337" w:type="dxa"/>
          </w:tcPr>
          <w:p w14:paraId="5FAA77AC">
            <w:pPr>
              <w:spacing w:after="0" w:line="240" w:lineRule="auto"/>
              <w:jc w:val="center"/>
            </w:pPr>
            <w:r>
              <w:rPr>
                <w:rFonts w:ascii="Times New Roman" w:hAnsi="Times New Roman" w:eastAsia="宋体" w:cs="Times New Roman"/>
                <w:b/>
                <w:sz w:val="24"/>
              </w:rPr>
              <w:t>约束</w:t>
            </w:r>
          </w:p>
        </w:tc>
        <w:tc>
          <w:tcPr>
            <w:tcW w:w="2337" w:type="dxa"/>
          </w:tcPr>
          <w:p w14:paraId="2F4ED78A">
            <w:pPr>
              <w:spacing w:after="0" w:line="240" w:lineRule="auto"/>
              <w:jc w:val="center"/>
            </w:pPr>
            <w:r>
              <w:rPr>
                <w:rFonts w:ascii="Times New Roman" w:hAnsi="Times New Roman" w:eastAsia="宋体" w:cs="Times New Roman"/>
                <w:b/>
                <w:sz w:val="24"/>
              </w:rPr>
              <w:t>说明</w:t>
            </w:r>
          </w:p>
        </w:tc>
      </w:tr>
      <w:tr w14:paraId="07D44CCC">
        <w:tc>
          <w:tcPr>
            <w:tcW w:w="2337" w:type="dxa"/>
          </w:tcPr>
          <w:p w14:paraId="703E9E84">
            <w:pPr>
              <w:spacing w:after="0" w:line="240" w:lineRule="auto"/>
              <w:jc w:val="center"/>
            </w:pPr>
            <w:r>
              <w:rPr>
                <w:rFonts w:ascii="Times New Roman" w:hAnsi="Times New Roman" w:eastAsia="宋体" w:cs="Times New Roman"/>
                <w:b w:val="0"/>
                <w:sz w:val="24"/>
              </w:rPr>
              <w:t>id</w:t>
            </w:r>
          </w:p>
        </w:tc>
        <w:tc>
          <w:tcPr>
            <w:tcW w:w="2337" w:type="dxa"/>
          </w:tcPr>
          <w:p w14:paraId="7535266E">
            <w:pPr>
              <w:spacing w:after="0" w:line="240" w:lineRule="auto"/>
              <w:jc w:val="center"/>
            </w:pPr>
            <w:r>
              <w:rPr>
                <w:rFonts w:ascii="Times New Roman" w:hAnsi="Times New Roman" w:eastAsia="宋体" w:cs="Times New Roman"/>
                <w:b w:val="0"/>
                <w:sz w:val="24"/>
              </w:rPr>
              <w:t>BIGINT</w:t>
            </w:r>
          </w:p>
        </w:tc>
        <w:tc>
          <w:tcPr>
            <w:tcW w:w="2337" w:type="dxa"/>
          </w:tcPr>
          <w:p w14:paraId="0CE5C73C">
            <w:pPr>
              <w:spacing w:after="0" w:line="240" w:lineRule="auto"/>
              <w:jc w:val="center"/>
            </w:pPr>
            <w:r>
              <w:rPr>
                <w:rFonts w:ascii="Times New Roman" w:hAnsi="Times New Roman" w:eastAsia="宋体" w:cs="Times New Roman"/>
                <w:b w:val="0"/>
                <w:sz w:val="24"/>
              </w:rPr>
              <w:t>PK, NOT NULL</w:t>
            </w:r>
          </w:p>
        </w:tc>
        <w:tc>
          <w:tcPr>
            <w:tcW w:w="2337" w:type="dxa"/>
          </w:tcPr>
          <w:p w14:paraId="3BE7E616">
            <w:pPr>
              <w:spacing w:after="0" w:line="240" w:lineRule="auto"/>
              <w:jc w:val="center"/>
            </w:pPr>
            <w:r>
              <w:rPr>
                <w:rFonts w:ascii="Times New Roman" w:hAnsi="Times New Roman" w:eastAsia="宋体" w:cs="Times New Roman"/>
                <w:b w:val="0"/>
                <w:sz w:val="24"/>
              </w:rPr>
              <w:t>旧物主键</w:t>
            </w:r>
          </w:p>
        </w:tc>
      </w:tr>
      <w:tr w14:paraId="73A9C4C1">
        <w:tc>
          <w:tcPr>
            <w:tcW w:w="2337" w:type="dxa"/>
          </w:tcPr>
          <w:p w14:paraId="5B27671F">
            <w:pPr>
              <w:spacing w:after="0" w:line="240" w:lineRule="auto"/>
              <w:jc w:val="center"/>
            </w:pPr>
            <w:r>
              <w:rPr>
                <w:rFonts w:ascii="Times New Roman" w:hAnsi="Times New Roman" w:eastAsia="宋体" w:cs="Times New Roman"/>
                <w:b w:val="0"/>
                <w:sz w:val="24"/>
              </w:rPr>
              <w:t>donation_id</w:t>
            </w:r>
          </w:p>
        </w:tc>
        <w:tc>
          <w:tcPr>
            <w:tcW w:w="2337" w:type="dxa"/>
          </w:tcPr>
          <w:p w14:paraId="3D006C2A">
            <w:pPr>
              <w:spacing w:after="0" w:line="240" w:lineRule="auto"/>
              <w:jc w:val="center"/>
            </w:pPr>
            <w:r>
              <w:rPr>
                <w:rFonts w:ascii="Times New Roman" w:hAnsi="Times New Roman" w:eastAsia="宋体" w:cs="Times New Roman"/>
                <w:b w:val="0"/>
                <w:sz w:val="24"/>
              </w:rPr>
              <w:t>BIGINT</w:t>
            </w:r>
          </w:p>
        </w:tc>
        <w:tc>
          <w:tcPr>
            <w:tcW w:w="2337" w:type="dxa"/>
          </w:tcPr>
          <w:p w14:paraId="044E8B15">
            <w:pPr>
              <w:spacing w:after="0" w:line="240" w:lineRule="auto"/>
              <w:jc w:val="center"/>
            </w:pPr>
            <w:r>
              <w:rPr>
                <w:rFonts w:ascii="Times New Roman" w:hAnsi="Times New Roman" w:eastAsia="宋体" w:cs="Times New Roman"/>
                <w:b w:val="0"/>
                <w:sz w:val="24"/>
              </w:rPr>
              <w:t>FK, NOT NULL</w:t>
            </w:r>
          </w:p>
        </w:tc>
        <w:tc>
          <w:tcPr>
            <w:tcW w:w="2337" w:type="dxa"/>
          </w:tcPr>
          <w:p w14:paraId="09FC6D92">
            <w:pPr>
              <w:spacing w:after="0" w:line="240" w:lineRule="auto"/>
              <w:jc w:val="center"/>
            </w:pPr>
            <w:r>
              <w:rPr>
                <w:rFonts w:ascii="Times New Roman" w:hAnsi="Times New Roman" w:eastAsia="宋体" w:cs="Times New Roman"/>
                <w:b w:val="0"/>
                <w:sz w:val="24"/>
              </w:rPr>
              <w:t>所属预约</w:t>
            </w:r>
          </w:p>
        </w:tc>
      </w:tr>
      <w:tr w14:paraId="3D7C2ACF">
        <w:tc>
          <w:tcPr>
            <w:tcW w:w="2337" w:type="dxa"/>
          </w:tcPr>
          <w:p w14:paraId="640C1C19">
            <w:pPr>
              <w:spacing w:after="0" w:line="240" w:lineRule="auto"/>
              <w:jc w:val="center"/>
            </w:pPr>
            <w:r>
              <w:rPr>
                <w:rFonts w:ascii="Times New Roman" w:hAnsi="Times New Roman" w:eastAsia="宋体" w:cs="Times New Roman"/>
                <w:b w:val="0"/>
                <w:sz w:val="24"/>
              </w:rPr>
              <w:t>item_name</w:t>
            </w:r>
          </w:p>
        </w:tc>
        <w:tc>
          <w:tcPr>
            <w:tcW w:w="2337" w:type="dxa"/>
          </w:tcPr>
          <w:p w14:paraId="4DCD7CC1">
            <w:pPr>
              <w:spacing w:after="0" w:line="240" w:lineRule="auto"/>
              <w:jc w:val="center"/>
            </w:pPr>
            <w:r>
              <w:rPr>
                <w:rFonts w:ascii="Times New Roman" w:hAnsi="Times New Roman" w:eastAsia="宋体" w:cs="Times New Roman"/>
                <w:b w:val="0"/>
                <w:sz w:val="24"/>
              </w:rPr>
              <w:t>VARCHAR(100)</w:t>
            </w:r>
          </w:p>
        </w:tc>
        <w:tc>
          <w:tcPr>
            <w:tcW w:w="2337" w:type="dxa"/>
          </w:tcPr>
          <w:p w14:paraId="356B0727">
            <w:pPr>
              <w:spacing w:after="0" w:line="240" w:lineRule="auto"/>
              <w:jc w:val="center"/>
            </w:pPr>
            <w:r>
              <w:rPr>
                <w:rFonts w:ascii="Times New Roman" w:hAnsi="Times New Roman" w:eastAsia="宋体" w:cs="Times New Roman"/>
                <w:b w:val="0"/>
                <w:sz w:val="24"/>
              </w:rPr>
              <w:t>NOT NULL</w:t>
            </w:r>
          </w:p>
        </w:tc>
        <w:tc>
          <w:tcPr>
            <w:tcW w:w="2337" w:type="dxa"/>
          </w:tcPr>
          <w:p w14:paraId="7FE68041">
            <w:pPr>
              <w:spacing w:after="0" w:line="240" w:lineRule="auto"/>
              <w:jc w:val="center"/>
            </w:pPr>
            <w:r>
              <w:rPr>
                <w:rFonts w:ascii="Times New Roman" w:hAnsi="Times New Roman" w:eastAsia="宋体" w:cs="Times New Roman"/>
                <w:b w:val="0"/>
                <w:sz w:val="24"/>
              </w:rPr>
              <w:t>物品名称</w:t>
            </w:r>
          </w:p>
        </w:tc>
      </w:tr>
      <w:tr w14:paraId="791D7C1E">
        <w:tc>
          <w:tcPr>
            <w:tcW w:w="2337" w:type="dxa"/>
          </w:tcPr>
          <w:p w14:paraId="1070E2B8">
            <w:pPr>
              <w:spacing w:after="0" w:line="240" w:lineRule="auto"/>
              <w:jc w:val="center"/>
            </w:pPr>
            <w:r>
              <w:rPr>
                <w:rFonts w:ascii="Times New Roman" w:hAnsi="Times New Roman" w:eastAsia="宋体" w:cs="Times New Roman"/>
                <w:b w:val="0"/>
                <w:sz w:val="24"/>
              </w:rPr>
              <w:t>item_type</w:t>
            </w:r>
          </w:p>
        </w:tc>
        <w:tc>
          <w:tcPr>
            <w:tcW w:w="2337" w:type="dxa"/>
          </w:tcPr>
          <w:p w14:paraId="16AD9A84">
            <w:pPr>
              <w:spacing w:after="0" w:line="240" w:lineRule="auto"/>
              <w:jc w:val="center"/>
            </w:pPr>
            <w:r>
              <w:rPr>
                <w:rFonts w:ascii="Times New Roman" w:hAnsi="Times New Roman" w:eastAsia="宋体" w:cs="Times New Roman"/>
                <w:b w:val="0"/>
                <w:sz w:val="24"/>
              </w:rPr>
              <w:t>VARCHAR(50)</w:t>
            </w:r>
          </w:p>
        </w:tc>
        <w:tc>
          <w:tcPr>
            <w:tcW w:w="2337" w:type="dxa"/>
          </w:tcPr>
          <w:p w14:paraId="08DE3B21">
            <w:pPr>
              <w:spacing w:after="0" w:line="240" w:lineRule="auto"/>
              <w:jc w:val="center"/>
            </w:pPr>
            <w:r>
              <w:rPr>
                <w:rFonts w:ascii="Times New Roman" w:hAnsi="Times New Roman" w:eastAsia="宋体" w:cs="Times New Roman"/>
                <w:b w:val="0"/>
                <w:sz w:val="24"/>
              </w:rPr>
              <w:t>NOT NULL</w:t>
            </w:r>
          </w:p>
        </w:tc>
        <w:tc>
          <w:tcPr>
            <w:tcW w:w="2337" w:type="dxa"/>
          </w:tcPr>
          <w:p w14:paraId="224623EE">
            <w:pPr>
              <w:spacing w:after="0" w:line="240" w:lineRule="auto"/>
              <w:jc w:val="center"/>
            </w:pPr>
            <w:r>
              <w:rPr>
                <w:rFonts w:ascii="Times New Roman" w:hAnsi="Times New Roman" w:eastAsia="宋体" w:cs="Times New Roman"/>
                <w:b w:val="0"/>
                <w:sz w:val="24"/>
              </w:rPr>
              <w:t>分类类型</w:t>
            </w:r>
          </w:p>
        </w:tc>
      </w:tr>
      <w:tr w14:paraId="6164C4E7">
        <w:tc>
          <w:tcPr>
            <w:tcW w:w="2337" w:type="dxa"/>
          </w:tcPr>
          <w:p w14:paraId="4A025441">
            <w:pPr>
              <w:spacing w:after="0" w:line="240" w:lineRule="auto"/>
              <w:jc w:val="center"/>
            </w:pPr>
            <w:r>
              <w:rPr>
                <w:rFonts w:ascii="Times New Roman" w:hAnsi="Times New Roman" w:eastAsia="宋体" w:cs="Times New Roman"/>
                <w:b w:val="0"/>
                <w:sz w:val="24"/>
              </w:rPr>
              <w:t>quantity</w:t>
            </w:r>
          </w:p>
        </w:tc>
        <w:tc>
          <w:tcPr>
            <w:tcW w:w="2337" w:type="dxa"/>
          </w:tcPr>
          <w:p w14:paraId="4AF1B3D5">
            <w:pPr>
              <w:spacing w:after="0" w:line="240" w:lineRule="auto"/>
              <w:jc w:val="center"/>
            </w:pPr>
            <w:r>
              <w:rPr>
                <w:rFonts w:ascii="Times New Roman" w:hAnsi="Times New Roman" w:eastAsia="宋体" w:cs="Times New Roman"/>
                <w:b w:val="0"/>
                <w:sz w:val="24"/>
              </w:rPr>
              <w:t>INT</w:t>
            </w:r>
          </w:p>
        </w:tc>
        <w:tc>
          <w:tcPr>
            <w:tcW w:w="2337" w:type="dxa"/>
          </w:tcPr>
          <w:p w14:paraId="09FA932B">
            <w:pPr>
              <w:spacing w:after="0" w:line="240" w:lineRule="auto"/>
              <w:jc w:val="center"/>
            </w:pPr>
            <w:r>
              <w:rPr>
                <w:rFonts w:ascii="Times New Roman" w:hAnsi="Times New Roman" w:eastAsia="宋体" w:cs="Times New Roman"/>
                <w:b w:val="0"/>
                <w:sz w:val="24"/>
              </w:rPr>
              <w:t>NOT NULL</w:t>
            </w:r>
          </w:p>
        </w:tc>
        <w:tc>
          <w:tcPr>
            <w:tcW w:w="2337" w:type="dxa"/>
          </w:tcPr>
          <w:p w14:paraId="3CC5FA55">
            <w:pPr>
              <w:spacing w:after="0" w:line="240" w:lineRule="auto"/>
              <w:jc w:val="center"/>
            </w:pPr>
            <w:r>
              <w:rPr>
                <w:rFonts w:ascii="Times New Roman" w:hAnsi="Times New Roman" w:eastAsia="宋体" w:cs="Times New Roman"/>
                <w:b w:val="0"/>
                <w:sz w:val="24"/>
              </w:rPr>
              <w:t>数量</w:t>
            </w:r>
          </w:p>
        </w:tc>
      </w:tr>
      <w:tr w14:paraId="034481C9">
        <w:tc>
          <w:tcPr>
            <w:tcW w:w="2337" w:type="dxa"/>
          </w:tcPr>
          <w:p w14:paraId="43BB8AA1">
            <w:pPr>
              <w:spacing w:after="0" w:line="240" w:lineRule="auto"/>
              <w:jc w:val="center"/>
            </w:pPr>
            <w:r>
              <w:rPr>
                <w:rFonts w:ascii="Times New Roman" w:hAnsi="Times New Roman" w:eastAsia="宋体" w:cs="Times New Roman"/>
                <w:b w:val="0"/>
                <w:sz w:val="24"/>
              </w:rPr>
              <w:t>condition_level</w:t>
            </w:r>
          </w:p>
        </w:tc>
        <w:tc>
          <w:tcPr>
            <w:tcW w:w="2337" w:type="dxa"/>
          </w:tcPr>
          <w:p w14:paraId="2BA243CB">
            <w:pPr>
              <w:spacing w:after="0" w:line="240" w:lineRule="auto"/>
              <w:jc w:val="center"/>
            </w:pPr>
            <w:r>
              <w:rPr>
                <w:rFonts w:ascii="Times New Roman" w:hAnsi="Times New Roman" w:eastAsia="宋体" w:cs="Times New Roman"/>
                <w:b w:val="0"/>
                <w:sz w:val="24"/>
              </w:rPr>
              <w:t>VARCHAR(20)</w:t>
            </w:r>
          </w:p>
        </w:tc>
        <w:tc>
          <w:tcPr>
            <w:tcW w:w="2337" w:type="dxa"/>
          </w:tcPr>
          <w:p w14:paraId="3B604792">
            <w:pPr>
              <w:spacing w:after="0" w:line="240" w:lineRule="auto"/>
              <w:jc w:val="center"/>
            </w:pPr>
            <w:r>
              <w:rPr>
                <w:rFonts w:ascii="Times New Roman" w:hAnsi="Times New Roman" w:eastAsia="宋体" w:cs="Times New Roman"/>
                <w:b w:val="0"/>
                <w:sz w:val="24"/>
              </w:rPr>
              <w:t>NOT NULL</w:t>
            </w:r>
          </w:p>
        </w:tc>
        <w:tc>
          <w:tcPr>
            <w:tcW w:w="2337" w:type="dxa"/>
          </w:tcPr>
          <w:p w14:paraId="539555BD">
            <w:pPr>
              <w:spacing w:after="0" w:line="240" w:lineRule="auto"/>
              <w:jc w:val="center"/>
            </w:pPr>
            <w:r>
              <w:rPr>
                <w:rFonts w:ascii="Times New Roman" w:hAnsi="Times New Roman" w:eastAsia="宋体" w:cs="Times New Roman"/>
                <w:b w:val="0"/>
                <w:sz w:val="24"/>
              </w:rPr>
              <w:t>完好度</w:t>
            </w:r>
          </w:p>
        </w:tc>
      </w:tr>
      <w:tr w14:paraId="796D831E">
        <w:tc>
          <w:tcPr>
            <w:tcW w:w="2337" w:type="dxa"/>
          </w:tcPr>
          <w:p w14:paraId="2B126FD1">
            <w:pPr>
              <w:spacing w:after="0" w:line="240" w:lineRule="auto"/>
              <w:jc w:val="center"/>
            </w:pPr>
            <w:r>
              <w:rPr>
                <w:rFonts w:ascii="Times New Roman" w:hAnsi="Times New Roman" w:eastAsia="宋体" w:cs="Times New Roman"/>
                <w:b w:val="0"/>
                <w:sz w:val="24"/>
              </w:rPr>
              <w:t>tag</w:t>
            </w:r>
          </w:p>
        </w:tc>
        <w:tc>
          <w:tcPr>
            <w:tcW w:w="2337" w:type="dxa"/>
          </w:tcPr>
          <w:p w14:paraId="0D718EF8">
            <w:pPr>
              <w:spacing w:after="0" w:line="240" w:lineRule="auto"/>
              <w:jc w:val="center"/>
            </w:pPr>
            <w:r>
              <w:rPr>
                <w:rFonts w:ascii="Times New Roman" w:hAnsi="Times New Roman" w:eastAsia="宋体" w:cs="Times New Roman"/>
                <w:b w:val="0"/>
                <w:sz w:val="24"/>
              </w:rPr>
              <w:t>VARCHAR(100)</w:t>
            </w:r>
          </w:p>
        </w:tc>
        <w:tc>
          <w:tcPr>
            <w:tcW w:w="2337" w:type="dxa"/>
          </w:tcPr>
          <w:p w14:paraId="0113C2CE">
            <w:pPr>
              <w:spacing w:after="0" w:line="240" w:lineRule="auto"/>
              <w:jc w:val="center"/>
            </w:pPr>
            <w:r>
              <w:rPr>
                <w:rFonts w:ascii="Times New Roman" w:hAnsi="Times New Roman" w:eastAsia="宋体" w:cs="Times New Roman"/>
                <w:b w:val="0"/>
                <w:sz w:val="24"/>
              </w:rPr>
              <w:t>NULL</w:t>
            </w:r>
          </w:p>
        </w:tc>
        <w:tc>
          <w:tcPr>
            <w:tcW w:w="2337" w:type="dxa"/>
          </w:tcPr>
          <w:p w14:paraId="18DB9E0B">
            <w:pPr>
              <w:spacing w:after="0" w:line="240" w:lineRule="auto"/>
              <w:jc w:val="center"/>
            </w:pPr>
            <w:r>
              <w:rPr>
                <w:rFonts w:ascii="Times New Roman" w:hAnsi="Times New Roman" w:eastAsia="宋体" w:cs="Times New Roman"/>
                <w:b w:val="0"/>
                <w:sz w:val="24"/>
              </w:rPr>
              <w:t>分类标签</w:t>
            </w:r>
          </w:p>
        </w:tc>
      </w:tr>
      <w:tr w14:paraId="62B5525E">
        <w:tc>
          <w:tcPr>
            <w:tcW w:w="2337" w:type="dxa"/>
          </w:tcPr>
          <w:p w14:paraId="17F995FE">
            <w:pPr>
              <w:spacing w:after="0" w:line="240" w:lineRule="auto"/>
              <w:jc w:val="center"/>
            </w:pPr>
            <w:r>
              <w:rPr>
                <w:rFonts w:ascii="Times New Roman" w:hAnsi="Times New Roman" w:eastAsia="宋体" w:cs="Times New Roman"/>
                <w:b w:val="0"/>
                <w:sz w:val="24"/>
              </w:rPr>
              <w:t>recycle_status</w:t>
            </w:r>
          </w:p>
        </w:tc>
        <w:tc>
          <w:tcPr>
            <w:tcW w:w="2337" w:type="dxa"/>
          </w:tcPr>
          <w:p w14:paraId="7E85B5F2">
            <w:pPr>
              <w:spacing w:after="0" w:line="240" w:lineRule="auto"/>
              <w:jc w:val="center"/>
            </w:pPr>
            <w:r>
              <w:rPr>
                <w:rFonts w:ascii="Times New Roman" w:hAnsi="Times New Roman" w:eastAsia="宋体" w:cs="Times New Roman"/>
                <w:b w:val="0"/>
                <w:sz w:val="24"/>
              </w:rPr>
              <w:t>VARCHAR(20)</w:t>
            </w:r>
          </w:p>
        </w:tc>
        <w:tc>
          <w:tcPr>
            <w:tcW w:w="2337" w:type="dxa"/>
          </w:tcPr>
          <w:p w14:paraId="469B521B">
            <w:pPr>
              <w:spacing w:after="0" w:line="240" w:lineRule="auto"/>
              <w:jc w:val="center"/>
            </w:pPr>
            <w:r>
              <w:rPr>
                <w:rFonts w:ascii="Times New Roman" w:hAnsi="Times New Roman" w:eastAsia="宋体" w:cs="Times New Roman"/>
                <w:b w:val="0"/>
                <w:sz w:val="24"/>
              </w:rPr>
              <w:t>NOT NULL</w:t>
            </w:r>
          </w:p>
        </w:tc>
        <w:tc>
          <w:tcPr>
            <w:tcW w:w="2337" w:type="dxa"/>
          </w:tcPr>
          <w:p w14:paraId="0D9D0035">
            <w:pPr>
              <w:spacing w:after="0" w:line="240" w:lineRule="auto"/>
              <w:jc w:val="center"/>
            </w:pPr>
            <w:r>
              <w:rPr>
                <w:rFonts w:ascii="Times New Roman" w:hAnsi="Times New Roman" w:eastAsia="宋体" w:cs="Times New Roman"/>
                <w:b w:val="0"/>
                <w:sz w:val="24"/>
              </w:rPr>
              <w:t>回收状态</w:t>
            </w:r>
          </w:p>
        </w:tc>
      </w:tr>
      <w:tr w14:paraId="61050D30">
        <w:tc>
          <w:tcPr>
            <w:tcW w:w="2337" w:type="dxa"/>
          </w:tcPr>
          <w:p w14:paraId="68E54C18">
            <w:pPr>
              <w:spacing w:after="0" w:line="240" w:lineRule="auto"/>
              <w:jc w:val="center"/>
            </w:pPr>
            <w:r>
              <w:rPr>
                <w:rFonts w:ascii="Times New Roman" w:hAnsi="Times New Roman" w:eastAsia="宋体" w:cs="Times New Roman"/>
                <w:b w:val="0"/>
                <w:sz w:val="24"/>
              </w:rPr>
              <w:t>storage_location</w:t>
            </w:r>
          </w:p>
        </w:tc>
        <w:tc>
          <w:tcPr>
            <w:tcW w:w="2337" w:type="dxa"/>
          </w:tcPr>
          <w:p w14:paraId="13A2E211">
            <w:pPr>
              <w:spacing w:after="0" w:line="240" w:lineRule="auto"/>
              <w:jc w:val="center"/>
            </w:pPr>
            <w:r>
              <w:rPr>
                <w:rFonts w:ascii="Times New Roman" w:hAnsi="Times New Roman" w:eastAsia="宋体" w:cs="Times New Roman"/>
                <w:b w:val="0"/>
                <w:sz w:val="24"/>
              </w:rPr>
              <w:t>VARCHAR(100)</w:t>
            </w:r>
          </w:p>
        </w:tc>
        <w:tc>
          <w:tcPr>
            <w:tcW w:w="2337" w:type="dxa"/>
          </w:tcPr>
          <w:p w14:paraId="4930AAB3">
            <w:pPr>
              <w:spacing w:after="0" w:line="240" w:lineRule="auto"/>
              <w:jc w:val="center"/>
            </w:pPr>
            <w:r>
              <w:rPr>
                <w:rFonts w:ascii="Times New Roman" w:hAnsi="Times New Roman" w:eastAsia="宋体" w:cs="Times New Roman"/>
                <w:b w:val="0"/>
                <w:sz w:val="24"/>
              </w:rPr>
              <w:t>NULL</w:t>
            </w:r>
          </w:p>
        </w:tc>
        <w:tc>
          <w:tcPr>
            <w:tcW w:w="2337" w:type="dxa"/>
          </w:tcPr>
          <w:p w14:paraId="464B98C4">
            <w:pPr>
              <w:spacing w:after="0" w:line="240" w:lineRule="auto"/>
              <w:jc w:val="center"/>
            </w:pPr>
            <w:r>
              <w:rPr>
                <w:rFonts w:ascii="Times New Roman" w:hAnsi="Times New Roman" w:eastAsia="宋体" w:cs="Times New Roman"/>
                <w:b w:val="0"/>
                <w:sz w:val="24"/>
              </w:rPr>
              <w:t>暂存位置</w:t>
            </w:r>
          </w:p>
        </w:tc>
      </w:tr>
      <w:tr w14:paraId="05E62B7B">
        <w:tc>
          <w:tcPr>
            <w:tcW w:w="2337" w:type="dxa"/>
          </w:tcPr>
          <w:p w14:paraId="1B0F0AB4">
            <w:pPr>
              <w:spacing w:after="0" w:line="240" w:lineRule="auto"/>
              <w:jc w:val="center"/>
            </w:pPr>
            <w:r>
              <w:rPr>
                <w:rFonts w:ascii="Times New Roman" w:hAnsi="Times New Roman" w:eastAsia="宋体" w:cs="Times New Roman"/>
                <w:b w:val="0"/>
                <w:sz w:val="24"/>
              </w:rPr>
              <w:t>remark</w:t>
            </w:r>
          </w:p>
        </w:tc>
        <w:tc>
          <w:tcPr>
            <w:tcW w:w="2337" w:type="dxa"/>
          </w:tcPr>
          <w:p w14:paraId="297AFF45">
            <w:pPr>
              <w:spacing w:after="0" w:line="240" w:lineRule="auto"/>
              <w:jc w:val="center"/>
            </w:pPr>
            <w:r>
              <w:rPr>
                <w:rFonts w:ascii="Times New Roman" w:hAnsi="Times New Roman" w:eastAsia="宋体" w:cs="Times New Roman"/>
                <w:b w:val="0"/>
                <w:sz w:val="24"/>
              </w:rPr>
              <w:t>VARCHAR(500)</w:t>
            </w:r>
          </w:p>
        </w:tc>
        <w:tc>
          <w:tcPr>
            <w:tcW w:w="2337" w:type="dxa"/>
          </w:tcPr>
          <w:p w14:paraId="0E2B014B">
            <w:pPr>
              <w:spacing w:after="0" w:line="240" w:lineRule="auto"/>
              <w:jc w:val="center"/>
            </w:pPr>
            <w:r>
              <w:rPr>
                <w:rFonts w:ascii="Times New Roman" w:hAnsi="Times New Roman" w:eastAsia="宋体" w:cs="Times New Roman"/>
                <w:b w:val="0"/>
                <w:sz w:val="24"/>
              </w:rPr>
              <w:t>NULL</w:t>
            </w:r>
          </w:p>
        </w:tc>
        <w:tc>
          <w:tcPr>
            <w:tcW w:w="2337" w:type="dxa"/>
          </w:tcPr>
          <w:p w14:paraId="590D3630">
            <w:pPr>
              <w:spacing w:after="0" w:line="240" w:lineRule="auto"/>
              <w:jc w:val="center"/>
            </w:pPr>
            <w:r>
              <w:rPr>
                <w:rFonts w:ascii="Times New Roman" w:hAnsi="Times New Roman" w:eastAsia="宋体" w:cs="Times New Roman"/>
                <w:b w:val="0"/>
                <w:sz w:val="24"/>
              </w:rPr>
              <w:t>备注</w:t>
            </w:r>
          </w:p>
        </w:tc>
      </w:tr>
    </w:tbl>
    <w:p w14:paraId="3A7E4F78">
      <w:pPr>
        <w:spacing w:before="0" w:after="0" w:line="360" w:lineRule="auto"/>
        <w:ind w:firstLine="480"/>
      </w:pPr>
      <w:r>
        <w:rPr>
          <w:rFonts w:ascii="Times New Roman" w:hAnsi="Times New Roman" w:eastAsia="宋体" w:cs="Times New Roman"/>
          <w:b w:val="0"/>
          <w:sz w:val="24"/>
        </w:rPr>
        <w:t>简述：t_item 用于沉淀物品颗粒度数据，是统计分析与公益匹配的核心数据源。</w:t>
      </w:r>
    </w:p>
    <w:p w14:paraId="72C4EDE8">
      <w:pPr>
        <w:spacing w:before="120" w:after="120" w:line="360" w:lineRule="auto"/>
        <w:ind w:firstLine="0"/>
        <w:jc w:val="center"/>
      </w:pPr>
      <w:r>
        <w:rPr>
          <w:rFonts w:ascii="Times New Roman" w:hAnsi="Times New Roman" w:eastAsia="宋体" w:cs="Times New Roman"/>
          <w:b w:val="0"/>
          <w:sz w:val="24"/>
        </w:rPr>
        <w:t>表3-5 t_public_welfare 公益对接表</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37"/>
        <w:gridCol w:w="2337"/>
        <w:gridCol w:w="2337"/>
        <w:gridCol w:w="2337"/>
      </w:tblGrid>
      <w:tr w14:paraId="60BC0277">
        <w:tc>
          <w:tcPr>
            <w:tcW w:w="2337" w:type="dxa"/>
          </w:tcPr>
          <w:p w14:paraId="12E17891">
            <w:pPr>
              <w:spacing w:after="0" w:line="240" w:lineRule="auto"/>
              <w:jc w:val="center"/>
            </w:pPr>
            <w:r>
              <w:rPr>
                <w:rFonts w:ascii="Times New Roman" w:hAnsi="Times New Roman" w:eastAsia="宋体" w:cs="Times New Roman"/>
                <w:b/>
                <w:sz w:val="24"/>
              </w:rPr>
              <w:t>字段名</w:t>
            </w:r>
          </w:p>
        </w:tc>
        <w:tc>
          <w:tcPr>
            <w:tcW w:w="2337" w:type="dxa"/>
          </w:tcPr>
          <w:p w14:paraId="2955FE68">
            <w:pPr>
              <w:spacing w:after="0" w:line="240" w:lineRule="auto"/>
              <w:jc w:val="center"/>
            </w:pPr>
            <w:r>
              <w:rPr>
                <w:rFonts w:ascii="Times New Roman" w:hAnsi="Times New Roman" w:eastAsia="宋体" w:cs="Times New Roman"/>
                <w:b/>
                <w:sz w:val="24"/>
              </w:rPr>
              <w:t>类型</w:t>
            </w:r>
          </w:p>
        </w:tc>
        <w:tc>
          <w:tcPr>
            <w:tcW w:w="2337" w:type="dxa"/>
          </w:tcPr>
          <w:p w14:paraId="685B7EAF">
            <w:pPr>
              <w:spacing w:after="0" w:line="240" w:lineRule="auto"/>
              <w:jc w:val="center"/>
            </w:pPr>
            <w:r>
              <w:rPr>
                <w:rFonts w:ascii="Times New Roman" w:hAnsi="Times New Roman" w:eastAsia="宋体" w:cs="Times New Roman"/>
                <w:b/>
                <w:sz w:val="24"/>
              </w:rPr>
              <w:t>约束</w:t>
            </w:r>
          </w:p>
        </w:tc>
        <w:tc>
          <w:tcPr>
            <w:tcW w:w="2337" w:type="dxa"/>
          </w:tcPr>
          <w:p w14:paraId="2098386F">
            <w:pPr>
              <w:spacing w:after="0" w:line="240" w:lineRule="auto"/>
              <w:jc w:val="center"/>
            </w:pPr>
            <w:r>
              <w:rPr>
                <w:rFonts w:ascii="Times New Roman" w:hAnsi="Times New Roman" w:eastAsia="宋体" w:cs="Times New Roman"/>
                <w:b/>
                <w:sz w:val="24"/>
              </w:rPr>
              <w:t>说明</w:t>
            </w:r>
          </w:p>
        </w:tc>
      </w:tr>
      <w:tr w14:paraId="1E592109">
        <w:tc>
          <w:tcPr>
            <w:tcW w:w="2337" w:type="dxa"/>
          </w:tcPr>
          <w:p w14:paraId="552F8D4E">
            <w:pPr>
              <w:spacing w:after="0" w:line="240" w:lineRule="auto"/>
              <w:jc w:val="center"/>
            </w:pPr>
            <w:r>
              <w:rPr>
                <w:rFonts w:ascii="Times New Roman" w:hAnsi="Times New Roman" w:eastAsia="宋体" w:cs="Times New Roman"/>
                <w:b w:val="0"/>
                <w:sz w:val="24"/>
              </w:rPr>
              <w:t>id</w:t>
            </w:r>
          </w:p>
        </w:tc>
        <w:tc>
          <w:tcPr>
            <w:tcW w:w="2337" w:type="dxa"/>
          </w:tcPr>
          <w:p w14:paraId="553EFFBB">
            <w:pPr>
              <w:spacing w:after="0" w:line="240" w:lineRule="auto"/>
              <w:jc w:val="center"/>
            </w:pPr>
            <w:r>
              <w:rPr>
                <w:rFonts w:ascii="Times New Roman" w:hAnsi="Times New Roman" w:eastAsia="宋体" w:cs="Times New Roman"/>
                <w:b w:val="0"/>
                <w:sz w:val="24"/>
              </w:rPr>
              <w:t>BIGINT</w:t>
            </w:r>
          </w:p>
        </w:tc>
        <w:tc>
          <w:tcPr>
            <w:tcW w:w="2337" w:type="dxa"/>
          </w:tcPr>
          <w:p w14:paraId="71394FDF">
            <w:pPr>
              <w:spacing w:after="0" w:line="240" w:lineRule="auto"/>
              <w:jc w:val="center"/>
            </w:pPr>
            <w:r>
              <w:rPr>
                <w:rFonts w:ascii="Times New Roman" w:hAnsi="Times New Roman" w:eastAsia="宋体" w:cs="Times New Roman"/>
                <w:b w:val="0"/>
                <w:sz w:val="24"/>
              </w:rPr>
              <w:t>PK, NOT NULL</w:t>
            </w:r>
          </w:p>
        </w:tc>
        <w:tc>
          <w:tcPr>
            <w:tcW w:w="2337" w:type="dxa"/>
          </w:tcPr>
          <w:p w14:paraId="4E565411">
            <w:pPr>
              <w:spacing w:after="0" w:line="240" w:lineRule="auto"/>
              <w:jc w:val="center"/>
            </w:pPr>
            <w:r>
              <w:rPr>
                <w:rFonts w:ascii="Times New Roman" w:hAnsi="Times New Roman" w:eastAsia="宋体" w:cs="Times New Roman"/>
                <w:b w:val="0"/>
                <w:sz w:val="24"/>
              </w:rPr>
              <w:t>对接主键</w:t>
            </w:r>
          </w:p>
        </w:tc>
      </w:tr>
      <w:tr w14:paraId="1818FBA0">
        <w:tc>
          <w:tcPr>
            <w:tcW w:w="2337" w:type="dxa"/>
          </w:tcPr>
          <w:p w14:paraId="486B7340">
            <w:pPr>
              <w:spacing w:after="0" w:line="240" w:lineRule="auto"/>
              <w:jc w:val="center"/>
            </w:pPr>
            <w:r>
              <w:rPr>
                <w:rFonts w:ascii="Times New Roman" w:hAnsi="Times New Roman" w:eastAsia="宋体" w:cs="Times New Roman"/>
                <w:b w:val="0"/>
                <w:sz w:val="24"/>
              </w:rPr>
              <w:t>item_id</w:t>
            </w:r>
          </w:p>
        </w:tc>
        <w:tc>
          <w:tcPr>
            <w:tcW w:w="2337" w:type="dxa"/>
          </w:tcPr>
          <w:p w14:paraId="7C66FEA2">
            <w:pPr>
              <w:spacing w:after="0" w:line="240" w:lineRule="auto"/>
              <w:jc w:val="center"/>
            </w:pPr>
            <w:r>
              <w:rPr>
                <w:rFonts w:ascii="Times New Roman" w:hAnsi="Times New Roman" w:eastAsia="宋体" w:cs="Times New Roman"/>
                <w:b w:val="0"/>
                <w:sz w:val="24"/>
              </w:rPr>
              <w:t>BIGINT</w:t>
            </w:r>
          </w:p>
        </w:tc>
        <w:tc>
          <w:tcPr>
            <w:tcW w:w="2337" w:type="dxa"/>
          </w:tcPr>
          <w:p w14:paraId="3311EFA3">
            <w:pPr>
              <w:spacing w:after="0" w:line="240" w:lineRule="auto"/>
              <w:jc w:val="center"/>
            </w:pPr>
            <w:r>
              <w:rPr>
                <w:rFonts w:ascii="Times New Roman" w:hAnsi="Times New Roman" w:eastAsia="宋体" w:cs="Times New Roman"/>
                <w:b w:val="0"/>
                <w:sz w:val="24"/>
              </w:rPr>
              <w:t>FK, NOT NULL</w:t>
            </w:r>
          </w:p>
        </w:tc>
        <w:tc>
          <w:tcPr>
            <w:tcW w:w="2337" w:type="dxa"/>
          </w:tcPr>
          <w:p w14:paraId="2F112893">
            <w:pPr>
              <w:spacing w:after="0" w:line="240" w:lineRule="auto"/>
              <w:jc w:val="center"/>
            </w:pPr>
            <w:r>
              <w:rPr>
                <w:rFonts w:ascii="Times New Roman" w:hAnsi="Times New Roman" w:eastAsia="宋体" w:cs="Times New Roman"/>
                <w:b w:val="0"/>
                <w:sz w:val="24"/>
              </w:rPr>
              <w:t>旧物编号</w:t>
            </w:r>
          </w:p>
        </w:tc>
      </w:tr>
      <w:tr w14:paraId="4AABA4BF">
        <w:tc>
          <w:tcPr>
            <w:tcW w:w="2337" w:type="dxa"/>
          </w:tcPr>
          <w:p w14:paraId="06B1FEAD">
            <w:pPr>
              <w:spacing w:after="0" w:line="240" w:lineRule="auto"/>
              <w:jc w:val="center"/>
            </w:pPr>
            <w:r>
              <w:rPr>
                <w:rFonts w:ascii="Times New Roman" w:hAnsi="Times New Roman" w:eastAsia="宋体" w:cs="Times New Roman"/>
                <w:b w:val="0"/>
                <w:sz w:val="24"/>
              </w:rPr>
              <w:t>target_org_name</w:t>
            </w:r>
          </w:p>
        </w:tc>
        <w:tc>
          <w:tcPr>
            <w:tcW w:w="2337" w:type="dxa"/>
          </w:tcPr>
          <w:p w14:paraId="6EF27A2E">
            <w:pPr>
              <w:spacing w:after="0" w:line="240" w:lineRule="auto"/>
              <w:jc w:val="center"/>
            </w:pPr>
            <w:r>
              <w:rPr>
                <w:rFonts w:ascii="Times New Roman" w:hAnsi="Times New Roman" w:eastAsia="宋体" w:cs="Times New Roman"/>
                <w:b w:val="0"/>
                <w:sz w:val="24"/>
              </w:rPr>
              <w:t>VARCHAR(100)</w:t>
            </w:r>
          </w:p>
        </w:tc>
        <w:tc>
          <w:tcPr>
            <w:tcW w:w="2337" w:type="dxa"/>
          </w:tcPr>
          <w:p w14:paraId="1C72FE88">
            <w:pPr>
              <w:spacing w:after="0" w:line="240" w:lineRule="auto"/>
              <w:jc w:val="center"/>
            </w:pPr>
            <w:r>
              <w:rPr>
                <w:rFonts w:ascii="Times New Roman" w:hAnsi="Times New Roman" w:eastAsia="宋体" w:cs="Times New Roman"/>
                <w:b w:val="0"/>
                <w:sz w:val="24"/>
              </w:rPr>
              <w:t>NOT NULL</w:t>
            </w:r>
          </w:p>
        </w:tc>
        <w:tc>
          <w:tcPr>
            <w:tcW w:w="2337" w:type="dxa"/>
          </w:tcPr>
          <w:p w14:paraId="0D223F77">
            <w:pPr>
              <w:spacing w:after="0" w:line="240" w:lineRule="auto"/>
              <w:jc w:val="center"/>
            </w:pPr>
            <w:r>
              <w:rPr>
                <w:rFonts w:ascii="Times New Roman" w:hAnsi="Times New Roman" w:eastAsia="宋体" w:cs="Times New Roman"/>
                <w:b w:val="0"/>
                <w:sz w:val="24"/>
              </w:rPr>
              <w:t>受赠组织</w:t>
            </w:r>
          </w:p>
        </w:tc>
      </w:tr>
      <w:tr w14:paraId="1B669784">
        <w:tc>
          <w:tcPr>
            <w:tcW w:w="2337" w:type="dxa"/>
          </w:tcPr>
          <w:p w14:paraId="7C306C7F">
            <w:pPr>
              <w:spacing w:after="0" w:line="240" w:lineRule="auto"/>
              <w:jc w:val="center"/>
            </w:pPr>
            <w:r>
              <w:rPr>
                <w:rFonts w:ascii="Times New Roman" w:hAnsi="Times New Roman" w:eastAsia="宋体" w:cs="Times New Roman"/>
                <w:b w:val="0"/>
                <w:sz w:val="24"/>
              </w:rPr>
              <w:t>target_contact</w:t>
            </w:r>
          </w:p>
        </w:tc>
        <w:tc>
          <w:tcPr>
            <w:tcW w:w="2337" w:type="dxa"/>
          </w:tcPr>
          <w:p w14:paraId="030D7D33">
            <w:pPr>
              <w:spacing w:after="0" w:line="240" w:lineRule="auto"/>
              <w:jc w:val="center"/>
            </w:pPr>
            <w:r>
              <w:rPr>
                <w:rFonts w:ascii="Times New Roman" w:hAnsi="Times New Roman" w:eastAsia="宋体" w:cs="Times New Roman"/>
                <w:b w:val="0"/>
                <w:sz w:val="24"/>
              </w:rPr>
              <w:t>VARCHAR(50)</w:t>
            </w:r>
          </w:p>
        </w:tc>
        <w:tc>
          <w:tcPr>
            <w:tcW w:w="2337" w:type="dxa"/>
          </w:tcPr>
          <w:p w14:paraId="47898A9D">
            <w:pPr>
              <w:spacing w:after="0" w:line="240" w:lineRule="auto"/>
              <w:jc w:val="center"/>
            </w:pPr>
            <w:r>
              <w:rPr>
                <w:rFonts w:ascii="Times New Roman" w:hAnsi="Times New Roman" w:eastAsia="宋体" w:cs="Times New Roman"/>
                <w:b w:val="0"/>
                <w:sz w:val="24"/>
              </w:rPr>
              <w:t>NULL</w:t>
            </w:r>
          </w:p>
        </w:tc>
        <w:tc>
          <w:tcPr>
            <w:tcW w:w="2337" w:type="dxa"/>
          </w:tcPr>
          <w:p w14:paraId="42447439">
            <w:pPr>
              <w:spacing w:after="0" w:line="240" w:lineRule="auto"/>
              <w:jc w:val="center"/>
            </w:pPr>
            <w:r>
              <w:rPr>
                <w:rFonts w:ascii="Times New Roman" w:hAnsi="Times New Roman" w:eastAsia="宋体" w:cs="Times New Roman"/>
                <w:b w:val="0"/>
                <w:sz w:val="24"/>
              </w:rPr>
              <w:t>联系方式</w:t>
            </w:r>
          </w:p>
        </w:tc>
      </w:tr>
      <w:tr w14:paraId="3D51A1DB">
        <w:tc>
          <w:tcPr>
            <w:tcW w:w="2337" w:type="dxa"/>
          </w:tcPr>
          <w:p w14:paraId="0154BFB9">
            <w:pPr>
              <w:spacing w:after="0" w:line="240" w:lineRule="auto"/>
              <w:jc w:val="center"/>
            </w:pPr>
            <w:r>
              <w:rPr>
                <w:rFonts w:ascii="Times New Roman" w:hAnsi="Times New Roman" w:eastAsia="宋体" w:cs="Times New Roman"/>
                <w:b w:val="0"/>
                <w:sz w:val="24"/>
              </w:rPr>
              <w:t>match_status</w:t>
            </w:r>
          </w:p>
        </w:tc>
        <w:tc>
          <w:tcPr>
            <w:tcW w:w="2337" w:type="dxa"/>
          </w:tcPr>
          <w:p w14:paraId="6EBE4FAD">
            <w:pPr>
              <w:spacing w:after="0" w:line="240" w:lineRule="auto"/>
              <w:jc w:val="center"/>
            </w:pPr>
            <w:r>
              <w:rPr>
                <w:rFonts w:ascii="Times New Roman" w:hAnsi="Times New Roman" w:eastAsia="宋体" w:cs="Times New Roman"/>
                <w:b w:val="0"/>
                <w:sz w:val="24"/>
              </w:rPr>
              <w:t>VARCHAR(20)</w:t>
            </w:r>
          </w:p>
        </w:tc>
        <w:tc>
          <w:tcPr>
            <w:tcW w:w="2337" w:type="dxa"/>
          </w:tcPr>
          <w:p w14:paraId="668E10BB">
            <w:pPr>
              <w:spacing w:after="0" w:line="240" w:lineRule="auto"/>
              <w:jc w:val="center"/>
            </w:pPr>
            <w:r>
              <w:rPr>
                <w:rFonts w:ascii="Times New Roman" w:hAnsi="Times New Roman" w:eastAsia="宋体" w:cs="Times New Roman"/>
                <w:b w:val="0"/>
                <w:sz w:val="24"/>
              </w:rPr>
              <w:t>NOT NULL</w:t>
            </w:r>
          </w:p>
        </w:tc>
        <w:tc>
          <w:tcPr>
            <w:tcW w:w="2337" w:type="dxa"/>
          </w:tcPr>
          <w:p w14:paraId="79873196">
            <w:pPr>
              <w:spacing w:after="0" w:line="240" w:lineRule="auto"/>
              <w:jc w:val="center"/>
            </w:pPr>
            <w:r>
              <w:rPr>
                <w:rFonts w:ascii="Times New Roman" w:hAnsi="Times New Roman" w:eastAsia="宋体" w:cs="Times New Roman"/>
                <w:b w:val="0"/>
                <w:sz w:val="24"/>
              </w:rPr>
              <w:t>对接状态</w:t>
            </w:r>
          </w:p>
        </w:tc>
      </w:tr>
      <w:tr w14:paraId="64C5BA67">
        <w:tc>
          <w:tcPr>
            <w:tcW w:w="2337" w:type="dxa"/>
          </w:tcPr>
          <w:p w14:paraId="5AF3CAEB">
            <w:pPr>
              <w:spacing w:after="0" w:line="240" w:lineRule="auto"/>
              <w:jc w:val="center"/>
            </w:pPr>
            <w:r>
              <w:rPr>
                <w:rFonts w:ascii="Times New Roman" w:hAnsi="Times New Roman" w:eastAsia="宋体" w:cs="Times New Roman"/>
                <w:b w:val="0"/>
                <w:sz w:val="24"/>
              </w:rPr>
              <w:t>delivery_method</w:t>
            </w:r>
          </w:p>
        </w:tc>
        <w:tc>
          <w:tcPr>
            <w:tcW w:w="2337" w:type="dxa"/>
          </w:tcPr>
          <w:p w14:paraId="2E38A829">
            <w:pPr>
              <w:spacing w:after="0" w:line="240" w:lineRule="auto"/>
              <w:jc w:val="center"/>
            </w:pPr>
            <w:r>
              <w:rPr>
                <w:rFonts w:ascii="Times New Roman" w:hAnsi="Times New Roman" w:eastAsia="宋体" w:cs="Times New Roman"/>
                <w:b w:val="0"/>
                <w:sz w:val="24"/>
              </w:rPr>
              <w:t>VARCHAR(50)</w:t>
            </w:r>
          </w:p>
        </w:tc>
        <w:tc>
          <w:tcPr>
            <w:tcW w:w="2337" w:type="dxa"/>
          </w:tcPr>
          <w:p w14:paraId="3148B9E5">
            <w:pPr>
              <w:spacing w:after="0" w:line="240" w:lineRule="auto"/>
              <w:jc w:val="center"/>
            </w:pPr>
            <w:r>
              <w:rPr>
                <w:rFonts w:ascii="Times New Roman" w:hAnsi="Times New Roman" w:eastAsia="宋体" w:cs="Times New Roman"/>
                <w:b w:val="0"/>
                <w:sz w:val="24"/>
              </w:rPr>
              <w:t>NULL</w:t>
            </w:r>
          </w:p>
        </w:tc>
        <w:tc>
          <w:tcPr>
            <w:tcW w:w="2337" w:type="dxa"/>
          </w:tcPr>
          <w:p w14:paraId="3E0423E3">
            <w:pPr>
              <w:spacing w:after="0" w:line="240" w:lineRule="auto"/>
              <w:jc w:val="center"/>
            </w:pPr>
            <w:r>
              <w:rPr>
                <w:rFonts w:ascii="Times New Roman" w:hAnsi="Times New Roman" w:eastAsia="宋体" w:cs="Times New Roman"/>
                <w:b w:val="0"/>
                <w:sz w:val="24"/>
              </w:rPr>
              <w:t>交付方式</w:t>
            </w:r>
          </w:p>
        </w:tc>
      </w:tr>
      <w:tr w14:paraId="2AFD81A0">
        <w:tc>
          <w:tcPr>
            <w:tcW w:w="2337" w:type="dxa"/>
          </w:tcPr>
          <w:p w14:paraId="4917D536">
            <w:pPr>
              <w:spacing w:after="0" w:line="240" w:lineRule="auto"/>
              <w:jc w:val="center"/>
            </w:pPr>
            <w:r>
              <w:rPr>
                <w:rFonts w:ascii="Times New Roman" w:hAnsi="Times New Roman" w:eastAsia="宋体" w:cs="Times New Roman"/>
                <w:b w:val="0"/>
                <w:sz w:val="24"/>
              </w:rPr>
              <w:t>feedback_info</w:t>
            </w:r>
          </w:p>
        </w:tc>
        <w:tc>
          <w:tcPr>
            <w:tcW w:w="2337" w:type="dxa"/>
          </w:tcPr>
          <w:p w14:paraId="1D79418D">
            <w:pPr>
              <w:spacing w:after="0" w:line="240" w:lineRule="auto"/>
              <w:jc w:val="center"/>
            </w:pPr>
            <w:r>
              <w:rPr>
                <w:rFonts w:ascii="Times New Roman" w:hAnsi="Times New Roman" w:eastAsia="宋体" w:cs="Times New Roman"/>
                <w:b w:val="0"/>
                <w:sz w:val="24"/>
              </w:rPr>
              <w:t>VARCHAR(1000)</w:t>
            </w:r>
          </w:p>
        </w:tc>
        <w:tc>
          <w:tcPr>
            <w:tcW w:w="2337" w:type="dxa"/>
          </w:tcPr>
          <w:p w14:paraId="38615F53">
            <w:pPr>
              <w:spacing w:after="0" w:line="240" w:lineRule="auto"/>
              <w:jc w:val="center"/>
            </w:pPr>
            <w:r>
              <w:rPr>
                <w:rFonts w:ascii="Times New Roman" w:hAnsi="Times New Roman" w:eastAsia="宋体" w:cs="Times New Roman"/>
                <w:b w:val="0"/>
                <w:sz w:val="24"/>
              </w:rPr>
              <w:t>NULL</w:t>
            </w:r>
          </w:p>
        </w:tc>
        <w:tc>
          <w:tcPr>
            <w:tcW w:w="2337" w:type="dxa"/>
          </w:tcPr>
          <w:p w14:paraId="52F1D739">
            <w:pPr>
              <w:spacing w:after="0" w:line="240" w:lineRule="auto"/>
              <w:jc w:val="center"/>
            </w:pPr>
            <w:r>
              <w:rPr>
                <w:rFonts w:ascii="Times New Roman" w:hAnsi="Times New Roman" w:eastAsia="宋体" w:cs="Times New Roman"/>
                <w:b w:val="0"/>
                <w:sz w:val="24"/>
              </w:rPr>
              <w:t>反馈信息</w:t>
            </w:r>
          </w:p>
        </w:tc>
      </w:tr>
      <w:tr w14:paraId="68729BB8">
        <w:tc>
          <w:tcPr>
            <w:tcW w:w="2337" w:type="dxa"/>
          </w:tcPr>
          <w:p w14:paraId="369C0615">
            <w:pPr>
              <w:spacing w:after="0" w:line="240" w:lineRule="auto"/>
              <w:jc w:val="center"/>
            </w:pPr>
            <w:r>
              <w:rPr>
                <w:rFonts w:ascii="Times New Roman" w:hAnsi="Times New Roman" w:eastAsia="宋体" w:cs="Times New Roman"/>
                <w:b w:val="0"/>
                <w:sz w:val="24"/>
              </w:rPr>
              <w:t>handle_user_id</w:t>
            </w:r>
          </w:p>
        </w:tc>
        <w:tc>
          <w:tcPr>
            <w:tcW w:w="2337" w:type="dxa"/>
          </w:tcPr>
          <w:p w14:paraId="7CA9EF21">
            <w:pPr>
              <w:spacing w:after="0" w:line="240" w:lineRule="auto"/>
              <w:jc w:val="center"/>
            </w:pPr>
            <w:r>
              <w:rPr>
                <w:rFonts w:ascii="Times New Roman" w:hAnsi="Times New Roman" w:eastAsia="宋体" w:cs="Times New Roman"/>
                <w:b w:val="0"/>
                <w:sz w:val="24"/>
              </w:rPr>
              <w:t>BIGINT</w:t>
            </w:r>
          </w:p>
        </w:tc>
        <w:tc>
          <w:tcPr>
            <w:tcW w:w="2337" w:type="dxa"/>
          </w:tcPr>
          <w:p w14:paraId="715C9BAC">
            <w:pPr>
              <w:spacing w:after="0" w:line="240" w:lineRule="auto"/>
              <w:jc w:val="center"/>
            </w:pPr>
            <w:r>
              <w:rPr>
                <w:rFonts w:ascii="Times New Roman" w:hAnsi="Times New Roman" w:eastAsia="宋体" w:cs="Times New Roman"/>
                <w:b w:val="0"/>
                <w:sz w:val="24"/>
              </w:rPr>
              <w:t>FK, NOT NULL</w:t>
            </w:r>
          </w:p>
        </w:tc>
        <w:tc>
          <w:tcPr>
            <w:tcW w:w="2337" w:type="dxa"/>
          </w:tcPr>
          <w:p w14:paraId="6702B2FB">
            <w:pPr>
              <w:spacing w:after="0" w:line="240" w:lineRule="auto"/>
              <w:jc w:val="center"/>
            </w:pPr>
            <w:r>
              <w:rPr>
                <w:rFonts w:ascii="Times New Roman" w:hAnsi="Times New Roman" w:eastAsia="宋体" w:cs="Times New Roman"/>
                <w:b w:val="0"/>
                <w:sz w:val="24"/>
              </w:rPr>
              <w:t>处理人</w:t>
            </w:r>
          </w:p>
        </w:tc>
      </w:tr>
      <w:tr w14:paraId="3CB91541">
        <w:tc>
          <w:tcPr>
            <w:tcW w:w="2337" w:type="dxa"/>
          </w:tcPr>
          <w:p w14:paraId="21C084B9">
            <w:pPr>
              <w:spacing w:after="0" w:line="240" w:lineRule="auto"/>
              <w:jc w:val="center"/>
            </w:pPr>
            <w:r>
              <w:rPr>
                <w:rFonts w:ascii="Times New Roman" w:hAnsi="Times New Roman" w:eastAsia="宋体" w:cs="Times New Roman"/>
                <w:b w:val="0"/>
                <w:sz w:val="24"/>
              </w:rPr>
              <w:t>finish_time</w:t>
            </w:r>
          </w:p>
        </w:tc>
        <w:tc>
          <w:tcPr>
            <w:tcW w:w="2337" w:type="dxa"/>
          </w:tcPr>
          <w:p w14:paraId="4735C742">
            <w:pPr>
              <w:spacing w:after="0" w:line="240" w:lineRule="auto"/>
              <w:jc w:val="center"/>
            </w:pPr>
            <w:r>
              <w:rPr>
                <w:rFonts w:ascii="Times New Roman" w:hAnsi="Times New Roman" w:eastAsia="宋体" w:cs="Times New Roman"/>
                <w:b w:val="0"/>
                <w:sz w:val="24"/>
              </w:rPr>
              <w:t>DATETIME</w:t>
            </w:r>
          </w:p>
        </w:tc>
        <w:tc>
          <w:tcPr>
            <w:tcW w:w="2337" w:type="dxa"/>
          </w:tcPr>
          <w:p w14:paraId="482D0DD4">
            <w:pPr>
              <w:spacing w:after="0" w:line="240" w:lineRule="auto"/>
              <w:jc w:val="center"/>
            </w:pPr>
            <w:r>
              <w:rPr>
                <w:rFonts w:ascii="Times New Roman" w:hAnsi="Times New Roman" w:eastAsia="宋体" w:cs="Times New Roman"/>
                <w:b w:val="0"/>
                <w:sz w:val="24"/>
              </w:rPr>
              <w:t>NULL</w:t>
            </w:r>
          </w:p>
        </w:tc>
        <w:tc>
          <w:tcPr>
            <w:tcW w:w="2337" w:type="dxa"/>
          </w:tcPr>
          <w:p w14:paraId="1A601575">
            <w:pPr>
              <w:spacing w:after="0" w:line="240" w:lineRule="auto"/>
              <w:jc w:val="center"/>
            </w:pPr>
            <w:r>
              <w:rPr>
                <w:rFonts w:ascii="Times New Roman" w:hAnsi="Times New Roman" w:eastAsia="宋体" w:cs="Times New Roman"/>
                <w:b w:val="0"/>
                <w:sz w:val="24"/>
              </w:rPr>
              <w:t>完成时间</w:t>
            </w:r>
          </w:p>
        </w:tc>
      </w:tr>
    </w:tbl>
    <w:p w14:paraId="50C72581">
      <w:pPr>
        <w:spacing w:before="0" w:after="0" w:line="360" w:lineRule="auto"/>
        <w:ind w:firstLine="480"/>
      </w:pPr>
      <w:r>
        <w:rPr>
          <w:rFonts w:ascii="Times New Roman" w:hAnsi="Times New Roman" w:eastAsia="宋体" w:cs="Times New Roman"/>
          <w:b w:val="0"/>
          <w:sz w:val="24"/>
        </w:rPr>
        <w:t>简述：t_public_welfare 负责记录旧物去向与反馈，实现公益链路可追溯。</w:t>
      </w:r>
    </w:p>
    <w:p w14:paraId="45F3E423">
      <w:pPr>
        <w:spacing w:before="120" w:after="120" w:line="360" w:lineRule="auto"/>
        <w:ind w:firstLine="0"/>
        <w:jc w:val="center"/>
      </w:pPr>
      <w:r>
        <w:rPr>
          <w:rFonts w:ascii="Times New Roman" w:hAnsi="Times New Roman" w:eastAsia="宋体" w:cs="Times New Roman"/>
          <w:b w:val="0"/>
          <w:sz w:val="24"/>
        </w:rPr>
        <w:t>表3-6 t_collection_point 回收点表</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37"/>
        <w:gridCol w:w="2337"/>
        <w:gridCol w:w="2337"/>
        <w:gridCol w:w="2337"/>
      </w:tblGrid>
      <w:tr w14:paraId="10FC58AB">
        <w:tc>
          <w:tcPr>
            <w:tcW w:w="2337" w:type="dxa"/>
          </w:tcPr>
          <w:p w14:paraId="07C5D2D9">
            <w:pPr>
              <w:spacing w:after="0" w:line="240" w:lineRule="auto"/>
              <w:jc w:val="center"/>
            </w:pPr>
            <w:r>
              <w:rPr>
                <w:rFonts w:ascii="Times New Roman" w:hAnsi="Times New Roman" w:eastAsia="宋体" w:cs="Times New Roman"/>
                <w:b/>
                <w:sz w:val="24"/>
              </w:rPr>
              <w:t>字段名</w:t>
            </w:r>
          </w:p>
        </w:tc>
        <w:tc>
          <w:tcPr>
            <w:tcW w:w="2337" w:type="dxa"/>
          </w:tcPr>
          <w:p w14:paraId="692CF8BF">
            <w:pPr>
              <w:spacing w:after="0" w:line="240" w:lineRule="auto"/>
              <w:jc w:val="center"/>
            </w:pPr>
            <w:r>
              <w:rPr>
                <w:rFonts w:ascii="Times New Roman" w:hAnsi="Times New Roman" w:eastAsia="宋体" w:cs="Times New Roman"/>
                <w:b/>
                <w:sz w:val="24"/>
              </w:rPr>
              <w:t>类型</w:t>
            </w:r>
          </w:p>
        </w:tc>
        <w:tc>
          <w:tcPr>
            <w:tcW w:w="2337" w:type="dxa"/>
          </w:tcPr>
          <w:p w14:paraId="2D78C9AB">
            <w:pPr>
              <w:spacing w:after="0" w:line="240" w:lineRule="auto"/>
              <w:jc w:val="center"/>
            </w:pPr>
            <w:r>
              <w:rPr>
                <w:rFonts w:ascii="Times New Roman" w:hAnsi="Times New Roman" w:eastAsia="宋体" w:cs="Times New Roman"/>
                <w:b/>
                <w:sz w:val="24"/>
              </w:rPr>
              <w:t>约束</w:t>
            </w:r>
          </w:p>
        </w:tc>
        <w:tc>
          <w:tcPr>
            <w:tcW w:w="2337" w:type="dxa"/>
          </w:tcPr>
          <w:p w14:paraId="464EC4B7">
            <w:pPr>
              <w:spacing w:after="0" w:line="240" w:lineRule="auto"/>
              <w:jc w:val="center"/>
            </w:pPr>
            <w:r>
              <w:rPr>
                <w:rFonts w:ascii="Times New Roman" w:hAnsi="Times New Roman" w:eastAsia="宋体" w:cs="Times New Roman"/>
                <w:b/>
                <w:sz w:val="24"/>
              </w:rPr>
              <w:t>说明</w:t>
            </w:r>
          </w:p>
        </w:tc>
      </w:tr>
      <w:tr w14:paraId="51B7C802">
        <w:tc>
          <w:tcPr>
            <w:tcW w:w="2337" w:type="dxa"/>
          </w:tcPr>
          <w:p w14:paraId="6340E94F">
            <w:pPr>
              <w:spacing w:after="0" w:line="240" w:lineRule="auto"/>
              <w:jc w:val="center"/>
            </w:pPr>
            <w:r>
              <w:rPr>
                <w:rFonts w:ascii="Times New Roman" w:hAnsi="Times New Roman" w:eastAsia="宋体" w:cs="Times New Roman"/>
                <w:b w:val="0"/>
                <w:sz w:val="24"/>
              </w:rPr>
              <w:t>id</w:t>
            </w:r>
          </w:p>
        </w:tc>
        <w:tc>
          <w:tcPr>
            <w:tcW w:w="2337" w:type="dxa"/>
          </w:tcPr>
          <w:p w14:paraId="353BDCEF">
            <w:pPr>
              <w:spacing w:after="0" w:line="240" w:lineRule="auto"/>
              <w:jc w:val="center"/>
            </w:pPr>
            <w:r>
              <w:rPr>
                <w:rFonts w:ascii="Times New Roman" w:hAnsi="Times New Roman" w:eastAsia="宋体" w:cs="Times New Roman"/>
                <w:b w:val="0"/>
                <w:sz w:val="24"/>
              </w:rPr>
              <w:t>BIGINT</w:t>
            </w:r>
          </w:p>
        </w:tc>
        <w:tc>
          <w:tcPr>
            <w:tcW w:w="2337" w:type="dxa"/>
          </w:tcPr>
          <w:p w14:paraId="6E1A04E2">
            <w:pPr>
              <w:spacing w:after="0" w:line="240" w:lineRule="auto"/>
              <w:jc w:val="center"/>
            </w:pPr>
            <w:r>
              <w:rPr>
                <w:rFonts w:ascii="Times New Roman" w:hAnsi="Times New Roman" w:eastAsia="宋体" w:cs="Times New Roman"/>
                <w:b w:val="0"/>
                <w:sz w:val="24"/>
              </w:rPr>
              <w:t>PK, NOT NULL</w:t>
            </w:r>
          </w:p>
        </w:tc>
        <w:tc>
          <w:tcPr>
            <w:tcW w:w="2337" w:type="dxa"/>
          </w:tcPr>
          <w:p w14:paraId="5BA20CF2">
            <w:pPr>
              <w:spacing w:after="0" w:line="240" w:lineRule="auto"/>
              <w:jc w:val="center"/>
            </w:pPr>
            <w:r>
              <w:rPr>
                <w:rFonts w:ascii="Times New Roman" w:hAnsi="Times New Roman" w:eastAsia="宋体" w:cs="Times New Roman"/>
                <w:b w:val="0"/>
                <w:sz w:val="24"/>
              </w:rPr>
              <w:t>回收点主键</w:t>
            </w:r>
          </w:p>
        </w:tc>
      </w:tr>
      <w:tr w14:paraId="5EE3CAAC">
        <w:tc>
          <w:tcPr>
            <w:tcW w:w="2337" w:type="dxa"/>
          </w:tcPr>
          <w:p w14:paraId="756916A0">
            <w:pPr>
              <w:spacing w:after="0" w:line="240" w:lineRule="auto"/>
              <w:jc w:val="center"/>
            </w:pPr>
            <w:r>
              <w:rPr>
                <w:rFonts w:ascii="Times New Roman" w:hAnsi="Times New Roman" w:eastAsia="宋体" w:cs="Times New Roman"/>
                <w:b w:val="0"/>
                <w:sz w:val="24"/>
              </w:rPr>
              <w:t>point_name</w:t>
            </w:r>
          </w:p>
        </w:tc>
        <w:tc>
          <w:tcPr>
            <w:tcW w:w="2337" w:type="dxa"/>
          </w:tcPr>
          <w:p w14:paraId="10FAD347">
            <w:pPr>
              <w:spacing w:after="0" w:line="240" w:lineRule="auto"/>
              <w:jc w:val="center"/>
            </w:pPr>
            <w:r>
              <w:rPr>
                <w:rFonts w:ascii="Times New Roman" w:hAnsi="Times New Roman" w:eastAsia="宋体" w:cs="Times New Roman"/>
                <w:b w:val="0"/>
                <w:sz w:val="24"/>
              </w:rPr>
              <w:t>VARCHAR(100)</w:t>
            </w:r>
          </w:p>
        </w:tc>
        <w:tc>
          <w:tcPr>
            <w:tcW w:w="2337" w:type="dxa"/>
          </w:tcPr>
          <w:p w14:paraId="63851825">
            <w:pPr>
              <w:spacing w:after="0" w:line="240" w:lineRule="auto"/>
              <w:jc w:val="center"/>
            </w:pPr>
            <w:r>
              <w:rPr>
                <w:rFonts w:ascii="Times New Roman" w:hAnsi="Times New Roman" w:eastAsia="宋体" w:cs="Times New Roman"/>
                <w:b w:val="0"/>
                <w:sz w:val="24"/>
              </w:rPr>
              <w:t>NOT NULL</w:t>
            </w:r>
          </w:p>
        </w:tc>
        <w:tc>
          <w:tcPr>
            <w:tcW w:w="2337" w:type="dxa"/>
          </w:tcPr>
          <w:p w14:paraId="475ACFFA">
            <w:pPr>
              <w:spacing w:after="0" w:line="240" w:lineRule="auto"/>
              <w:jc w:val="center"/>
            </w:pPr>
            <w:r>
              <w:rPr>
                <w:rFonts w:ascii="Times New Roman" w:hAnsi="Times New Roman" w:eastAsia="宋体" w:cs="Times New Roman"/>
                <w:b w:val="0"/>
                <w:sz w:val="24"/>
              </w:rPr>
              <w:t>回收点名称</w:t>
            </w:r>
          </w:p>
        </w:tc>
      </w:tr>
      <w:tr w14:paraId="28787A7A">
        <w:tc>
          <w:tcPr>
            <w:tcW w:w="2337" w:type="dxa"/>
          </w:tcPr>
          <w:p w14:paraId="00C73472">
            <w:pPr>
              <w:spacing w:after="0" w:line="240" w:lineRule="auto"/>
              <w:jc w:val="center"/>
            </w:pPr>
            <w:r>
              <w:rPr>
                <w:rFonts w:ascii="Times New Roman" w:hAnsi="Times New Roman" w:eastAsia="宋体" w:cs="Times New Roman"/>
                <w:b w:val="0"/>
                <w:sz w:val="24"/>
              </w:rPr>
              <w:t>location</w:t>
            </w:r>
          </w:p>
        </w:tc>
        <w:tc>
          <w:tcPr>
            <w:tcW w:w="2337" w:type="dxa"/>
          </w:tcPr>
          <w:p w14:paraId="600191AA">
            <w:pPr>
              <w:spacing w:after="0" w:line="240" w:lineRule="auto"/>
              <w:jc w:val="center"/>
            </w:pPr>
            <w:r>
              <w:rPr>
                <w:rFonts w:ascii="Times New Roman" w:hAnsi="Times New Roman" w:eastAsia="宋体" w:cs="Times New Roman"/>
                <w:b w:val="0"/>
                <w:sz w:val="24"/>
              </w:rPr>
              <w:t>VARCHAR(200)</w:t>
            </w:r>
          </w:p>
        </w:tc>
        <w:tc>
          <w:tcPr>
            <w:tcW w:w="2337" w:type="dxa"/>
          </w:tcPr>
          <w:p w14:paraId="35EC6309">
            <w:pPr>
              <w:spacing w:after="0" w:line="240" w:lineRule="auto"/>
              <w:jc w:val="center"/>
            </w:pPr>
            <w:r>
              <w:rPr>
                <w:rFonts w:ascii="Times New Roman" w:hAnsi="Times New Roman" w:eastAsia="宋体" w:cs="Times New Roman"/>
                <w:b w:val="0"/>
                <w:sz w:val="24"/>
              </w:rPr>
              <w:t>NOT NULL</w:t>
            </w:r>
          </w:p>
        </w:tc>
        <w:tc>
          <w:tcPr>
            <w:tcW w:w="2337" w:type="dxa"/>
          </w:tcPr>
          <w:p w14:paraId="4799A9CE">
            <w:pPr>
              <w:spacing w:after="0" w:line="240" w:lineRule="auto"/>
              <w:jc w:val="center"/>
            </w:pPr>
            <w:r>
              <w:rPr>
                <w:rFonts w:ascii="Times New Roman" w:hAnsi="Times New Roman" w:eastAsia="宋体" w:cs="Times New Roman"/>
                <w:b w:val="0"/>
                <w:sz w:val="24"/>
              </w:rPr>
              <w:t>地点描述</w:t>
            </w:r>
          </w:p>
        </w:tc>
      </w:tr>
      <w:tr w14:paraId="311D1F00">
        <w:tc>
          <w:tcPr>
            <w:tcW w:w="2337" w:type="dxa"/>
          </w:tcPr>
          <w:p w14:paraId="46E96302">
            <w:pPr>
              <w:spacing w:after="0" w:line="240" w:lineRule="auto"/>
              <w:jc w:val="center"/>
            </w:pPr>
            <w:r>
              <w:rPr>
                <w:rFonts w:ascii="Times New Roman" w:hAnsi="Times New Roman" w:eastAsia="宋体" w:cs="Times New Roman"/>
                <w:b w:val="0"/>
                <w:sz w:val="24"/>
              </w:rPr>
              <w:t>open_time</w:t>
            </w:r>
          </w:p>
        </w:tc>
        <w:tc>
          <w:tcPr>
            <w:tcW w:w="2337" w:type="dxa"/>
          </w:tcPr>
          <w:p w14:paraId="5F068167">
            <w:pPr>
              <w:spacing w:after="0" w:line="240" w:lineRule="auto"/>
              <w:jc w:val="center"/>
            </w:pPr>
            <w:r>
              <w:rPr>
                <w:rFonts w:ascii="Times New Roman" w:hAnsi="Times New Roman" w:eastAsia="宋体" w:cs="Times New Roman"/>
                <w:b w:val="0"/>
                <w:sz w:val="24"/>
              </w:rPr>
              <w:t>VARCHAR(100)</w:t>
            </w:r>
          </w:p>
        </w:tc>
        <w:tc>
          <w:tcPr>
            <w:tcW w:w="2337" w:type="dxa"/>
          </w:tcPr>
          <w:p w14:paraId="76F8E7E4">
            <w:pPr>
              <w:spacing w:after="0" w:line="240" w:lineRule="auto"/>
              <w:jc w:val="center"/>
            </w:pPr>
            <w:r>
              <w:rPr>
                <w:rFonts w:ascii="Times New Roman" w:hAnsi="Times New Roman" w:eastAsia="宋体" w:cs="Times New Roman"/>
                <w:b w:val="0"/>
                <w:sz w:val="24"/>
              </w:rPr>
              <w:t>NULL</w:t>
            </w:r>
          </w:p>
        </w:tc>
        <w:tc>
          <w:tcPr>
            <w:tcW w:w="2337" w:type="dxa"/>
          </w:tcPr>
          <w:p w14:paraId="5B53EAD5">
            <w:pPr>
              <w:spacing w:after="0" w:line="240" w:lineRule="auto"/>
              <w:jc w:val="center"/>
            </w:pPr>
            <w:r>
              <w:rPr>
                <w:rFonts w:ascii="Times New Roman" w:hAnsi="Times New Roman" w:eastAsia="宋体" w:cs="Times New Roman"/>
                <w:b w:val="0"/>
                <w:sz w:val="24"/>
              </w:rPr>
              <w:t>开放时段</w:t>
            </w:r>
          </w:p>
        </w:tc>
      </w:tr>
      <w:tr w14:paraId="087324A7">
        <w:tc>
          <w:tcPr>
            <w:tcW w:w="2337" w:type="dxa"/>
          </w:tcPr>
          <w:p w14:paraId="6FB726E7">
            <w:pPr>
              <w:spacing w:after="0" w:line="240" w:lineRule="auto"/>
              <w:jc w:val="center"/>
            </w:pPr>
            <w:r>
              <w:rPr>
                <w:rFonts w:ascii="Times New Roman" w:hAnsi="Times New Roman" w:eastAsia="宋体" w:cs="Times New Roman"/>
                <w:b w:val="0"/>
                <w:sz w:val="24"/>
              </w:rPr>
              <w:t>manager_name</w:t>
            </w:r>
          </w:p>
        </w:tc>
        <w:tc>
          <w:tcPr>
            <w:tcW w:w="2337" w:type="dxa"/>
          </w:tcPr>
          <w:p w14:paraId="7E37C197">
            <w:pPr>
              <w:spacing w:after="0" w:line="240" w:lineRule="auto"/>
              <w:jc w:val="center"/>
            </w:pPr>
            <w:r>
              <w:rPr>
                <w:rFonts w:ascii="Times New Roman" w:hAnsi="Times New Roman" w:eastAsia="宋体" w:cs="Times New Roman"/>
                <w:b w:val="0"/>
                <w:sz w:val="24"/>
              </w:rPr>
              <w:t>VARCHAR(50)</w:t>
            </w:r>
          </w:p>
        </w:tc>
        <w:tc>
          <w:tcPr>
            <w:tcW w:w="2337" w:type="dxa"/>
          </w:tcPr>
          <w:p w14:paraId="3DC8D823">
            <w:pPr>
              <w:spacing w:after="0" w:line="240" w:lineRule="auto"/>
              <w:jc w:val="center"/>
            </w:pPr>
            <w:r>
              <w:rPr>
                <w:rFonts w:ascii="Times New Roman" w:hAnsi="Times New Roman" w:eastAsia="宋体" w:cs="Times New Roman"/>
                <w:b w:val="0"/>
                <w:sz w:val="24"/>
              </w:rPr>
              <w:t>NULL</w:t>
            </w:r>
          </w:p>
        </w:tc>
        <w:tc>
          <w:tcPr>
            <w:tcW w:w="2337" w:type="dxa"/>
          </w:tcPr>
          <w:p w14:paraId="7E5FB1B8">
            <w:pPr>
              <w:spacing w:after="0" w:line="240" w:lineRule="auto"/>
              <w:jc w:val="center"/>
            </w:pPr>
            <w:r>
              <w:rPr>
                <w:rFonts w:ascii="Times New Roman" w:hAnsi="Times New Roman" w:eastAsia="宋体" w:cs="Times New Roman"/>
                <w:b w:val="0"/>
                <w:sz w:val="24"/>
              </w:rPr>
              <w:t>负责人</w:t>
            </w:r>
          </w:p>
        </w:tc>
      </w:tr>
      <w:tr w14:paraId="0AF6A727">
        <w:tc>
          <w:tcPr>
            <w:tcW w:w="2337" w:type="dxa"/>
          </w:tcPr>
          <w:p w14:paraId="668A0A3D">
            <w:pPr>
              <w:spacing w:after="0" w:line="240" w:lineRule="auto"/>
              <w:jc w:val="center"/>
            </w:pPr>
            <w:r>
              <w:rPr>
                <w:rFonts w:ascii="Times New Roman" w:hAnsi="Times New Roman" w:eastAsia="宋体" w:cs="Times New Roman"/>
                <w:b w:val="0"/>
                <w:sz w:val="24"/>
              </w:rPr>
              <w:t>contact_phone</w:t>
            </w:r>
          </w:p>
        </w:tc>
        <w:tc>
          <w:tcPr>
            <w:tcW w:w="2337" w:type="dxa"/>
          </w:tcPr>
          <w:p w14:paraId="49005290">
            <w:pPr>
              <w:spacing w:after="0" w:line="240" w:lineRule="auto"/>
              <w:jc w:val="center"/>
            </w:pPr>
            <w:r>
              <w:rPr>
                <w:rFonts w:ascii="Times New Roman" w:hAnsi="Times New Roman" w:eastAsia="宋体" w:cs="Times New Roman"/>
                <w:b w:val="0"/>
                <w:sz w:val="24"/>
              </w:rPr>
              <w:t>VARCHAR(20)</w:t>
            </w:r>
          </w:p>
        </w:tc>
        <w:tc>
          <w:tcPr>
            <w:tcW w:w="2337" w:type="dxa"/>
          </w:tcPr>
          <w:p w14:paraId="181804D8">
            <w:pPr>
              <w:spacing w:after="0" w:line="240" w:lineRule="auto"/>
              <w:jc w:val="center"/>
            </w:pPr>
            <w:r>
              <w:rPr>
                <w:rFonts w:ascii="Times New Roman" w:hAnsi="Times New Roman" w:eastAsia="宋体" w:cs="Times New Roman"/>
                <w:b w:val="0"/>
                <w:sz w:val="24"/>
              </w:rPr>
              <w:t>NULL</w:t>
            </w:r>
          </w:p>
        </w:tc>
        <w:tc>
          <w:tcPr>
            <w:tcW w:w="2337" w:type="dxa"/>
          </w:tcPr>
          <w:p w14:paraId="632DA8EC">
            <w:pPr>
              <w:spacing w:after="0" w:line="240" w:lineRule="auto"/>
              <w:jc w:val="center"/>
            </w:pPr>
            <w:r>
              <w:rPr>
                <w:rFonts w:ascii="Times New Roman" w:hAnsi="Times New Roman" w:eastAsia="宋体" w:cs="Times New Roman"/>
                <w:b w:val="0"/>
                <w:sz w:val="24"/>
              </w:rPr>
              <w:t>联系电话</w:t>
            </w:r>
          </w:p>
        </w:tc>
      </w:tr>
      <w:tr w14:paraId="01F54109">
        <w:tc>
          <w:tcPr>
            <w:tcW w:w="2337" w:type="dxa"/>
          </w:tcPr>
          <w:p w14:paraId="5B15B9EB">
            <w:pPr>
              <w:spacing w:after="0" w:line="240" w:lineRule="auto"/>
              <w:jc w:val="center"/>
            </w:pPr>
            <w:r>
              <w:rPr>
                <w:rFonts w:ascii="Times New Roman" w:hAnsi="Times New Roman" w:eastAsia="宋体" w:cs="Times New Roman"/>
                <w:b w:val="0"/>
                <w:sz w:val="24"/>
              </w:rPr>
              <w:t>status</w:t>
            </w:r>
          </w:p>
        </w:tc>
        <w:tc>
          <w:tcPr>
            <w:tcW w:w="2337" w:type="dxa"/>
          </w:tcPr>
          <w:p w14:paraId="50979D8D">
            <w:pPr>
              <w:spacing w:after="0" w:line="240" w:lineRule="auto"/>
              <w:jc w:val="center"/>
            </w:pPr>
            <w:r>
              <w:rPr>
                <w:rFonts w:ascii="Times New Roman" w:hAnsi="Times New Roman" w:eastAsia="宋体" w:cs="Times New Roman"/>
                <w:b w:val="0"/>
                <w:sz w:val="24"/>
              </w:rPr>
              <w:t>TINYINT</w:t>
            </w:r>
          </w:p>
        </w:tc>
        <w:tc>
          <w:tcPr>
            <w:tcW w:w="2337" w:type="dxa"/>
          </w:tcPr>
          <w:p w14:paraId="4D9699F9">
            <w:pPr>
              <w:spacing w:after="0" w:line="240" w:lineRule="auto"/>
              <w:jc w:val="center"/>
            </w:pPr>
            <w:r>
              <w:rPr>
                <w:rFonts w:ascii="Times New Roman" w:hAnsi="Times New Roman" w:eastAsia="宋体" w:cs="Times New Roman"/>
                <w:b w:val="0"/>
                <w:sz w:val="24"/>
              </w:rPr>
              <w:t>NOT NULL</w:t>
            </w:r>
          </w:p>
        </w:tc>
        <w:tc>
          <w:tcPr>
            <w:tcW w:w="2337" w:type="dxa"/>
          </w:tcPr>
          <w:p w14:paraId="16CDAE87">
            <w:pPr>
              <w:spacing w:after="0" w:line="240" w:lineRule="auto"/>
              <w:jc w:val="center"/>
            </w:pPr>
            <w:r>
              <w:rPr>
                <w:rFonts w:ascii="Times New Roman" w:hAnsi="Times New Roman" w:eastAsia="宋体" w:cs="Times New Roman"/>
                <w:b w:val="0"/>
                <w:sz w:val="24"/>
              </w:rPr>
              <w:t>是否启用</w:t>
            </w:r>
          </w:p>
        </w:tc>
      </w:tr>
    </w:tbl>
    <w:p w14:paraId="0A41B06B">
      <w:pPr>
        <w:spacing w:before="0" w:after="0" w:line="360" w:lineRule="auto"/>
        <w:ind w:firstLine="480"/>
      </w:pPr>
      <w:r>
        <w:rPr>
          <w:rFonts w:ascii="Times New Roman" w:hAnsi="Times New Roman" w:eastAsia="宋体" w:cs="Times New Roman"/>
          <w:b w:val="0"/>
          <w:sz w:val="24"/>
        </w:rPr>
        <w:t>简述：t_collection_point 为预约调度提供线下节点配置。</w:t>
      </w:r>
    </w:p>
    <w:p w14:paraId="7E617561">
      <w:pPr>
        <w:spacing w:before="120" w:after="120" w:line="360" w:lineRule="auto"/>
        <w:ind w:firstLine="0"/>
        <w:jc w:val="center"/>
      </w:pPr>
      <w:r>
        <w:rPr>
          <w:rFonts w:ascii="Times New Roman" w:hAnsi="Times New Roman" w:eastAsia="宋体" w:cs="Times New Roman"/>
          <w:b w:val="0"/>
          <w:sz w:val="24"/>
        </w:rPr>
        <w:t>表3-7 t_certificate 证明记录表</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37"/>
        <w:gridCol w:w="2337"/>
        <w:gridCol w:w="2337"/>
        <w:gridCol w:w="2337"/>
      </w:tblGrid>
      <w:tr w14:paraId="369A388C">
        <w:tc>
          <w:tcPr>
            <w:tcW w:w="2337" w:type="dxa"/>
          </w:tcPr>
          <w:p w14:paraId="1A26FC79">
            <w:pPr>
              <w:spacing w:after="0" w:line="240" w:lineRule="auto"/>
              <w:jc w:val="center"/>
            </w:pPr>
            <w:r>
              <w:rPr>
                <w:rFonts w:ascii="Times New Roman" w:hAnsi="Times New Roman" w:eastAsia="宋体" w:cs="Times New Roman"/>
                <w:b/>
                <w:sz w:val="24"/>
              </w:rPr>
              <w:t>字段名</w:t>
            </w:r>
          </w:p>
        </w:tc>
        <w:tc>
          <w:tcPr>
            <w:tcW w:w="2337" w:type="dxa"/>
          </w:tcPr>
          <w:p w14:paraId="14358B80">
            <w:pPr>
              <w:spacing w:after="0" w:line="240" w:lineRule="auto"/>
              <w:jc w:val="center"/>
            </w:pPr>
            <w:r>
              <w:rPr>
                <w:rFonts w:ascii="Times New Roman" w:hAnsi="Times New Roman" w:eastAsia="宋体" w:cs="Times New Roman"/>
                <w:b/>
                <w:sz w:val="24"/>
              </w:rPr>
              <w:t>类型</w:t>
            </w:r>
          </w:p>
        </w:tc>
        <w:tc>
          <w:tcPr>
            <w:tcW w:w="2337" w:type="dxa"/>
          </w:tcPr>
          <w:p w14:paraId="4A6787FD">
            <w:pPr>
              <w:spacing w:after="0" w:line="240" w:lineRule="auto"/>
              <w:jc w:val="center"/>
            </w:pPr>
            <w:r>
              <w:rPr>
                <w:rFonts w:ascii="Times New Roman" w:hAnsi="Times New Roman" w:eastAsia="宋体" w:cs="Times New Roman"/>
                <w:b/>
                <w:sz w:val="24"/>
              </w:rPr>
              <w:t>约束</w:t>
            </w:r>
          </w:p>
        </w:tc>
        <w:tc>
          <w:tcPr>
            <w:tcW w:w="2337" w:type="dxa"/>
          </w:tcPr>
          <w:p w14:paraId="6992038E">
            <w:pPr>
              <w:spacing w:after="0" w:line="240" w:lineRule="auto"/>
              <w:jc w:val="center"/>
            </w:pPr>
            <w:r>
              <w:rPr>
                <w:rFonts w:ascii="Times New Roman" w:hAnsi="Times New Roman" w:eastAsia="宋体" w:cs="Times New Roman"/>
                <w:b/>
                <w:sz w:val="24"/>
              </w:rPr>
              <w:t>说明</w:t>
            </w:r>
          </w:p>
        </w:tc>
      </w:tr>
      <w:tr w14:paraId="19D2213D">
        <w:tc>
          <w:tcPr>
            <w:tcW w:w="2337" w:type="dxa"/>
          </w:tcPr>
          <w:p w14:paraId="69B2143E">
            <w:pPr>
              <w:spacing w:after="0" w:line="240" w:lineRule="auto"/>
              <w:jc w:val="center"/>
            </w:pPr>
            <w:r>
              <w:rPr>
                <w:rFonts w:ascii="Times New Roman" w:hAnsi="Times New Roman" w:eastAsia="宋体" w:cs="Times New Roman"/>
                <w:b w:val="0"/>
                <w:sz w:val="24"/>
              </w:rPr>
              <w:t>id</w:t>
            </w:r>
          </w:p>
        </w:tc>
        <w:tc>
          <w:tcPr>
            <w:tcW w:w="2337" w:type="dxa"/>
          </w:tcPr>
          <w:p w14:paraId="4833F4C9">
            <w:pPr>
              <w:spacing w:after="0" w:line="240" w:lineRule="auto"/>
              <w:jc w:val="center"/>
            </w:pPr>
            <w:r>
              <w:rPr>
                <w:rFonts w:ascii="Times New Roman" w:hAnsi="Times New Roman" w:eastAsia="宋体" w:cs="Times New Roman"/>
                <w:b w:val="0"/>
                <w:sz w:val="24"/>
              </w:rPr>
              <w:t>BIGINT</w:t>
            </w:r>
          </w:p>
        </w:tc>
        <w:tc>
          <w:tcPr>
            <w:tcW w:w="2337" w:type="dxa"/>
          </w:tcPr>
          <w:p w14:paraId="448E6261">
            <w:pPr>
              <w:spacing w:after="0" w:line="240" w:lineRule="auto"/>
              <w:jc w:val="center"/>
            </w:pPr>
            <w:r>
              <w:rPr>
                <w:rFonts w:ascii="Times New Roman" w:hAnsi="Times New Roman" w:eastAsia="宋体" w:cs="Times New Roman"/>
                <w:b w:val="0"/>
                <w:sz w:val="24"/>
              </w:rPr>
              <w:t>PK, NOT NULL</w:t>
            </w:r>
          </w:p>
        </w:tc>
        <w:tc>
          <w:tcPr>
            <w:tcW w:w="2337" w:type="dxa"/>
          </w:tcPr>
          <w:p w14:paraId="7DB14F3E">
            <w:pPr>
              <w:spacing w:after="0" w:line="240" w:lineRule="auto"/>
              <w:jc w:val="center"/>
            </w:pPr>
            <w:r>
              <w:rPr>
                <w:rFonts w:ascii="Times New Roman" w:hAnsi="Times New Roman" w:eastAsia="宋体" w:cs="Times New Roman"/>
                <w:b w:val="0"/>
                <w:sz w:val="24"/>
              </w:rPr>
              <w:t>证明主键</w:t>
            </w:r>
          </w:p>
        </w:tc>
      </w:tr>
      <w:tr w14:paraId="2283D2A2">
        <w:tc>
          <w:tcPr>
            <w:tcW w:w="2337" w:type="dxa"/>
          </w:tcPr>
          <w:p w14:paraId="5CBF51C3">
            <w:pPr>
              <w:spacing w:after="0" w:line="240" w:lineRule="auto"/>
              <w:jc w:val="center"/>
            </w:pPr>
            <w:r>
              <w:rPr>
                <w:rFonts w:ascii="Times New Roman" w:hAnsi="Times New Roman" w:eastAsia="宋体" w:cs="Times New Roman"/>
                <w:b w:val="0"/>
                <w:sz w:val="24"/>
              </w:rPr>
              <w:t>user_id</w:t>
            </w:r>
          </w:p>
        </w:tc>
        <w:tc>
          <w:tcPr>
            <w:tcW w:w="2337" w:type="dxa"/>
          </w:tcPr>
          <w:p w14:paraId="0CA7ADC5">
            <w:pPr>
              <w:spacing w:after="0" w:line="240" w:lineRule="auto"/>
              <w:jc w:val="center"/>
            </w:pPr>
            <w:r>
              <w:rPr>
                <w:rFonts w:ascii="Times New Roman" w:hAnsi="Times New Roman" w:eastAsia="宋体" w:cs="Times New Roman"/>
                <w:b w:val="0"/>
                <w:sz w:val="24"/>
              </w:rPr>
              <w:t>BIGINT</w:t>
            </w:r>
          </w:p>
        </w:tc>
        <w:tc>
          <w:tcPr>
            <w:tcW w:w="2337" w:type="dxa"/>
          </w:tcPr>
          <w:p w14:paraId="1EB500D2">
            <w:pPr>
              <w:spacing w:after="0" w:line="240" w:lineRule="auto"/>
              <w:jc w:val="center"/>
            </w:pPr>
            <w:r>
              <w:rPr>
                <w:rFonts w:ascii="Times New Roman" w:hAnsi="Times New Roman" w:eastAsia="宋体" w:cs="Times New Roman"/>
                <w:b w:val="0"/>
                <w:sz w:val="24"/>
              </w:rPr>
              <w:t>FK, NOT NULL</w:t>
            </w:r>
          </w:p>
        </w:tc>
        <w:tc>
          <w:tcPr>
            <w:tcW w:w="2337" w:type="dxa"/>
          </w:tcPr>
          <w:p w14:paraId="476FCEED">
            <w:pPr>
              <w:spacing w:after="0" w:line="240" w:lineRule="auto"/>
              <w:jc w:val="center"/>
            </w:pPr>
            <w:r>
              <w:rPr>
                <w:rFonts w:ascii="Times New Roman" w:hAnsi="Times New Roman" w:eastAsia="宋体" w:cs="Times New Roman"/>
                <w:b w:val="0"/>
                <w:sz w:val="24"/>
              </w:rPr>
              <w:t>用户编号</w:t>
            </w:r>
          </w:p>
        </w:tc>
      </w:tr>
      <w:tr w14:paraId="6C2E4255">
        <w:tc>
          <w:tcPr>
            <w:tcW w:w="2337" w:type="dxa"/>
          </w:tcPr>
          <w:p w14:paraId="05EBE5F5">
            <w:pPr>
              <w:spacing w:after="0" w:line="240" w:lineRule="auto"/>
              <w:jc w:val="center"/>
            </w:pPr>
            <w:r>
              <w:rPr>
                <w:rFonts w:ascii="Times New Roman" w:hAnsi="Times New Roman" w:eastAsia="宋体" w:cs="Times New Roman"/>
                <w:b w:val="0"/>
                <w:sz w:val="24"/>
              </w:rPr>
              <w:t>donation_id</w:t>
            </w:r>
          </w:p>
        </w:tc>
        <w:tc>
          <w:tcPr>
            <w:tcW w:w="2337" w:type="dxa"/>
          </w:tcPr>
          <w:p w14:paraId="4A801F6A">
            <w:pPr>
              <w:spacing w:after="0" w:line="240" w:lineRule="auto"/>
              <w:jc w:val="center"/>
            </w:pPr>
            <w:r>
              <w:rPr>
                <w:rFonts w:ascii="Times New Roman" w:hAnsi="Times New Roman" w:eastAsia="宋体" w:cs="Times New Roman"/>
                <w:b w:val="0"/>
                <w:sz w:val="24"/>
              </w:rPr>
              <w:t>BIGINT</w:t>
            </w:r>
          </w:p>
        </w:tc>
        <w:tc>
          <w:tcPr>
            <w:tcW w:w="2337" w:type="dxa"/>
          </w:tcPr>
          <w:p w14:paraId="19822CCC">
            <w:pPr>
              <w:spacing w:after="0" w:line="240" w:lineRule="auto"/>
              <w:jc w:val="center"/>
            </w:pPr>
            <w:r>
              <w:rPr>
                <w:rFonts w:ascii="Times New Roman" w:hAnsi="Times New Roman" w:eastAsia="宋体" w:cs="Times New Roman"/>
                <w:b w:val="0"/>
                <w:sz w:val="24"/>
              </w:rPr>
              <w:t>FK, NOT NULL</w:t>
            </w:r>
          </w:p>
        </w:tc>
        <w:tc>
          <w:tcPr>
            <w:tcW w:w="2337" w:type="dxa"/>
          </w:tcPr>
          <w:p w14:paraId="737FE90C">
            <w:pPr>
              <w:spacing w:after="0" w:line="240" w:lineRule="auto"/>
              <w:jc w:val="center"/>
            </w:pPr>
            <w:r>
              <w:rPr>
                <w:rFonts w:ascii="Times New Roman" w:hAnsi="Times New Roman" w:eastAsia="宋体" w:cs="Times New Roman"/>
                <w:b w:val="0"/>
                <w:sz w:val="24"/>
              </w:rPr>
              <w:t>捐赠记录编号</w:t>
            </w:r>
          </w:p>
        </w:tc>
      </w:tr>
      <w:tr w14:paraId="64AFE1D3">
        <w:tc>
          <w:tcPr>
            <w:tcW w:w="2337" w:type="dxa"/>
          </w:tcPr>
          <w:p w14:paraId="3C02DB47">
            <w:pPr>
              <w:spacing w:after="0" w:line="240" w:lineRule="auto"/>
              <w:jc w:val="center"/>
            </w:pPr>
            <w:r>
              <w:rPr>
                <w:rFonts w:ascii="Times New Roman" w:hAnsi="Times New Roman" w:eastAsia="宋体" w:cs="Times New Roman"/>
                <w:b w:val="0"/>
                <w:sz w:val="24"/>
              </w:rPr>
              <w:t>certificate_no</w:t>
            </w:r>
          </w:p>
        </w:tc>
        <w:tc>
          <w:tcPr>
            <w:tcW w:w="2337" w:type="dxa"/>
          </w:tcPr>
          <w:p w14:paraId="06AFB667">
            <w:pPr>
              <w:spacing w:after="0" w:line="240" w:lineRule="auto"/>
              <w:jc w:val="center"/>
            </w:pPr>
            <w:r>
              <w:rPr>
                <w:rFonts w:ascii="Times New Roman" w:hAnsi="Times New Roman" w:eastAsia="宋体" w:cs="Times New Roman"/>
                <w:b w:val="0"/>
                <w:sz w:val="24"/>
              </w:rPr>
              <w:t>VARCHAR(64)</w:t>
            </w:r>
          </w:p>
        </w:tc>
        <w:tc>
          <w:tcPr>
            <w:tcW w:w="2337" w:type="dxa"/>
          </w:tcPr>
          <w:p w14:paraId="3CE05156">
            <w:pPr>
              <w:spacing w:after="0" w:line="240" w:lineRule="auto"/>
              <w:jc w:val="center"/>
            </w:pPr>
            <w:r>
              <w:rPr>
                <w:rFonts w:ascii="Times New Roman" w:hAnsi="Times New Roman" w:eastAsia="宋体" w:cs="Times New Roman"/>
                <w:b w:val="0"/>
                <w:sz w:val="24"/>
              </w:rPr>
              <w:t>UNIQUE, NOT NULL</w:t>
            </w:r>
          </w:p>
        </w:tc>
        <w:tc>
          <w:tcPr>
            <w:tcW w:w="2337" w:type="dxa"/>
          </w:tcPr>
          <w:p w14:paraId="6DD34522">
            <w:pPr>
              <w:spacing w:after="0" w:line="240" w:lineRule="auto"/>
              <w:jc w:val="center"/>
            </w:pPr>
            <w:r>
              <w:rPr>
                <w:rFonts w:ascii="Times New Roman" w:hAnsi="Times New Roman" w:eastAsia="宋体" w:cs="Times New Roman"/>
                <w:b w:val="0"/>
                <w:sz w:val="24"/>
              </w:rPr>
              <w:t>证明编号</w:t>
            </w:r>
          </w:p>
        </w:tc>
      </w:tr>
      <w:tr w14:paraId="77DEF502">
        <w:tc>
          <w:tcPr>
            <w:tcW w:w="2337" w:type="dxa"/>
          </w:tcPr>
          <w:p w14:paraId="55F686C8">
            <w:pPr>
              <w:spacing w:after="0" w:line="240" w:lineRule="auto"/>
              <w:jc w:val="center"/>
            </w:pPr>
            <w:r>
              <w:rPr>
                <w:rFonts w:ascii="Times New Roman" w:hAnsi="Times New Roman" w:eastAsia="宋体" w:cs="Times New Roman"/>
                <w:b w:val="0"/>
                <w:sz w:val="24"/>
              </w:rPr>
              <w:t>issue_time</w:t>
            </w:r>
          </w:p>
        </w:tc>
        <w:tc>
          <w:tcPr>
            <w:tcW w:w="2337" w:type="dxa"/>
          </w:tcPr>
          <w:p w14:paraId="6B93BC3B">
            <w:pPr>
              <w:spacing w:after="0" w:line="240" w:lineRule="auto"/>
              <w:jc w:val="center"/>
            </w:pPr>
            <w:r>
              <w:rPr>
                <w:rFonts w:ascii="Times New Roman" w:hAnsi="Times New Roman" w:eastAsia="宋体" w:cs="Times New Roman"/>
                <w:b w:val="0"/>
                <w:sz w:val="24"/>
              </w:rPr>
              <w:t>DATETIME</w:t>
            </w:r>
          </w:p>
        </w:tc>
        <w:tc>
          <w:tcPr>
            <w:tcW w:w="2337" w:type="dxa"/>
          </w:tcPr>
          <w:p w14:paraId="436DFBB3">
            <w:pPr>
              <w:spacing w:after="0" w:line="240" w:lineRule="auto"/>
              <w:jc w:val="center"/>
            </w:pPr>
            <w:r>
              <w:rPr>
                <w:rFonts w:ascii="Times New Roman" w:hAnsi="Times New Roman" w:eastAsia="宋体" w:cs="Times New Roman"/>
                <w:b w:val="0"/>
                <w:sz w:val="24"/>
              </w:rPr>
              <w:t>NOT NULL</w:t>
            </w:r>
          </w:p>
        </w:tc>
        <w:tc>
          <w:tcPr>
            <w:tcW w:w="2337" w:type="dxa"/>
          </w:tcPr>
          <w:p w14:paraId="2D25F9C0">
            <w:pPr>
              <w:spacing w:after="0" w:line="240" w:lineRule="auto"/>
              <w:jc w:val="center"/>
            </w:pPr>
            <w:r>
              <w:rPr>
                <w:rFonts w:ascii="Times New Roman" w:hAnsi="Times New Roman" w:eastAsia="宋体" w:cs="Times New Roman"/>
                <w:b w:val="0"/>
                <w:sz w:val="24"/>
              </w:rPr>
              <w:t>生成时间</w:t>
            </w:r>
          </w:p>
        </w:tc>
      </w:tr>
      <w:tr w14:paraId="007BDDCB">
        <w:tc>
          <w:tcPr>
            <w:tcW w:w="2337" w:type="dxa"/>
          </w:tcPr>
          <w:p w14:paraId="68248975">
            <w:pPr>
              <w:spacing w:after="0" w:line="240" w:lineRule="auto"/>
              <w:jc w:val="center"/>
            </w:pPr>
            <w:r>
              <w:rPr>
                <w:rFonts w:ascii="Times New Roman" w:hAnsi="Times New Roman" w:eastAsia="宋体" w:cs="Times New Roman"/>
                <w:b w:val="0"/>
                <w:sz w:val="24"/>
              </w:rPr>
              <w:t>download_count</w:t>
            </w:r>
          </w:p>
        </w:tc>
        <w:tc>
          <w:tcPr>
            <w:tcW w:w="2337" w:type="dxa"/>
          </w:tcPr>
          <w:p w14:paraId="72F2CC84">
            <w:pPr>
              <w:spacing w:after="0" w:line="240" w:lineRule="auto"/>
              <w:jc w:val="center"/>
            </w:pPr>
            <w:r>
              <w:rPr>
                <w:rFonts w:ascii="Times New Roman" w:hAnsi="Times New Roman" w:eastAsia="宋体" w:cs="Times New Roman"/>
                <w:b w:val="0"/>
                <w:sz w:val="24"/>
              </w:rPr>
              <w:t>INT</w:t>
            </w:r>
          </w:p>
        </w:tc>
        <w:tc>
          <w:tcPr>
            <w:tcW w:w="2337" w:type="dxa"/>
          </w:tcPr>
          <w:p w14:paraId="5E5C9A09">
            <w:pPr>
              <w:spacing w:after="0" w:line="240" w:lineRule="auto"/>
              <w:jc w:val="center"/>
            </w:pPr>
            <w:r>
              <w:rPr>
                <w:rFonts w:ascii="Times New Roman" w:hAnsi="Times New Roman" w:eastAsia="宋体" w:cs="Times New Roman"/>
                <w:b w:val="0"/>
                <w:sz w:val="24"/>
              </w:rPr>
              <w:t>NOT NULL</w:t>
            </w:r>
          </w:p>
        </w:tc>
        <w:tc>
          <w:tcPr>
            <w:tcW w:w="2337" w:type="dxa"/>
          </w:tcPr>
          <w:p w14:paraId="1DC55A9B">
            <w:pPr>
              <w:spacing w:after="0" w:line="240" w:lineRule="auto"/>
              <w:jc w:val="center"/>
            </w:pPr>
            <w:r>
              <w:rPr>
                <w:rFonts w:ascii="Times New Roman" w:hAnsi="Times New Roman" w:eastAsia="宋体" w:cs="Times New Roman"/>
                <w:b w:val="0"/>
                <w:sz w:val="24"/>
              </w:rPr>
              <w:t>下载次数</w:t>
            </w:r>
          </w:p>
        </w:tc>
      </w:tr>
    </w:tbl>
    <w:p w14:paraId="494913C0">
      <w:pPr>
        <w:spacing w:before="0" w:after="0" w:line="360" w:lineRule="auto"/>
        <w:ind w:firstLine="480"/>
      </w:pPr>
      <w:r>
        <w:rPr>
          <w:rFonts w:ascii="Times New Roman" w:hAnsi="Times New Roman" w:eastAsia="宋体" w:cs="Times New Roman"/>
          <w:b w:val="0"/>
          <w:sz w:val="24"/>
        </w:rPr>
        <w:t>简述：t_certificate 支撑电子凭证留存与志愿服务认定。</w:t>
      </w:r>
    </w:p>
    <w:p w14:paraId="777100BA">
      <w:pPr>
        <w:spacing w:before="120" w:after="120" w:line="360" w:lineRule="auto"/>
        <w:ind w:firstLine="0"/>
        <w:jc w:val="center"/>
      </w:pPr>
      <w:r>
        <w:rPr>
          <w:rFonts w:ascii="Times New Roman" w:hAnsi="Times New Roman" w:eastAsia="宋体" w:cs="Times New Roman"/>
          <w:b w:val="0"/>
          <w:sz w:val="24"/>
        </w:rPr>
        <w:t>表3-8 t_notification 消息通知表</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37"/>
        <w:gridCol w:w="2337"/>
        <w:gridCol w:w="2337"/>
        <w:gridCol w:w="2337"/>
      </w:tblGrid>
      <w:tr w14:paraId="13F4C14A">
        <w:tc>
          <w:tcPr>
            <w:tcW w:w="2337" w:type="dxa"/>
          </w:tcPr>
          <w:p w14:paraId="1138FAEC">
            <w:pPr>
              <w:spacing w:after="0" w:line="240" w:lineRule="auto"/>
              <w:jc w:val="center"/>
            </w:pPr>
            <w:r>
              <w:rPr>
                <w:rFonts w:ascii="Times New Roman" w:hAnsi="Times New Roman" w:eastAsia="宋体" w:cs="Times New Roman"/>
                <w:b/>
                <w:sz w:val="24"/>
              </w:rPr>
              <w:t>字段名</w:t>
            </w:r>
          </w:p>
        </w:tc>
        <w:tc>
          <w:tcPr>
            <w:tcW w:w="2337" w:type="dxa"/>
          </w:tcPr>
          <w:p w14:paraId="6ED80861">
            <w:pPr>
              <w:spacing w:after="0" w:line="240" w:lineRule="auto"/>
              <w:jc w:val="center"/>
            </w:pPr>
            <w:r>
              <w:rPr>
                <w:rFonts w:ascii="Times New Roman" w:hAnsi="Times New Roman" w:eastAsia="宋体" w:cs="Times New Roman"/>
                <w:b/>
                <w:sz w:val="24"/>
              </w:rPr>
              <w:t>类型</w:t>
            </w:r>
          </w:p>
        </w:tc>
        <w:tc>
          <w:tcPr>
            <w:tcW w:w="2337" w:type="dxa"/>
          </w:tcPr>
          <w:p w14:paraId="39131ADA">
            <w:pPr>
              <w:spacing w:after="0" w:line="240" w:lineRule="auto"/>
              <w:jc w:val="center"/>
            </w:pPr>
            <w:r>
              <w:rPr>
                <w:rFonts w:ascii="Times New Roman" w:hAnsi="Times New Roman" w:eastAsia="宋体" w:cs="Times New Roman"/>
                <w:b/>
                <w:sz w:val="24"/>
              </w:rPr>
              <w:t>约束</w:t>
            </w:r>
          </w:p>
        </w:tc>
        <w:tc>
          <w:tcPr>
            <w:tcW w:w="2337" w:type="dxa"/>
          </w:tcPr>
          <w:p w14:paraId="6487FC56">
            <w:pPr>
              <w:spacing w:after="0" w:line="240" w:lineRule="auto"/>
              <w:jc w:val="center"/>
            </w:pPr>
            <w:r>
              <w:rPr>
                <w:rFonts w:ascii="Times New Roman" w:hAnsi="Times New Roman" w:eastAsia="宋体" w:cs="Times New Roman"/>
                <w:b/>
                <w:sz w:val="24"/>
              </w:rPr>
              <w:t>说明</w:t>
            </w:r>
          </w:p>
        </w:tc>
      </w:tr>
      <w:tr w14:paraId="60260FDA">
        <w:tc>
          <w:tcPr>
            <w:tcW w:w="2337" w:type="dxa"/>
          </w:tcPr>
          <w:p w14:paraId="54CB0CB9">
            <w:pPr>
              <w:spacing w:after="0" w:line="240" w:lineRule="auto"/>
              <w:jc w:val="center"/>
            </w:pPr>
            <w:r>
              <w:rPr>
                <w:rFonts w:ascii="Times New Roman" w:hAnsi="Times New Roman" w:eastAsia="宋体" w:cs="Times New Roman"/>
                <w:b w:val="0"/>
                <w:sz w:val="24"/>
              </w:rPr>
              <w:t>id</w:t>
            </w:r>
          </w:p>
        </w:tc>
        <w:tc>
          <w:tcPr>
            <w:tcW w:w="2337" w:type="dxa"/>
          </w:tcPr>
          <w:p w14:paraId="238B0536">
            <w:pPr>
              <w:spacing w:after="0" w:line="240" w:lineRule="auto"/>
              <w:jc w:val="center"/>
            </w:pPr>
            <w:r>
              <w:rPr>
                <w:rFonts w:ascii="Times New Roman" w:hAnsi="Times New Roman" w:eastAsia="宋体" w:cs="Times New Roman"/>
                <w:b w:val="0"/>
                <w:sz w:val="24"/>
              </w:rPr>
              <w:t>BIGINT</w:t>
            </w:r>
          </w:p>
        </w:tc>
        <w:tc>
          <w:tcPr>
            <w:tcW w:w="2337" w:type="dxa"/>
          </w:tcPr>
          <w:p w14:paraId="5C73FC8E">
            <w:pPr>
              <w:spacing w:after="0" w:line="240" w:lineRule="auto"/>
              <w:jc w:val="center"/>
            </w:pPr>
            <w:r>
              <w:rPr>
                <w:rFonts w:ascii="Times New Roman" w:hAnsi="Times New Roman" w:eastAsia="宋体" w:cs="Times New Roman"/>
                <w:b w:val="0"/>
                <w:sz w:val="24"/>
              </w:rPr>
              <w:t>PK, NOT NULL</w:t>
            </w:r>
          </w:p>
        </w:tc>
        <w:tc>
          <w:tcPr>
            <w:tcW w:w="2337" w:type="dxa"/>
          </w:tcPr>
          <w:p w14:paraId="4F805DD0">
            <w:pPr>
              <w:spacing w:after="0" w:line="240" w:lineRule="auto"/>
              <w:jc w:val="center"/>
            </w:pPr>
            <w:r>
              <w:rPr>
                <w:rFonts w:ascii="Times New Roman" w:hAnsi="Times New Roman" w:eastAsia="宋体" w:cs="Times New Roman"/>
                <w:b w:val="0"/>
                <w:sz w:val="24"/>
              </w:rPr>
              <w:t>消息主键</w:t>
            </w:r>
          </w:p>
        </w:tc>
      </w:tr>
      <w:tr w14:paraId="35858A0F">
        <w:tc>
          <w:tcPr>
            <w:tcW w:w="2337" w:type="dxa"/>
          </w:tcPr>
          <w:p w14:paraId="4202974D">
            <w:pPr>
              <w:spacing w:after="0" w:line="240" w:lineRule="auto"/>
              <w:jc w:val="center"/>
            </w:pPr>
            <w:r>
              <w:rPr>
                <w:rFonts w:ascii="Times New Roman" w:hAnsi="Times New Roman" w:eastAsia="宋体" w:cs="Times New Roman"/>
                <w:b w:val="0"/>
                <w:sz w:val="24"/>
              </w:rPr>
              <w:t>user_id</w:t>
            </w:r>
          </w:p>
        </w:tc>
        <w:tc>
          <w:tcPr>
            <w:tcW w:w="2337" w:type="dxa"/>
          </w:tcPr>
          <w:p w14:paraId="20B45183">
            <w:pPr>
              <w:spacing w:after="0" w:line="240" w:lineRule="auto"/>
              <w:jc w:val="center"/>
            </w:pPr>
            <w:r>
              <w:rPr>
                <w:rFonts w:ascii="Times New Roman" w:hAnsi="Times New Roman" w:eastAsia="宋体" w:cs="Times New Roman"/>
                <w:b w:val="0"/>
                <w:sz w:val="24"/>
              </w:rPr>
              <w:t>BIGINT</w:t>
            </w:r>
          </w:p>
        </w:tc>
        <w:tc>
          <w:tcPr>
            <w:tcW w:w="2337" w:type="dxa"/>
          </w:tcPr>
          <w:p w14:paraId="688BC8D7">
            <w:pPr>
              <w:spacing w:after="0" w:line="240" w:lineRule="auto"/>
              <w:jc w:val="center"/>
            </w:pPr>
            <w:r>
              <w:rPr>
                <w:rFonts w:ascii="Times New Roman" w:hAnsi="Times New Roman" w:eastAsia="宋体" w:cs="Times New Roman"/>
                <w:b w:val="0"/>
                <w:sz w:val="24"/>
              </w:rPr>
              <w:t>FK, NOT NULL</w:t>
            </w:r>
          </w:p>
        </w:tc>
        <w:tc>
          <w:tcPr>
            <w:tcW w:w="2337" w:type="dxa"/>
          </w:tcPr>
          <w:p w14:paraId="313FAA79">
            <w:pPr>
              <w:spacing w:after="0" w:line="240" w:lineRule="auto"/>
              <w:jc w:val="center"/>
            </w:pPr>
            <w:r>
              <w:rPr>
                <w:rFonts w:ascii="Times New Roman" w:hAnsi="Times New Roman" w:eastAsia="宋体" w:cs="Times New Roman"/>
                <w:b w:val="0"/>
                <w:sz w:val="24"/>
              </w:rPr>
              <w:t>接收人</w:t>
            </w:r>
          </w:p>
        </w:tc>
      </w:tr>
      <w:tr w14:paraId="24AFFC20">
        <w:tc>
          <w:tcPr>
            <w:tcW w:w="2337" w:type="dxa"/>
          </w:tcPr>
          <w:p w14:paraId="25EB1F68">
            <w:pPr>
              <w:spacing w:after="0" w:line="240" w:lineRule="auto"/>
              <w:jc w:val="center"/>
            </w:pPr>
            <w:r>
              <w:rPr>
                <w:rFonts w:ascii="Times New Roman" w:hAnsi="Times New Roman" w:eastAsia="宋体" w:cs="Times New Roman"/>
                <w:b w:val="0"/>
                <w:sz w:val="24"/>
              </w:rPr>
              <w:t>title</w:t>
            </w:r>
          </w:p>
        </w:tc>
        <w:tc>
          <w:tcPr>
            <w:tcW w:w="2337" w:type="dxa"/>
          </w:tcPr>
          <w:p w14:paraId="2D7F0CAA">
            <w:pPr>
              <w:spacing w:after="0" w:line="240" w:lineRule="auto"/>
              <w:jc w:val="center"/>
            </w:pPr>
            <w:r>
              <w:rPr>
                <w:rFonts w:ascii="Times New Roman" w:hAnsi="Times New Roman" w:eastAsia="宋体" w:cs="Times New Roman"/>
                <w:b w:val="0"/>
                <w:sz w:val="24"/>
              </w:rPr>
              <w:t>VARCHAR(100)</w:t>
            </w:r>
          </w:p>
        </w:tc>
        <w:tc>
          <w:tcPr>
            <w:tcW w:w="2337" w:type="dxa"/>
          </w:tcPr>
          <w:p w14:paraId="5134BE35">
            <w:pPr>
              <w:spacing w:after="0" w:line="240" w:lineRule="auto"/>
              <w:jc w:val="center"/>
            </w:pPr>
            <w:r>
              <w:rPr>
                <w:rFonts w:ascii="Times New Roman" w:hAnsi="Times New Roman" w:eastAsia="宋体" w:cs="Times New Roman"/>
                <w:b w:val="0"/>
                <w:sz w:val="24"/>
              </w:rPr>
              <w:t>NOT NULL</w:t>
            </w:r>
          </w:p>
        </w:tc>
        <w:tc>
          <w:tcPr>
            <w:tcW w:w="2337" w:type="dxa"/>
          </w:tcPr>
          <w:p w14:paraId="105B35D5">
            <w:pPr>
              <w:spacing w:after="0" w:line="240" w:lineRule="auto"/>
              <w:jc w:val="center"/>
            </w:pPr>
            <w:r>
              <w:rPr>
                <w:rFonts w:ascii="Times New Roman" w:hAnsi="Times New Roman" w:eastAsia="宋体" w:cs="Times New Roman"/>
                <w:b w:val="0"/>
                <w:sz w:val="24"/>
              </w:rPr>
              <w:t>消息标题</w:t>
            </w:r>
          </w:p>
        </w:tc>
      </w:tr>
      <w:tr w14:paraId="349F90C4">
        <w:tc>
          <w:tcPr>
            <w:tcW w:w="2337" w:type="dxa"/>
          </w:tcPr>
          <w:p w14:paraId="6ADBF4EA">
            <w:pPr>
              <w:spacing w:after="0" w:line="240" w:lineRule="auto"/>
              <w:jc w:val="center"/>
            </w:pPr>
            <w:r>
              <w:rPr>
                <w:rFonts w:ascii="Times New Roman" w:hAnsi="Times New Roman" w:eastAsia="宋体" w:cs="Times New Roman"/>
                <w:b w:val="0"/>
                <w:sz w:val="24"/>
              </w:rPr>
              <w:t>content</w:t>
            </w:r>
          </w:p>
        </w:tc>
        <w:tc>
          <w:tcPr>
            <w:tcW w:w="2337" w:type="dxa"/>
          </w:tcPr>
          <w:p w14:paraId="37BF9F0B">
            <w:pPr>
              <w:spacing w:after="0" w:line="240" w:lineRule="auto"/>
              <w:jc w:val="center"/>
            </w:pPr>
            <w:r>
              <w:rPr>
                <w:rFonts w:ascii="Times New Roman" w:hAnsi="Times New Roman" w:eastAsia="宋体" w:cs="Times New Roman"/>
                <w:b w:val="0"/>
                <w:sz w:val="24"/>
              </w:rPr>
              <w:t>VARCHAR(1000)</w:t>
            </w:r>
          </w:p>
        </w:tc>
        <w:tc>
          <w:tcPr>
            <w:tcW w:w="2337" w:type="dxa"/>
          </w:tcPr>
          <w:p w14:paraId="4245E6A2">
            <w:pPr>
              <w:spacing w:after="0" w:line="240" w:lineRule="auto"/>
              <w:jc w:val="center"/>
            </w:pPr>
            <w:r>
              <w:rPr>
                <w:rFonts w:ascii="Times New Roman" w:hAnsi="Times New Roman" w:eastAsia="宋体" w:cs="Times New Roman"/>
                <w:b w:val="0"/>
                <w:sz w:val="24"/>
              </w:rPr>
              <w:t>NOT NULL</w:t>
            </w:r>
          </w:p>
        </w:tc>
        <w:tc>
          <w:tcPr>
            <w:tcW w:w="2337" w:type="dxa"/>
          </w:tcPr>
          <w:p w14:paraId="11CAAD80">
            <w:pPr>
              <w:spacing w:after="0" w:line="240" w:lineRule="auto"/>
              <w:jc w:val="center"/>
            </w:pPr>
            <w:r>
              <w:rPr>
                <w:rFonts w:ascii="Times New Roman" w:hAnsi="Times New Roman" w:eastAsia="宋体" w:cs="Times New Roman"/>
                <w:b w:val="0"/>
                <w:sz w:val="24"/>
              </w:rPr>
              <w:t>消息内容</w:t>
            </w:r>
          </w:p>
        </w:tc>
      </w:tr>
      <w:tr w14:paraId="5BE17AF1">
        <w:tc>
          <w:tcPr>
            <w:tcW w:w="2337" w:type="dxa"/>
          </w:tcPr>
          <w:p w14:paraId="32EB1C46">
            <w:pPr>
              <w:spacing w:after="0" w:line="240" w:lineRule="auto"/>
              <w:jc w:val="center"/>
            </w:pPr>
            <w:r>
              <w:rPr>
                <w:rFonts w:ascii="Times New Roman" w:hAnsi="Times New Roman" w:eastAsia="宋体" w:cs="Times New Roman"/>
                <w:b w:val="0"/>
                <w:sz w:val="24"/>
              </w:rPr>
              <w:t>read_flag</w:t>
            </w:r>
          </w:p>
        </w:tc>
        <w:tc>
          <w:tcPr>
            <w:tcW w:w="2337" w:type="dxa"/>
          </w:tcPr>
          <w:p w14:paraId="0F38155B">
            <w:pPr>
              <w:spacing w:after="0" w:line="240" w:lineRule="auto"/>
              <w:jc w:val="center"/>
            </w:pPr>
            <w:r>
              <w:rPr>
                <w:rFonts w:ascii="Times New Roman" w:hAnsi="Times New Roman" w:eastAsia="宋体" w:cs="Times New Roman"/>
                <w:b w:val="0"/>
                <w:sz w:val="24"/>
              </w:rPr>
              <w:t>TINYINT</w:t>
            </w:r>
          </w:p>
        </w:tc>
        <w:tc>
          <w:tcPr>
            <w:tcW w:w="2337" w:type="dxa"/>
          </w:tcPr>
          <w:p w14:paraId="6DA51315">
            <w:pPr>
              <w:spacing w:after="0" w:line="240" w:lineRule="auto"/>
              <w:jc w:val="center"/>
            </w:pPr>
            <w:r>
              <w:rPr>
                <w:rFonts w:ascii="Times New Roman" w:hAnsi="Times New Roman" w:eastAsia="宋体" w:cs="Times New Roman"/>
                <w:b w:val="0"/>
                <w:sz w:val="24"/>
              </w:rPr>
              <w:t>NOT NULL</w:t>
            </w:r>
          </w:p>
        </w:tc>
        <w:tc>
          <w:tcPr>
            <w:tcW w:w="2337" w:type="dxa"/>
          </w:tcPr>
          <w:p w14:paraId="4A569DCA">
            <w:pPr>
              <w:spacing w:after="0" w:line="240" w:lineRule="auto"/>
              <w:jc w:val="center"/>
            </w:pPr>
            <w:r>
              <w:rPr>
                <w:rFonts w:ascii="Times New Roman" w:hAnsi="Times New Roman" w:eastAsia="宋体" w:cs="Times New Roman"/>
                <w:b w:val="0"/>
                <w:sz w:val="24"/>
              </w:rPr>
              <w:t>已读标识</w:t>
            </w:r>
          </w:p>
        </w:tc>
      </w:tr>
      <w:tr w14:paraId="21BC2770">
        <w:tc>
          <w:tcPr>
            <w:tcW w:w="2337" w:type="dxa"/>
          </w:tcPr>
          <w:p w14:paraId="34945C01">
            <w:pPr>
              <w:spacing w:after="0" w:line="240" w:lineRule="auto"/>
              <w:jc w:val="center"/>
            </w:pPr>
            <w:r>
              <w:rPr>
                <w:rFonts w:ascii="Times New Roman" w:hAnsi="Times New Roman" w:eastAsia="宋体" w:cs="Times New Roman"/>
                <w:b w:val="0"/>
                <w:sz w:val="24"/>
              </w:rPr>
              <w:t>biz_type</w:t>
            </w:r>
          </w:p>
        </w:tc>
        <w:tc>
          <w:tcPr>
            <w:tcW w:w="2337" w:type="dxa"/>
          </w:tcPr>
          <w:p w14:paraId="0CF3D753">
            <w:pPr>
              <w:spacing w:after="0" w:line="240" w:lineRule="auto"/>
              <w:jc w:val="center"/>
            </w:pPr>
            <w:r>
              <w:rPr>
                <w:rFonts w:ascii="Times New Roman" w:hAnsi="Times New Roman" w:eastAsia="宋体" w:cs="Times New Roman"/>
                <w:b w:val="0"/>
                <w:sz w:val="24"/>
              </w:rPr>
              <w:t>VARCHAR(30)</w:t>
            </w:r>
          </w:p>
        </w:tc>
        <w:tc>
          <w:tcPr>
            <w:tcW w:w="2337" w:type="dxa"/>
          </w:tcPr>
          <w:p w14:paraId="0AF1981C">
            <w:pPr>
              <w:spacing w:after="0" w:line="240" w:lineRule="auto"/>
              <w:jc w:val="center"/>
            </w:pPr>
            <w:r>
              <w:rPr>
                <w:rFonts w:ascii="Times New Roman" w:hAnsi="Times New Roman" w:eastAsia="宋体" w:cs="Times New Roman"/>
                <w:b w:val="0"/>
                <w:sz w:val="24"/>
              </w:rPr>
              <w:t>NOT NULL</w:t>
            </w:r>
          </w:p>
        </w:tc>
        <w:tc>
          <w:tcPr>
            <w:tcW w:w="2337" w:type="dxa"/>
          </w:tcPr>
          <w:p w14:paraId="3AB80F43">
            <w:pPr>
              <w:spacing w:after="0" w:line="240" w:lineRule="auto"/>
              <w:jc w:val="center"/>
            </w:pPr>
            <w:r>
              <w:rPr>
                <w:rFonts w:ascii="Times New Roman" w:hAnsi="Times New Roman" w:eastAsia="宋体" w:cs="Times New Roman"/>
                <w:b w:val="0"/>
                <w:sz w:val="24"/>
              </w:rPr>
              <w:t>业务类型</w:t>
            </w:r>
          </w:p>
        </w:tc>
      </w:tr>
      <w:tr w14:paraId="4B0E0F4D">
        <w:tc>
          <w:tcPr>
            <w:tcW w:w="2337" w:type="dxa"/>
          </w:tcPr>
          <w:p w14:paraId="77F90A6B">
            <w:pPr>
              <w:spacing w:after="0" w:line="240" w:lineRule="auto"/>
              <w:jc w:val="center"/>
            </w:pPr>
            <w:r>
              <w:rPr>
                <w:rFonts w:ascii="Times New Roman" w:hAnsi="Times New Roman" w:eastAsia="宋体" w:cs="Times New Roman"/>
                <w:b w:val="0"/>
                <w:sz w:val="24"/>
              </w:rPr>
              <w:t>create_time</w:t>
            </w:r>
          </w:p>
        </w:tc>
        <w:tc>
          <w:tcPr>
            <w:tcW w:w="2337" w:type="dxa"/>
          </w:tcPr>
          <w:p w14:paraId="7A7A4F90">
            <w:pPr>
              <w:spacing w:after="0" w:line="240" w:lineRule="auto"/>
              <w:jc w:val="center"/>
            </w:pPr>
            <w:r>
              <w:rPr>
                <w:rFonts w:ascii="Times New Roman" w:hAnsi="Times New Roman" w:eastAsia="宋体" w:cs="Times New Roman"/>
                <w:b w:val="0"/>
                <w:sz w:val="24"/>
              </w:rPr>
              <w:t>DATETIME</w:t>
            </w:r>
          </w:p>
        </w:tc>
        <w:tc>
          <w:tcPr>
            <w:tcW w:w="2337" w:type="dxa"/>
          </w:tcPr>
          <w:p w14:paraId="2E1C45A9">
            <w:pPr>
              <w:spacing w:after="0" w:line="240" w:lineRule="auto"/>
              <w:jc w:val="center"/>
            </w:pPr>
            <w:r>
              <w:rPr>
                <w:rFonts w:ascii="Times New Roman" w:hAnsi="Times New Roman" w:eastAsia="宋体" w:cs="Times New Roman"/>
                <w:b w:val="0"/>
                <w:sz w:val="24"/>
              </w:rPr>
              <w:t>NOT NULL</w:t>
            </w:r>
          </w:p>
        </w:tc>
        <w:tc>
          <w:tcPr>
            <w:tcW w:w="2337" w:type="dxa"/>
          </w:tcPr>
          <w:p w14:paraId="262F06F0">
            <w:pPr>
              <w:spacing w:after="0" w:line="240" w:lineRule="auto"/>
              <w:jc w:val="center"/>
            </w:pPr>
            <w:r>
              <w:rPr>
                <w:rFonts w:ascii="Times New Roman" w:hAnsi="Times New Roman" w:eastAsia="宋体" w:cs="Times New Roman"/>
                <w:b w:val="0"/>
                <w:sz w:val="24"/>
              </w:rPr>
              <w:t>发送时间</w:t>
            </w:r>
          </w:p>
        </w:tc>
      </w:tr>
    </w:tbl>
    <w:p w14:paraId="092CD867">
      <w:pPr>
        <w:spacing w:before="0" w:after="0" w:line="360" w:lineRule="auto"/>
        <w:ind w:firstLine="480"/>
      </w:pPr>
      <w:r>
        <w:rPr>
          <w:rFonts w:ascii="Times New Roman" w:hAnsi="Times New Roman" w:eastAsia="宋体" w:cs="Times New Roman"/>
          <w:b w:val="0"/>
          <w:sz w:val="24"/>
        </w:rPr>
        <w:t>简述：t_notification 配合 WebSocket 实现“实时推送 + 站内留痕”双通道通知[9]。</w:t>
      </w:r>
    </w:p>
    <w:p w14:paraId="6AD9F4D8">
      <w:pPr>
        <w:spacing w:before="120" w:after="120" w:line="360" w:lineRule="auto"/>
        <w:ind w:firstLine="0"/>
        <w:jc w:val="center"/>
      </w:pPr>
      <w:r>
        <w:rPr>
          <w:rFonts w:ascii="Times New Roman" w:hAnsi="Times New Roman" w:eastAsia="宋体" w:cs="Times New Roman"/>
          <w:b w:val="0"/>
          <w:sz w:val="24"/>
        </w:rPr>
        <w:t>表3-9 t_statistics 统计数据表</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37"/>
        <w:gridCol w:w="2337"/>
        <w:gridCol w:w="2337"/>
        <w:gridCol w:w="2337"/>
      </w:tblGrid>
      <w:tr w14:paraId="34F02A2A">
        <w:tc>
          <w:tcPr>
            <w:tcW w:w="2337" w:type="dxa"/>
          </w:tcPr>
          <w:p w14:paraId="11A266E3">
            <w:pPr>
              <w:spacing w:after="0" w:line="240" w:lineRule="auto"/>
              <w:jc w:val="center"/>
            </w:pPr>
            <w:r>
              <w:rPr>
                <w:rFonts w:ascii="Times New Roman" w:hAnsi="Times New Roman" w:eastAsia="宋体" w:cs="Times New Roman"/>
                <w:b/>
                <w:sz w:val="24"/>
              </w:rPr>
              <w:t>字段名</w:t>
            </w:r>
          </w:p>
        </w:tc>
        <w:tc>
          <w:tcPr>
            <w:tcW w:w="2337" w:type="dxa"/>
          </w:tcPr>
          <w:p w14:paraId="6354DC40">
            <w:pPr>
              <w:spacing w:after="0" w:line="240" w:lineRule="auto"/>
              <w:jc w:val="center"/>
            </w:pPr>
            <w:r>
              <w:rPr>
                <w:rFonts w:ascii="Times New Roman" w:hAnsi="Times New Roman" w:eastAsia="宋体" w:cs="Times New Roman"/>
                <w:b/>
                <w:sz w:val="24"/>
              </w:rPr>
              <w:t>类型</w:t>
            </w:r>
          </w:p>
        </w:tc>
        <w:tc>
          <w:tcPr>
            <w:tcW w:w="2337" w:type="dxa"/>
          </w:tcPr>
          <w:p w14:paraId="1FB98C44">
            <w:pPr>
              <w:spacing w:after="0" w:line="240" w:lineRule="auto"/>
              <w:jc w:val="center"/>
            </w:pPr>
            <w:r>
              <w:rPr>
                <w:rFonts w:ascii="Times New Roman" w:hAnsi="Times New Roman" w:eastAsia="宋体" w:cs="Times New Roman"/>
                <w:b/>
                <w:sz w:val="24"/>
              </w:rPr>
              <w:t>约束</w:t>
            </w:r>
          </w:p>
        </w:tc>
        <w:tc>
          <w:tcPr>
            <w:tcW w:w="2337" w:type="dxa"/>
          </w:tcPr>
          <w:p w14:paraId="350392F3">
            <w:pPr>
              <w:spacing w:after="0" w:line="240" w:lineRule="auto"/>
              <w:jc w:val="center"/>
            </w:pPr>
            <w:r>
              <w:rPr>
                <w:rFonts w:ascii="Times New Roman" w:hAnsi="Times New Roman" w:eastAsia="宋体" w:cs="Times New Roman"/>
                <w:b/>
                <w:sz w:val="24"/>
              </w:rPr>
              <w:t>说明</w:t>
            </w:r>
          </w:p>
        </w:tc>
      </w:tr>
      <w:tr w14:paraId="6C799CE9">
        <w:tc>
          <w:tcPr>
            <w:tcW w:w="2337" w:type="dxa"/>
          </w:tcPr>
          <w:p w14:paraId="7C6720D5">
            <w:pPr>
              <w:spacing w:after="0" w:line="240" w:lineRule="auto"/>
              <w:jc w:val="center"/>
            </w:pPr>
            <w:r>
              <w:rPr>
                <w:rFonts w:ascii="Times New Roman" w:hAnsi="Times New Roman" w:eastAsia="宋体" w:cs="Times New Roman"/>
                <w:b w:val="0"/>
                <w:sz w:val="24"/>
              </w:rPr>
              <w:t>id</w:t>
            </w:r>
          </w:p>
        </w:tc>
        <w:tc>
          <w:tcPr>
            <w:tcW w:w="2337" w:type="dxa"/>
          </w:tcPr>
          <w:p w14:paraId="7E0AAFFC">
            <w:pPr>
              <w:spacing w:after="0" w:line="240" w:lineRule="auto"/>
              <w:jc w:val="center"/>
            </w:pPr>
            <w:r>
              <w:rPr>
                <w:rFonts w:ascii="Times New Roman" w:hAnsi="Times New Roman" w:eastAsia="宋体" w:cs="Times New Roman"/>
                <w:b w:val="0"/>
                <w:sz w:val="24"/>
              </w:rPr>
              <w:t>BIGINT</w:t>
            </w:r>
          </w:p>
        </w:tc>
        <w:tc>
          <w:tcPr>
            <w:tcW w:w="2337" w:type="dxa"/>
          </w:tcPr>
          <w:p w14:paraId="0B985377">
            <w:pPr>
              <w:spacing w:after="0" w:line="240" w:lineRule="auto"/>
              <w:jc w:val="center"/>
            </w:pPr>
            <w:r>
              <w:rPr>
                <w:rFonts w:ascii="Times New Roman" w:hAnsi="Times New Roman" w:eastAsia="宋体" w:cs="Times New Roman"/>
                <w:b w:val="0"/>
                <w:sz w:val="24"/>
              </w:rPr>
              <w:t>PK, NOT NULL</w:t>
            </w:r>
          </w:p>
        </w:tc>
        <w:tc>
          <w:tcPr>
            <w:tcW w:w="2337" w:type="dxa"/>
          </w:tcPr>
          <w:p w14:paraId="15D11519">
            <w:pPr>
              <w:spacing w:after="0" w:line="240" w:lineRule="auto"/>
              <w:jc w:val="center"/>
            </w:pPr>
            <w:r>
              <w:rPr>
                <w:rFonts w:ascii="Times New Roman" w:hAnsi="Times New Roman" w:eastAsia="宋体" w:cs="Times New Roman"/>
                <w:b w:val="0"/>
                <w:sz w:val="24"/>
              </w:rPr>
              <w:t>统计主键</w:t>
            </w:r>
          </w:p>
        </w:tc>
      </w:tr>
      <w:tr w14:paraId="095E98CD">
        <w:tc>
          <w:tcPr>
            <w:tcW w:w="2337" w:type="dxa"/>
          </w:tcPr>
          <w:p w14:paraId="4A8A0C84">
            <w:pPr>
              <w:spacing w:after="0" w:line="240" w:lineRule="auto"/>
              <w:jc w:val="center"/>
            </w:pPr>
            <w:r>
              <w:rPr>
                <w:rFonts w:ascii="Times New Roman" w:hAnsi="Times New Roman" w:eastAsia="宋体" w:cs="Times New Roman"/>
                <w:b w:val="0"/>
                <w:sz w:val="24"/>
              </w:rPr>
              <w:t>stat_date</w:t>
            </w:r>
          </w:p>
        </w:tc>
        <w:tc>
          <w:tcPr>
            <w:tcW w:w="2337" w:type="dxa"/>
          </w:tcPr>
          <w:p w14:paraId="03427DF1">
            <w:pPr>
              <w:spacing w:after="0" w:line="240" w:lineRule="auto"/>
              <w:jc w:val="center"/>
            </w:pPr>
            <w:r>
              <w:rPr>
                <w:rFonts w:ascii="Times New Roman" w:hAnsi="Times New Roman" w:eastAsia="宋体" w:cs="Times New Roman"/>
                <w:b w:val="0"/>
                <w:sz w:val="24"/>
              </w:rPr>
              <w:t>DATE</w:t>
            </w:r>
          </w:p>
        </w:tc>
        <w:tc>
          <w:tcPr>
            <w:tcW w:w="2337" w:type="dxa"/>
          </w:tcPr>
          <w:p w14:paraId="11C56DDA">
            <w:pPr>
              <w:spacing w:after="0" w:line="240" w:lineRule="auto"/>
              <w:jc w:val="center"/>
            </w:pPr>
            <w:r>
              <w:rPr>
                <w:rFonts w:ascii="Times New Roman" w:hAnsi="Times New Roman" w:eastAsia="宋体" w:cs="Times New Roman"/>
                <w:b w:val="0"/>
                <w:sz w:val="24"/>
              </w:rPr>
              <w:t>NOT NULL</w:t>
            </w:r>
          </w:p>
        </w:tc>
        <w:tc>
          <w:tcPr>
            <w:tcW w:w="2337" w:type="dxa"/>
          </w:tcPr>
          <w:p w14:paraId="15F2C485">
            <w:pPr>
              <w:spacing w:after="0" w:line="240" w:lineRule="auto"/>
              <w:jc w:val="center"/>
            </w:pPr>
            <w:r>
              <w:rPr>
                <w:rFonts w:ascii="Times New Roman" w:hAnsi="Times New Roman" w:eastAsia="宋体" w:cs="Times New Roman"/>
                <w:b w:val="0"/>
                <w:sz w:val="24"/>
              </w:rPr>
              <w:t>统计日期</w:t>
            </w:r>
          </w:p>
        </w:tc>
      </w:tr>
      <w:tr w14:paraId="15D0A607">
        <w:tc>
          <w:tcPr>
            <w:tcW w:w="2337" w:type="dxa"/>
          </w:tcPr>
          <w:p w14:paraId="347F563E">
            <w:pPr>
              <w:spacing w:after="0" w:line="240" w:lineRule="auto"/>
              <w:jc w:val="center"/>
            </w:pPr>
            <w:r>
              <w:rPr>
                <w:rFonts w:ascii="Times New Roman" w:hAnsi="Times New Roman" w:eastAsia="宋体" w:cs="Times New Roman"/>
                <w:b w:val="0"/>
                <w:sz w:val="24"/>
              </w:rPr>
              <w:t>stat_type</w:t>
            </w:r>
          </w:p>
        </w:tc>
        <w:tc>
          <w:tcPr>
            <w:tcW w:w="2337" w:type="dxa"/>
          </w:tcPr>
          <w:p w14:paraId="2BEF8F53">
            <w:pPr>
              <w:spacing w:after="0" w:line="240" w:lineRule="auto"/>
              <w:jc w:val="center"/>
            </w:pPr>
            <w:r>
              <w:rPr>
                <w:rFonts w:ascii="Times New Roman" w:hAnsi="Times New Roman" w:eastAsia="宋体" w:cs="Times New Roman"/>
                <w:b w:val="0"/>
                <w:sz w:val="24"/>
              </w:rPr>
              <w:t>VARCHAR(30)</w:t>
            </w:r>
          </w:p>
        </w:tc>
        <w:tc>
          <w:tcPr>
            <w:tcW w:w="2337" w:type="dxa"/>
          </w:tcPr>
          <w:p w14:paraId="487CE757">
            <w:pPr>
              <w:spacing w:after="0" w:line="240" w:lineRule="auto"/>
              <w:jc w:val="center"/>
            </w:pPr>
            <w:r>
              <w:rPr>
                <w:rFonts w:ascii="Times New Roman" w:hAnsi="Times New Roman" w:eastAsia="宋体" w:cs="Times New Roman"/>
                <w:b w:val="0"/>
                <w:sz w:val="24"/>
              </w:rPr>
              <w:t>NOT NULL</w:t>
            </w:r>
          </w:p>
        </w:tc>
        <w:tc>
          <w:tcPr>
            <w:tcW w:w="2337" w:type="dxa"/>
          </w:tcPr>
          <w:p w14:paraId="37CB3CCE">
            <w:pPr>
              <w:spacing w:after="0" w:line="240" w:lineRule="auto"/>
              <w:jc w:val="center"/>
            </w:pPr>
            <w:r>
              <w:rPr>
                <w:rFonts w:ascii="Times New Roman" w:hAnsi="Times New Roman" w:eastAsia="宋体" w:cs="Times New Roman"/>
                <w:b w:val="0"/>
                <w:sz w:val="24"/>
              </w:rPr>
              <w:t>统计类型</w:t>
            </w:r>
          </w:p>
        </w:tc>
      </w:tr>
      <w:tr w14:paraId="0D9E1944">
        <w:tc>
          <w:tcPr>
            <w:tcW w:w="2337" w:type="dxa"/>
          </w:tcPr>
          <w:p w14:paraId="0AF821C9">
            <w:pPr>
              <w:spacing w:after="0" w:line="240" w:lineRule="auto"/>
              <w:jc w:val="center"/>
            </w:pPr>
            <w:r>
              <w:rPr>
                <w:rFonts w:ascii="Times New Roman" w:hAnsi="Times New Roman" w:eastAsia="宋体" w:cs="Times New Roman"/>
                <w:b w:val="0"/>
                <w:sz w:val="24"/>
              </w:rPr>
              <w:t>stat_key</w:t>
            </w:r>
          </w:p>
        </w:tc>
        <w:tc>
          <w:tcPr>
            <w:tcW w:w="2337" w:type="dxa"/>
          </w:tcPr>
          <w:p w14:paraId="6EEA6F20">
            <w:pPr>
              <w:spacing w:after="0" w:line="240" w:lineRule="auto"/>
              <w:jc w:val="center"/>
            </w:pPr>
            <w:r>
              <w:rPr>
                <w:rFonts w:ascii="Times New Roman" w:hAnsi="Times New Roman" w:eastAsia="宋体" w:cs="Times New Roman"/>
                <w:b w:val="0"/>
                <w:sz w:val="24"/>
              </w:rPr>
              <w:t>VARCHAR(50)</w:t>
            </w:r>
          </w:p>
        </w:tc>
        <w:tc>
          <w:tcPr>
            <w:tcW w:w="2337" w:type="dxa"/>
          </w:tcPr>
          <w:p w14:paraId="5DC84B5E">
            <w:pPr>
              <w:spacing w:after="0" w:line="240" w:lineRule="auto"/>
              <w:jc w:val="center"/>
            </w:pPr>
            <w:r>
              <w:rPr>
                <w:rFonts w:ascii="Times New Roman" w:hAnsi="Times New Roman" w:eastAsia="宋体" w:cs="Times New Roman"/>
                <w:b w:val="0"/>
                <w:sz w:val="24"/>
              </w:rPr>
              <w:t>NOT NULL</w:t>
            </w:r>
          </w:p>
        </w:tc>
        <w:tc>
          <w:tcPr>
            <w:tcW w:w="2337" w:type="dxa"/>
          </w:tcPr>
          <w:p w14:paraId="7E65A43B">
            <w:pPr>
              <w:spacing w:after="0" w:line="240" w:lineRule="auto"/>
              <w:jc w:val="center"/>
            </w:pPr>
            <w:r>
              <w:rPr>
                <w:rFonts w:ascii="Times New Roman" w:hAnsi="Times New Roman" w:eastAsia="宋体" w:cs="Times New Roman"/>
                <w:b w:val="0"/>
                <w:sz w:val="24"/>
              </w:rPr>
              <w:t>指标键</w:t>
            </w:r>
          </w:p>
        </w:tc>
      </w:tr>
      <w:tr w14:paraId="792FF71F">
        <w:tc>
          <w:tcPr>
            <w:tcW w:w="2337" w:type="dxa"/>
          </w:tcPr>
          <w:p w14:paraId="5AED2E9D">
            <w:pPr>
              <w:spacing w:after="0" w:line="240" w:lineRule="auto"/>
              <w:jc w:val="center"/>
            </w:pPr>
            <w:r>
              <w:rPr>
                <w:rFonts w:ascii="Times New Roman" w:hAnsi="Times New Roman" w:eastAsia="宋体" w:cs="Times New Roman"/>
                <w:b w:val="0"/>
                <w:sz w:val="24"/>
              </w:rPr>
              <w:t>stat_value</w:t>
            </w:r>
          </w:p>
        </w:tc>
        <w:tc>
          <w:tcPr>
            <w:tcW w:w="2337" w:type="dxa"/>
          </w:tcPr>
          <w:p w14:paraId="555D6C4F">
            <w:pPr>
              <w:spacing w:after="0" w:line="240" w:lineRule="auto"/>
              <w:jc w:val="center"/>
            </w:pPr>
            <w:r>
              <w:rPr>
                <w:rFonts w:ascii="Times New Roman" w:hAnsi="Times New Roman" w:eastAsia="宋体" w:cs="Times New Roman"/>
                <w:b w:val="0"/>
                <w:sz w:val="24"/>
              </w:rPr>
              <w:t>DECIMAL(18,2)</w:t>
            </w:r>
          </w:p>
        </w:tc>
        <w:tc>
          <w:tcPr>
            <w:tcW w:w="2337" w:type="dxa"/>
          </w:tcPr>
          <w:p w14:paraId="33B3BA5F">
            <w:pPr>
              <w:spacing w:after="0" w:line="240" w:lineRule="auto"/>
              <w:jc w:val="center"/>
            </w:pPr>
            <w:r>
              <w:rPr>
                <w:rFonts w:ascii="Times New Roman" w:hAnsi="Times New Roman" w:eastAsia="宋体" w:cs="Times New Roman"/>
                <w:b w:val="0"/>
                <w:sz w:val="24"/>
              </w:rPr>
              <w:t>NOT NULL</w:t>
            </w:r>
          </w:p>
        </w:tc>
        <w:tc>
          <w:tcPr>
            <w:tcW w:w="2337" w:type="dxa"/>
          </w:tcPr>
          <w:p w14:paraId="5CB318B2">
            <w:pPr>
              <w:spacing w:after="0" w:line="240" w:lineRule="auto"/>
              <w:jc w:val="center"/>
            </w:pPr>
            <w:r>
              <w:rPr>
                <w:rFonts w:ascii="Times New Roman" w:hAnsi="Times New Roman" w:eastAsia="宋体" w:cs="Times New Roman"/>
                <w:b w:val="0"/>
                <w:sz w:val="24"/>
              </w:rPr>
              <w:t>指标值</w:t>
            </w:r>
          </w:p>
        </w:tc>
      </w:tr>
      <w:tr w14:paraId="037F44E6">
        <w:tc>
          <w:tcPr>
            <w:tcW w:w="2337" w:type="dxa"/>
          </w:tcPr>
          <w:p w14:paraId="4BB9B0CF">
            <w:pPr>
              <w:spacing w:after="0" w:line="240" w:lineRule="auto"/>
              <w:jc w:val="center"/>
            </w:pPr>
            <w:r>
              <w:rPr>
                <w:rFonts w:ascii="Times New Roman" w:hAnsi="Times New Roman" w:eastAsia="宋体" w:cs="Times New Roman"/>
                <w:b w:val="0"/>
                <w:sz w:val="24"/>
              </w:rPr>
              <w:t>remark</w:t>
            </w:r>
          </w:p>
        </w:tc>
        <w:tc>
          <w:tcPr>
            <w:tcW w:w="2337" w:type="dxa"/>
          </w:tcPr>
          <w:p w14:paraId="48040D09">
            <w:pPr>
              <w:spacing w:after="0" w:line="240" w:lineRule="auto"/>
              <w:jc w:val="center"/>
            </w:pPr>
            <w:r>
              <w:rPr>
                <w:rFonts w:ascii="Times New Roman" w:hAnsi="Times New Roman" w:eastAsia="宋体" w:cs="Times New Roman"/>
                <w:b w:val="0"/>
                <w:sz w:val="24"/>
              </w:rPr>
              <w:t>VARCHAR(200)</w:t>
            </w:r>
          </w:p>
        </w:tc>
        <w:tc>
          <w:tcPr>
            <w:tcW w:w="2337" w:type="dxa"/>
          </w:tcPr>
          <w:p w14:paraId="25ADF304">
            <w:pPr>
              <w:spacing w:after="0" w:line="240" w:lineRule="auto"/>
              <w:jc w:val="center"/>
            </w:pPr>
            <w:r>
              <w:rPr>
                <w:rFonts w:ascii="Times New Roman" w:hAnsi="Times New Roman" w:eastAsia="宋体" w:cs="Times New Roman"/>
                <w:b w:val="0"/>
                <w:sz w:val="24"/>
              </w:rPr>
              <w:t>NULL</w:t>
            </w:r>
          </w:p>
        </w:tc>
        <w:tc>
          <w:tcPr>
            <w:tcW w:w="2337" w:type="dxa"/>
          </w:tcPr>
          <w:p w14:paraId="0051BCFB">
            <w:pPr>
              <w:spacing w:after="0" w:line="240" w:lineRule="auto"/>
              <w:jc w:val="center"/>
            </w:pPr>
            <w:r>
              <w:rPr>
                <w:rFonts w:ascii="Times New Roman" w:hAnsi="Times New Roman" w:eastAsia="宋体" w:cs="Times New Roman"/>
                <w:b w:val="0"/>
                <w:sz w:val="24"/>
              </w:rPr>
              <w:t>备注</w:t>
            </w:r>
          </w:p>
        </w:tc>
      </w:tr>
    </w:tbl>
    <w:p w14:paraId="505D95D1">
      <w:pPr>
        <w:spacing w:before="0" w:after="0" w:line="360" w:lineRule="auto"/>
        <w:ind w:firstLine="480"/>
      </w:pPr>
      <w:r>
        <w:rPr>
          <w:rFonts w:ascii="Times New Roman" w:hAnsi="Times New Roman" w:eastAsia="宋体" w:cs="Times New Roman"/>
          <w:b w:val="0"/>
          <w:sz w:val="24"/>
        </w:rPr>
        <w:t>简述：t_statistics 用于缓存聚合结果，降低报表查询成本并提升可视化响应速度[18]。</w:t>
      </w:r>
    </w:p>
    <w:p w14:paraId="3207FE9B">
      <w:pPr>
        <w:spacing w:before="120" w:after="120" w:line="360" w:lineRule="auto"/>
        <w:ind w:firstLine="0"/>
        <w:jc w:val="left"/>
        <w:outlineLvl w:val="2"/>
      </w:pPr>
      <w:r>
        <w:rPr>
          <w:rFonts w:ascii="Times New Roman" w:hAnsi="Times New Roman" w:eastAsia="黑体" w:cs="Times New Roman"/>
          <w:b/>
          <w:sz w:val="24"/>
        </w:rPr>
        <w:t>3.3.3 数据库优化设计</w:t>
      </w:r>
    </w:p>
    <w:p w14:paraId="4B154256">
      <w:pPr>
        <w:spacing w:before="0" w:after="0" w:line="360" w:lineRule="auto"/>
        <w:ind w:firstLine="480"/>
      </w:pPr>
      <w:r>
        <w:rPr>
          <w:rFonts w:ascii="Times New Roman" w:hAnsi="Times New Roman" w:eastAsia="宋体" w:cs="Times New Roman"/>
          <w:b w:val="0"/>
          <w:sz w:val="24"/>
        </w:rPr>
        <w:t>数据库优化设计主要从索引设计、冗余控制和查询口径三个方面展开。首先，应在高频查询字段上建立合理索引，例如用户表的用户名字段、捐赠记录表的用户编号与预约码字段、旧物表的捐赠编号与分类字段、通知表的用户编号与已读状态字段等，以提高查询效率[12]。其次，应避免无意义字段冗余，尽量通过外键关联或逻辑关联保持数据一致性。再次，对于统计类数据，可通过定时聚合或预计算方式减少复杂聚合查询对业务库的压力[21]。</w:t>
      </w:r>
    </w:p>
    <w:p w14:paraId="321EE6C2">
      <w:pPr>
        <w:spacing w:before="0" w:after="0" w:line="360" w:lineRule="auto"/>
        <w:ind w:firstLine="480"/>
      </w:pPr>
      <w:r>
        <w:rPr>
          <w:rFonts w:ascii="Times New Roman" w:hAnsi="Times New Roman" w:eastAsia="宋体" w:cs="Times New Roman"/>
          <w:b w:val="0"/>
          <w:sz w:val="24"/>
        </w:rPr>
        <w:t>此外，系统应保留必要的状态字段而非频繁物理删除数据。对于已取消预约、作废对接和失效通知等记录，可采用逻辑删除或状态标记方式保留历史轨迹，以满足审计与复盘需要。</w:t>
      </w:r>
    </w:p>
    <w:p w14:paraId="56553C1F">
      <w:pPr>
        <w:spacing w:before="120" w:after="120" w:line="360" w:lineRule="auto"/>
        <w:ind w:firstLine="0"/>
        <w:jc w:val="left"/>
        <w:outlineLvl w:val="1"/>
      </w:pPr>
      <w:r>
        <w:rPr>
          <w:rFonts w:ascii="Times New Roman" w:hAnsi="Times New Roman" w:eastAsia="黑体" w:cs="Times New Roman"/>
          <w:b/>
          <w:sz w:val="28"/>
        </w:rPr>
        <w:t>3.4 接口设计</w:t>
      </w:r>
    </w:p>
    <w:p w14:paraId="65854756">
      <w:pPr>
        <w:spacing w:before="120" w:after="120" w:line="360" w:lineRule="auto"/>
        <w:ind w:firstLine="0"/>
        <w:jc w:val="left"/>
        <w:outlineLvl w:val="2"/>
      </w:pPr>
      <w:r>
        <w:rPr>
          <w:rFonts w:ascii="Times New Roman" w:hAnsi="Times New Roman" w:eastAsia="黑体" w:cs="Times New Roman"/>
          <w:b/>
          <w:sz w:val="24"/>
        </w:rPr>
        <w:t>3.4.1 RESTful API 设计规范</w:t>
      </w:r>
    </w:p>
    <w:p w14:paraId="6591F455">
      <w:pPr>
        <w:spacing w:before="0" w:after="0" w:line="360" w:lineRule="auto"/>
        <w:ind w:firstLine="480"/>
      </w:pPr>
      <w:r>
        <w:rPr>
          <w:rFonts w:ascii="Times New Roman" w:hAnsi="Times New Roman" w:eastAsia="宋体" w:cs="Times New Roman"/>
          <w:b w:val="0"/>
          <w:sz w:val="24"/>
        </w:rPr>
        <w:t>系统接口设计遵循 RESTful 风格，强调资源导向、方法语义清晰与响应结构统一[2][7]。通常以资源名作为路径主体，例如 /users、/donations、/items、/welfare-records 等；通过 GET 获取数据，通过 POST 创建资源，通过 PUT 或 PATCH 更新资源，通过 DELETE 删除或逻辑删除资源。</w:t>
      </w:r>
    </w:p>
    <w:p w14:paraId="5171E17C">
      <w:pPr>
        <w:spacing w:before="0" w:after="0" w:line="360" w:lineRule="auto"/>
        <w:ind w:firstLine="480"/>
      </w:pPr>
      <w:r>
        <w:rPr>
          <w:rFonts w:ascii="Times New Roman" w:hAnsi="Times New Roman" w:eastAsia="宋体" w:cs="Times New Roman"/>
          <w:b w:val="0"/>
          <w:sz w:val="24"/>
        </w:rPr>
        <w:t>接口设计应尽量避免使用语义不清的动词式路径，如 /getDonationList 等，而应采用结构化的资源路径，如 /donations/page 或 /donations/{id}。当业务操作具有明显动作属性时，可在资源路径上追加业务子路径，例如 /donations/{id}/cancel、/items/{id}/classify、/notifications/{id}/read，以保持语义清晰。</w:t>
      </w:r>
    </w:p>
    <w:p w14:paraId="51D83F67">
      <w:pPr>
        <w:spacing w:before="120" w:after="120" w:line="360" w:lineRule="auto"/>
        <w:ind w:firstLine="0"/>
        <w:jc w:val="left"/>
        <w:outlineLvl w:val="2"/>
      </w:pPr>
      <w:r>
        <w:rPr>
          <w:rFonts w:ascii="Times New Roman" w:hAnsi="Times New Roman" w:eastAsia="黑体" w:cs="Times New Roman"/>
          <w:b/>
          <w:sz w:val="24"/>
        </w:rPr>
        <w:t>3.4.2 主要接口定义</w:t>
      </w:r>
    </w:p>
    <w:p w14:paraId="664A473C">
      <w:pPr>
        <w:spacing w:before="0" w:after="0" w:line="360" w:lineRule="auto"/>
        <w:ind w:firstLine="480"/>
      </w:pPr>
      <w:r>
        <w:rPr>
          <w:rFonts w:ascii="Times New Roman" w:hAnsi="Times New Roman" w:eastAsia="宋体" w:cs="Times New Roman"/>
          <w:b w:val="0"/>
          <w:sz w:val="24"/>
        </w:rPr>
        <w:t>为便于论文表达，主要接口可按模块归纳如下。</w:t>
      </w:r>
    </w:p>
    <w:p w14:paraId="11F3E983">
      <w:pPr>
        <w:spacing w:before="0" w:after="0" w:line="360" w:lineRule="auto"/>
        <w:ind w:firstLine="480"/>
      </w:pPr>
      <w:r>
        <w:rPr>
          <w:rFonts w:ascii="Times New Roman" w:hAnsi="Times New Roman" w:eastAsia="宋体" w:cs="Times New Roman"/>
          <w:b w:val="0"/>
          <w:sz w:val="24"/>
        </w:rPr>
        <w:t>用户模块接口包括：用户注册接口、登录接口、获取当前用户信息接口、修改个人信息接口。</w:t>
      </w:r>
    </w:p>
    <w:p w14:paraId="1FEAE66D">
      <w:pPr>
        <w:spacing w:before="0" w:after="0" w:line="360" w:lineRule="auto"/>
        <w:ind w:firstLine="480"/>
      </w:pPr>
      <w:r>
        <w:rPr>
          <w:rFonts w:ascii="Times New Roman" w:hAnsi="Times New Roman" w:eastAsia="宋体" w:cs="Times New Roman"/>
          <w:b w:val="0"/>
          <w:sz w:val="24"/>
        </w:rPr>
        <w:t>捐赠模块接口包括：创建预约接口、查询个人预约列表接口、查看预约详情接口、取消预约接口。</w:t>
      </w:r>
    </w:p>
    <w:p w14:paraId="3CB94917">
      <w:pPr>
        <w:spacing w:before="0" w:after="0" w:line="360" w:lineRule="auto"/>
        <w:ind w:firstLine="480"/>
      </w:pPr>
      <w:r>
        <w:rPr>
          <w:rFonts w:ascii="Times New Roman" w:hAnsi="Times New Roman" w:eastAsia="宋体" w:cs="Times New Roman"/>
          <w:b w:val="0"/>
          <w:sz w:val="24"/>
        </w:rPr>
        <w:t>旧物模块接口包括：接收旧物接口、分类登记接口、查询旧物列表接口、更新旧物状态接口。</w:t>
      </w:r>
    </w:p>
    <w:p w14:paraId="64FD44D1">
      <w:pPr>
        <w:spacing w:before="0" w:after="0" w:line="360" w:lineRule="auto"/>
        <w:ind w:firstLine="480"/>
      </w:pPr>
      <w:r>
        <w:rPr>
          <w:rFonts w:ascii="Times New Roman" w:hAnsi="Times New Roman" w:eastAsia="宋体" w:cs="Times New Roman"/>
          <w:b w:val="0"/>
          <w:sz w:val="24"/>
        </w:rPr>
        <w:t>公益对接模块接口包括：创建对接记录接口、查询对接列表接口、更新对接状态接口、提交反馈接口。</w:t>
      </w:r>
    </w:p>
    <w:p w14:paraId="6EE8B255">
      <w:pPr>
        <w:spacing w:before="0" w:after="0" w:line="360" w:lineRule="auto"/>
        <w:ind w:firstLine="480"/>
      </w:pPr>
      <w:r>
        <w:rPr>
          <w:rFonts w:ascii="Times New Roman" w:hAnsi="Times New Roman" w:eastAsia="宋体" w:cs="Times New Roman"/>
          <w:b w:val="0"/>
          <w:sz w:val="24"/>
        </w:rPr>
        <w:t>统计模块接口包括：获取概览数据接口、获取月度趋势接口、获取分类占比接口。</w:t>
      </w:r>
    </w:p>
    <w:p w14:paraId="7D4C38F6">
      <w:pPr>
        <w:spacing w:before="0" w:after="0" w:line="360" w:lineRule="auto"/>
        <w:ind w:firstLine="480"/>
      </w:pPr>
      <w:r>
        <w:rPr>
          <w:rFonts w:ascii="Times New Roman" w:hAnsi="Times New Roman" w:eastAsia="宋体" w:cs="Times New Roman"/>
          <w:b w:val="0"/>
          <w:sz w:val="24"/>
        </w:rPr>
        <w:t>论文中可结合实际页面展示挑选 5 至 8 个核心接口展开说明，并配合参数表、返回字段表进行规范化表达。</w:t>
      </w:r>
    </w:p>
    <w:p w14:paraId="23ACC89E">
      <w:pPr>
        <w:spacing w:before="120" w:after="120" w:line="360" w:lineRule="auto"/>
        <w:ind w:firstLine="0"/>
        <w:jc w:val="left"/>
        <w:outlineLvl w:val="2"/>
      </w:pPr>
      <w:r>
        <w:rPr>
          <w:rFonts w:ascii="Times New Roman" w:hAnsi="Times New Roman" w:eastAsia="黑体" w:cs="Times New Roman"/>
          <w:b/>
          <w:sz w:val="24"/>
        </w:rPr>
        <w:t>3.4.3 统一响应格式设计</w:t>
      </w:r>
    </w:p>
    <w:p w14:paraId="17C97D72">
      <w:pPr>
        <w:spacing w:before="0" w:after="0" w:line="360" w:lineRule="auto"/>
        <w:ind w:firstLine="480"/>
      </w:pPr>
      <w:r>
        <w:rPr>
          <w:rFonts w:ascii="Times New Roman" w:hAnsi="Times New Roman" w:eastAsia="宋体" w:cs="Times New Roman"/>
          <w:b w:val="0"/>
          <w:sz w:val="24"/>
        </w:rPr>
        <w:t>为降低前后端协作复杂度，系统采用统一响应格式。响应体通常包含 code、message、data 和 timestamp 等字段。其中，code 表示业务状态码，message 表示对结果的文字描述，data 表示实际返回数据，timestamp 用于辅助排查问题。统一响应格式能够使前端在拦截器层统一处理异常和登录失效，也有利于接口文档编写与测试。</w:t>
      </w:r>
    </w:p>
    <w:p w14:paraId="028E02E9">
      <w:pPr>
        <w:spacing w:before="0" w:after="0" w:line="360" w:lineRule="auto"/>
        <w:ind w:firstLine="480"/>
      </w:pPr>
      <w:r>
        <w:rPr>
          <w:rFonts w:ascii="Times New Roman" w:hAnsi="Times New Roman" w:eastAsia="宋体" w:cs="Times New Roman"/>
          <w:b w:val="0"/>
          <w:sz w:val="24"/>
        </w:rPr>
        <w:t>当接口出现参数异常、权限不足或服务器异常时，系统应返回结构统一的错误响应，而非直接抛出不规范的堆栈信息。这样既能提升前端容错处理能力，也有助于提升系统安全性和专业性。</w:t>
      </w:r>
    </w:p>
    <w:p w14:paraId="2CC84E1B">
      <w:pPr>
        <w:spacing w:before="120" w:after="120" w:line="360" w:lineRule="auto"/>
        <w:ind w:firstLine="0"/>
        <w:jc w:val="left"/>
        <w:outlineLvl w:val="1"/>
      </w:pPr>
      <w:r>
        <w:rPr>
          <w:rFonts w:ascii="Times New Roman" w:hAnsi="Times New Roman" w:eastAsia="黑体" w:cs="Times New Roman"/>
          <w:b/>
          <w:sz w:val="28"/>
        </w:rPr>
        <w:t>3.5 安全设计</w:t>
      </w:r>
    </w:p>
    <w:p w14:paraId="5C00D511">
      <w:pPr>
        <w:spacing w:before="120" w:after="120" w:line="360" w:lineRule="auto"/>
        <w:ind w:firstLine="0"/>
        <w:jc w:val="left"/>
        <w:outlineLvl w:val="2"/>
      </w:pPr>
      <w:r>
        <w:rPr>
          <w:rFonts w:ascii="Times New Roman" w:hAnsi="Times New Roman" w:eastAsia="黑体" w:cs="Times New Roman"/>
          <w:b/>
          <w:sz w:val="24"/>
        </w:rPr>
        <w:t>3.5.1 JWT 认证流程设计</w:t>
      </w:r>
    </w:p>
    <w:p w14:paraId="03C7BB6A">
      <w:pPr>
        <w:spacing w:before="0" w:after="0" w:line="360" w:lineRule="auto"/>
        <w:ind w:firstLine="480"/>
      </w:pPr>
      <w:r>
        <w:rPr>
          <w:rFonts w:ascii="Times New Roman" w:hAnsi="Times New Roman" w:eastAsia="宋体" w:cs="Times New Roman"/>
          <w:b w:val="0"/>
          <w:sz w:val="24"/>
        </w:rPr>
        <w:t>系统采用 JWT 实现无状态认证。用户在登录时提交用户名与密码，后端验证通过后根据用户编号、角色和有效期信息生成令牌并返回前端。前端将令牌保存在安全位置，并在后续请求头中附带。后端过滤器负责校验令牌合法性，解析用户身份并写入安全上下文，供后续权限判断使用[8][15]。</w:t>
      </w:r>
    </w:p>
    <w:p w14:paraId="30FE2F72">
      <w:pPr>
        <w:spacing w:before="0" w:after="0" w:line="360" w:lineRule="auto"/>
        <w:ind w:firstLine="480"/>
      </w:pPr>
      <w:r>
        <w:rPr>
          <w:rFonts w:ascii="Times New Roman" w:hAnsi="Times New Roman" w:eastAsia="宋体" w:cs="Times New Roman"/>
          <w:b w:val="0"/>
          <w:sz w:val="24"/>
        </w:rPr>
        <w:t>JWT 方案的优势在于无需在服务端维护大量会话状态，适合前后端分离场景下的认证管理[8]。但在设计中仍需关注令牌过期、登出失效和异常刷新等问题。为避免安全隐患，应设置合理有效期，并在前端统一处理过期跳转逻辑。</w:t>
      </w:r>
    </w:p>
    <w:p w14:paraId="522220D5">
      <w:pPr>
        <w:spacing w:before="120" w:after="120" w:line="360" w:lineRule="auto"/>
        <w:ind w:firstLine="0"/>
        <w:jc w:val="left"/>
        <w:outlineLvl w:val="2"/>
      </w:pPr>
      <w:r>
        <w:rPr>
          <w:rFonts w:ascii="Times New Roman" w:hAnsi="Times New Roman" w:eastAsia="黑体" w:cs="Times New Roman"/>
          <w:b/>
          <w:sz w:val="24"/>
        </w:rPr>
        <w:t>3.5.2 Spring Security 权限控制设计</w:t>
      </w:r>
    </w:p>
    <w:p w14:paraId="7852B7CE">
      <w:pPr>
        <w:spacing w:before="0" w:after="0" w:line="360" w:lineRule="auto"/>
        <w:ind w:firstLine="480"/>
      </w:pPr>
      <w:r>
        <w:rPr>
          <w:rFonts w:ascii="Times New Roman" w:hAnsi="Times New Roman" w:eastAsia="宋体" w:cs="Times New Roman"/>
          <w:b w:val="0"/>
          <w:sz w:val="24"/>
        </w:rPr>
        <w:t>在权限控制层面，系统采用 Spring Security 实现接口级别的安全保护。通过角色配置与访问规则绑定，可限制不同角色对不同路径的访问权限[15]。对于更细粒度的控制，可在服务层或控制层增加注解式鉴权，例如限制只有志愿者或管理员才能更新回收状态，只有公益对接员或管理员才能提交对接反馈。</w:t>
      </w:r>
    </w:p>
    <w:p w14:paraId="4A7D4BB4">
      <w:pPr>
        <w:spacing w:before="0" w:after="0" w:line="360" w:lineRule="auto"/>
        <w:ind w:firstLine="480"/>
      </w:pPr>
      <w:r>
        <w:rPr>
          <w:rFonts w:ascii="Times New Roman" w:hAnsi="Times New Roman" w:eastAsia="宋体" w:cs="Times New Roman"/>
          <w:b w:val="0"/>
          <w:sz w:val="24"/>
        </w:rPr>
        <w:t>权限设计的关键不只是“是否能访问”，还包括“是否只能访问本人数据”。例如，捐赠者查询预约记录时，系统应根据当前登录用户编号限定数据范围，防止通过篡改参数读取他人信息。</w:t>
      </w:r>
    </w:p>
    <w:p w14:paraId="612E834C">
      <w:pPr>
        <w:spacing w:before="120" w:after="120" w:line="360" w:lineRule="auto"/>
        <w:ind w:firstLine="0"/>
        <w:jc w:val="left"/>
        <w:outlineLvl w:val="2"/>
      </w:pPr>
      <w:r>
        <w:rPr>
          <w:rFonts w:ascii="Times New Roman" w:hAnsi="Times New Roman" w:eastAsia="黑体" w:cs="Times New Roman"/>
          <w:b/>
          <w:sz w:val="24"/>
        </w:rPr>
        <w:t>3.5.3 数据安全设计</w:t>
      </w:r>
    </w:p>
    <w:p w14:paraId="3AD371A5">
      <w:pPr>
        <w:spacing w:before="0" w:after="0" w:line="360" w:lineRule="auto"/>
        <w:ind w:firstLine="480"/>
      </w:pPr>
      <w:r>
        <w:rPr>
          <w:rFonts w:ascii="Times New Roman" w:hAnsi="Times New Roman" w:eastAsia="宋体" w:cs="Times New Roman"/>
          <w:b w:val="0"/>
          <w:sz w:val="24"/>
        </w:rPr>
        <w:t>在数据安全方面，首先应对用户密码进行加密存储，避免明文保存敏感凭据。其次，应对关键输入项进行参数校验，防止空值、非法格式和潜在注入风险。再次，系统应在日志记录中避免直接打印敏感信息，如完整密码、身份证号或私密联系方式[10-11]。</w:t>
      </w:r>
    </w:p>
    <w:p w14:paraId="65554DA9">
      <w:pPr>
        <w:spacing w:before="0" w:after="0" w:line="360" w:lineRule="auto"/>
        <w:ind w:firstLine="480"/>
      </w:pPr>
      <w:r>
        <w:rPr>
          <w:rFonts w:ascii="Times New Roman" w:hAnsi="Times New Roman" w:eastAsia="宋体" w:cs="Times New Roman"/>
          <w:b w:val="0"/>
          <w:sz w:val="24"/>
        </w:rPr>
        <w:t>对于涉及公益反馈图片、证明文件编号等信息，系统还应合理控制访问权限，避免公开泄露。若后续系统需要对接文件存储服务或云平台，还应进一步考虑对象存储访问控制、签名访问或脱敏展示等机制。</w:t>
      </w:r>
    </w:p>
    <w:p w14:paraId="75C02594">
      <w:pPr>
        <w:spacing w:before="120" w:after="120" w:line="360" w:lineRule="auto"/>
        <w:ind w:firstLine="0"/>
        <w:jc w:val="left"/>
        <w:outlineLvl w:val="1"/>
      </w:pPr>
      <w:r>
        <w:rPr>
          <w:rFonts w:ascii="Times New Roman" w:hAnsi="Times New Roman" w:eastAsia="黑体" w:cs="Times New Roman"/>
          <w:b/>
          <w:sz w:val="28"/>
        </w:rPr>
        <w:t>3.6 详细设计补充</w:t>
      </w:r>
    </w:p>
    <w:p w14:paraId="08E0A3FC">
      <w:pPr>
        <w:spacing w:before="120" w:after="120" w:line="360" w:lineRule="auto"/>
        <w:ind w:firstLine="0"/>
        <w:jc w:val="left"/>
        <w:outlineLvl w:val="2"/>
      </w:pPr>
      <w:r>
        <w:rPr>
          <w:rFonts w:ascii="Times New Roman" w:hAnsi="Times New Roman" w:eastAsia="黑体" w:cs="Times New Roman"/>
          <w:b/>
          <w:sz w:val="24"/>
        </w:rPr>
        <w:t>3.6.1 核心业务状态机设计</w:t>
      </w:r>
    </w:p>
    <w:p w14:paraId="062DD542">
      <w:pPr>
        <w:spacing w:before="0" w:after="0" w:line="360" w:lineRule="auto"/>
        <w:ind w:firstLine="480"/>
      </w:pPr>
      <w:r>
        <w:rPr>
          <w:rFonts w:ascii="Times New Roman" w:hAnsi="Times New Roman" w:eastAsia="宋体" w:cs="Times New Roman"/>
          <w:b w:val="0"/>
          <w:sz w:val="24"/>
        </w:rPr>
        <w:t>为保证系统在复杂流程下的状态一致性，本文对关键业务对象采用状态机思想建模。以捐赠记录为例，其状态集合可定义为 待接收、已接收、已对接、已完成、已取消。状态迁移遵循单向可追踪原则：待接收 -&gt; 已接收 -&gt; 已对接 -&gt; 已完成；用户在限定条件下可从待接收迁移至已取消。该设计可有效防止“跳跃更新”与“逆向更新”导致的数据混乱。</w:t>
      </w:r>
    </w:p>
    <w:p w14:paraId="13A30BF2">
      <w:pPr>
        <w:spacing w:before="0" w:after="0" w:line="360" w:lineRule="auto"/>
        <w:ind w:firstLine="480"/>
      </w:pPr>
      <w:r>
        <w:rPr>
          <w:rFonts w:ascii="Times New Roman" w:hAnsi="Times New Roman" w:eastAsia="宋体" w:cs="Times New Roman"/>
          <w:b w:val="0"/>
          <w:sz w:val="24"/>
        </w:rPr>
        <w:t>旧物记录和公益对接记录同样采用状态机约束。旧物记录重点约束“可对接状态”与“待处理状态”之间的互斥关系；公益对接记录重点约束“进行中”与“完成态”之间的一次性终结关系。通过状态机化设计，系统在并发访问与人工操作并存的场景下仍能保持可验证的一致性。</w:t>
      </w:r>
    </w:p>
    <w:p w14:paraId="6F6DDC96">
      <w:pPr>
        <w:spacing w:before="120" w:after="120" w:line="360" w:lineRule="auto"/>
        <w:ind w:firstLine="0"/>
        <w:jc w:val="left"/>
        <w:outlineLvl w:val="2"/>
      </w:pPr>
      <w:r>
        <w:rPr>
          <w:rFonts w:ascii="Times New Roman" w:hAnsi="Times New Roman" w:eastAsia="黑体" w:cs="Times New Roman"/>
          <w:b/>
          <w:sz w:val="24"/>
        </w:rPr>
        <w:t>3.6.2 角色权限矩阵设计</w:t>
      </w:r>
    </w:p>
    <w:p w14:paraId="13A93282">
      <w:pPr>
        <w:spacing w:before="0" w:after="0" w:line="360" w:lineRule="auto"/>
        <w:ind w:firstLine="480"/>
      </w:pPr>
      <w:r>
        <w:rPr>
          <w:rFonts w:ascii="Times New Roman" w:hAnsi="Times New Roman" w:eastAsia="宋体" w:cs="Times New Roman"/>
          <w:b w:val="0"/>
          <w:sz w:val="24"/>
        </w:rPr>
        <w:t>多角色系统的安全性和可用性很大程度取决于权限矩阵是否清晰。本文采用“角色—模块—操作”三维矩阵定义访问边界，如表3-10所示。</w:t>
      </w:r>
    </w:p>
    <w:p w14:paraId="0626C0FD">
      <w:pPr>
        <w:spacing w:before="120" w:after="120" w:line="360" w:lineRule="auto"/>
        <w:ind w:firstLine="0"/>
        <w:jc w:val="center"/>
      </w:pPr>
      <w:r>
        <w:rPr>
          <w:rFonts w:ascii="Times New Roman" w:hAnsi="Times New Roman" w:eastAsia="宋体" w:cs="Times New Roman"/>
          <w:b w:val="0"/>
          <w:sz w:val="24"/>
        </w:rPr>
        <w:t>表3-10 角色权限矩阵（摘要）</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0"/>
        <w:gridCol w:w="1870"/>
        <w:gridCol w:w="1870"/>
        <w:gridCol w:w="1870"/>
        <w:gridCol w:w="1870"/>
      </w:tblGrid>
      <w:tr w14:paraId="36EE6764">
        <w:tc>
          <w:tcPr>
            <w:tcW w:w="1870" w:type="dxa"/>
          </w:tcPr>
          <w:p w14:paraId="6AEFDF54">
            <w:pPr>
              <w:spacing w:after="0" w:line="240" w:lineRule="auto"/>
              <w:jc w:val="center"/>
            </w:pPr>
            <w:r>
              <w:rPr>
                <w:rFonts w:ascii="Times New Roman" w:hAnsi="Times New Roman" w:eastAsia="宋体" w:cs="Times New Roman"/>
                <w:b/>
                <w:sz w:val="24"/>
              </w:rPr>
              <w:t>模块</w:t>
            </w:r>
          </w:p>
        </w:tc>
        <w:tc>
          <w:tcPr>
            <w:tcW w:w="1870" w:type="dxa"/>
          </w:tcPr>
          <w:p w14:paraId="440ECBB9">
            <w:pPr>
              <w:spacing w:after="0" w:line="240" w:lineRule="auto"/>
              <w:jc w:val="center"/>
            </w:pPr>
            <w:r>
              <w:rPr>
                <w:rFonts w:ascii="Times New Roman" w:hAnsi="Times New Roman" w:eastAsia="宋体" w:cs="Times New Roman"/>
                <w:b/>
                <w:sz w:val="24"/>
              </w:rPr>
              <w:t>捐赠者</w:t>
            </w:r>
          </w:p>
        </w:tc>
        <w:tc>
          <w:tcPr>
            <w:tcW w:w="1870" w:type="dxa"/>
          </w:tcPr>
          <w:p w14:paraId="2FFBD434">
            <w:pPr>
              <w:spacing w:after="0" w:line="240" w:lineRule="auto"/>
              <w:jc w:val="center"/>
            </w:pPr>
            <w:r>
              <w:rPr>
                <w:rFonts w:ascii="Times New Roman" w:hAnsi="Times New Roman" w:eastAsia="宋体" w:cs="Times New Roman"/>
                <w:b/>
                <w:sz w:val="24"/>
              </w:rPr>
              <w:t>志愿者</w:t>
            </w:r>
          </w:p>
        </w:tc>
        <w:tc>
          <w:tcPr>
            <w:tcW w:w="1870" w:type="dxa"/>
          </w:tcPr>
          <w:p w14:paraId="6BA3ED6D">
            <w:pPr>
              <w:spacing w:after="0" w:line="240" w:lineRule="auto"/>
              <w:jc w:val="center"/>
            </w:pPr>
            <w:r>
              <w:rPr>
                <w:rFonts w:ascii="Times New Roman" w:hAnsi="Times New Roman" w:eastAsia="宋体" w:cs="Times New Roman"/>
                <w:b/>
                <w:sz w:val="24"/>
              </w:rPr>
              <w:t>公益对接员</w:t>
            </w:r>
          </w:p>
        </w:tc>
        <w:tc>
          <w:tcPr>
            <w:tcW w:w="1870" w:type="dxa"/>
          </w:tcPr>
          <w:p w14:paraId="03A9BDB3">
            <w:pPr>
              <w:spacing w:after="0" w:line="240" w:lineRule="auto"/>
              <w:jc w:val="center"/>
            </w:pPr>
            <w:r>
              <w:rPr>
                <w:rFonts w:ascii="Times New Roman" w:hAnsi="Times New Roman" w:eastAsia="宋体" w:cs="Times New Roman"/>
                <w:b/>
                <w:sz w:val="24"/>
              </w:rPr>
              <w:t>管理员</w:t>
            </w:r>
          </w:p>
        </w:tc>
      </w:tr>
      <w:tr w14:paraId="1001FDB6">
        <w:tc>
          <w:tcPr>
            <w:tcW w:w="1870" w:type="dxa"/>
          </w:tcPr>
          <w:p w14:paraId="4B5982A6">
            <w:pPr>
              <w:spacing w:after="0" w:line="240" w:lineRule="auto"/>
              <w:jc w:val="center"/>
            </w:pPr>
            <w:r>
              <w:rPr>
                <w:rFonts w:ascii="Times New Roman" w:hAnsi="Times New Roman" w:eastAsia="宋体" w:cs="Times New Roman"/>
                <w:b w:val="0"/>
                <w:sz w:val="24"/>
              </w:rPr>
              <w:t>用户信息</w:t>
            </w:r>
          </w:p>
        </w:tc>
        <w:tc>
          <w:tcPr>
            <w:tcW w:w="1870" w:type="dxa"/>
          </w:tcPr>
          <w:p w14:paraId="16681E77">
            <w:pPr>
              <w:spacing w:after="0" w:line="240" w:lineRule="auto"/>
              <w:jc w:val="center"/>
            </w:pPr>
            <w:r>
              <w:rPr>
                <w:rFonts w:ascii="Times New Roman" w:hAnsi="Times New Roman" w:eastAsia="宋体" w:cs="Times New Roman"/>
                <w:b w:val="0"/>
                <w:sz w:val="24"/>
              </w:rPr>
              <w:t>查询/修改本人</w:t>
            </w:r>
          </w:p>
        </w:tc>
        <w:tc>
          <w:tcPr>
            <w:tcW w:w="1870" w:type="dxa"/>
          </w:tcPr>
          <w:p w14:paraId="6E9E48B5">
            <w:pPr>
              <w:spacing w:after="0" w:line="240" w:lineRule="auto"/>
              <w:jc w:val="center"/>
            </w:pPr>
            <w:r>
              <w:rPr>
                <w:rFonts w:ascii="Times New Roman" w:hAnsi="Times New Roman" w:eastAsia="宋体" w:cs="Times New Roman"/>
                <w:b w:val="0"/>
                <w:sz w:val="24"/>
              </w:rPr>
              <w:t>查询本人</w:t>
            </w:r>
          </w:p>
        </w:tc>
        <w:tc>
          <w:tcPr>
            <w:tcW w:w="1870" w:type="dxa"/>
          </w:tcPr>
          <w:p w14:paraId="519A6E0E">
            <w:pPr>
              <w:spacing w:after="0" w:line="240" w:lineRule="auto"/>
              <w:jc w:val="center"/>
            </w:pPr>
            <w:r>
              <w:rPr>
                <w:rFonts w:ascii="Times New Roman" w:hAnsi="Times New Roman" w:eastAsia="宋体" w:cs="Times New Roman"/>
                <w:b w:val="0"/>
                <w:sz w:val="24"/>
              </w:rPr>
              <w:t>查询本人</w:t>
            </w:r>
          </w:p>
        </w:tc>
        <w:tc>
          <w:tcPr>
            <w:tcW w:w="1870" w:type="dxa"/>
          </w:tcPr>
          <w:p w14:paraId="749F63E9">
            <w:pPr>
              <w:spacing w:after="0" w:line="240" w:lineRule="auto"/>
              <w:jc w:val="center"/>
            </w:pPr>
            <w:r>
              <w:rPr>
                <w:rFonts w:ascii="Times New Roman" w:hAnsi="Times New Roman" w:eastAsia="宋体" w:cs="Times New Roman"/>
                <w:b w:val="0"/>
                <w:sz w:val="24"/>
              </w:rPr>
              <w:t>全量管理</w:t>
            </w:r>
          </w:p>
        </w:tc>
      </w:tr>
      <w:tr w14:paraId="49F9E3C3">
        <w:tc>
          <w:tcPr>
            <w:tcW w:w="1870" w:type="dxa"/>
          </w:tcPr>
          <w:p w14:paraId="15379685">
            <w:pPr>
              <w:spacing w:after="0" w:line="240" w:lineRule="auto"/>
              <w:jc w:val="center"/>
            </w:pPr>
            <w:r>
              <w:rPr>
                <w:rFonts w:ascii="Times New Roman" w:hAnsi="Times New Roman" w:eastAsia="宋体" w:cs="Times New Roman"/>
                <w:b w:val="0"/>
                <w:sz w:val="24"/>
              </w:rPr>
              <w:t>预约管理</w:t>
            </w:r>
          </w:p>
        </w:tc>
        <w:tc>
          <w:tcPr>
            <w:tcW w:w="1870" w:type="dxa"/>
          </w:tcPr>
          <w:p w14:paraId="3C560C5D">
            <w:pPr>
              <w:spacing w:after="0" w:line="240" w:lineRule="auto"/>
              <w:jc w:val="center"/>
            </w:pPr>
            <w:r>
              <w:rPr>
                <w:rFonts w:ascii="Times New Roman" w:hAnsi="Times New Roman" w:eastAsia="宋体" w:cs="Times New Roman"/>
                <w:b w:val="0"/>
                <w:sz w:val="24"/>
              </w:rPr>
              <w:t>新增/查询/取消本人</w:t>
            </w:r>
          </w:p>
        </w:tc>
        <w:tc>
          <w:tcPr>
            <w:tcW w:w="1870" w:type="dxa"/>
          </w:tcPr>
          <w:p w14:paraId="22CEA582">
            <w:pPr>
              <w:spacing w:after="0" w:line="240" w:lineRule="auto"/>
              <w:jc w:val="center"/>
            </w:pPr>
            <w:r>
              <w:rPr>
                <w:rFonts w:ascii="Times New Roman" w:hAnsi="Times New Roman" w:eastAsia="宋体" w:cs="Times New Roman"/>
                <w:b w:val="0"/>
                <w:sz w:val="24"/>
              </w:rPr>
              <w:t>查询任务/更新接收状态</w:t>
            </w:r>
          </w:p>
        </w:tc>
        <w:tc>
          <w:tcPr>
            <w:tcW w:w="1870" w:type="dxa"/>
          </w:tcPr>
          <w:p w14:paraId="443E0391">
            <w:pPr>
              <w:spacing w:after="0" w:line="240" w:lineRule="auto"/>
              <w:jc w:val="center"/>
            </w:pPr>
            <w:r>
              <w:rPr>
                <w:rFonts w:ascii="Times New Roman" w:hAnsi="Times New Roman" w:eastAsia="宋体" w:cs="Times New Roman"/>
                <w:b w:val="0"/>
                <w:sz w:val="24"/>
              </w:rPr>
              <w:t>只读查询</w:t>
            </w:r>
          </w:p>
        </w:tc>
        <w:tc>
          <w:tcPr>
            <w:tcW w:w="1870" w:type="dxa"/>
          </w:tcPr>
          <w:p w14:paraId="25393D46">
            <w:pPr>
              <w:spacing w:after="0" w:line="240" w:lineRule="auto"/>
              <w:jc w:val="center"/>
            </w:pPr>
            <w:r>
              <w:rPr>
                <w:rFonts w:ascii="Times New Roman" w:hAnsi="Times New Roman" w:eastAsia="宋体" w:cs="Times New Roman"/>
                <w:b w:val="0"/>
                <w:sz w:val="24"/>
              </w:rPr>
              <w:t>全量管理</w:t>
            </w:r>
          </w:p>
        </w:tc>
      </w:tr>
      <w:tr w14:paraId="0DE16D56">
        <w:tc>
          <w:tcPr>
            <w:tcW w:w="1870" w:type="dxa"/>
          </w:tcPr>
          <w:p w14:paraId="2B3EA827">
            <w:pPr>
              <w:spacing w:after="0" w:line="240" w:lineRule="auto"/>
              <w:jc w:val="center"/>
            </w:pPr>
            <w:r>
              <w:rPr>
                <w:rFonts w:ascii="Times New Roman" w:hAnsi="Times New Roman" w:eastAsia="宋体" w:cs="Times New Roman"/>
                <w:b w:val="0"/>
                <w:sz w:val="24"/>
              </w:rPr>
              <w:t>旧物管理</w:t>
            </w:r>
          </w:p>
        </w:tc>
        <w:tc>
          <w:tcPr>
            <w:tcW w:w="1870" w:type="dxa"/>
          </w:tcPr>
          <w:p w14:paraId="4A3A015C">
            <w:pPr>
              <w:spacing w:after="0" w:line="240" w:lineRule="auto"/>
              <w:jc w:val="center"/>
            </w:pPr>
            <w:r>
              <w:rPr>
                <w:rFonts w:ascii="Times New Roman" w:hAnsi="Times New Roman" w:eastAsia="宋体" w:cs="Times New Roman"/>
                <w:b w:val="0"/>
                <w:sz w:val="24"/>
              </w:rPr>
              <w:t>查询本人关联记录</w:t>
            </w:r>
          </w:p>
        </w:tc>
        <w:tc>
          <w:tcPr>
            <w:tcW w:w="1870" w:type="dxa"/>
          </w:tcPr>
          <w:p w14:paraId="69728FCF">
            <w:pPr>
              <w:spacing w:after="0" w:line="240" w:lineRule="auto"/>
              <w:jc w:val="center"/>
            </w:pPr>
            <w:r>
              <w:rPr>
                <w:rFonts w:ascii="Times New Roman" w:hAnsi="Times New Roman" w:eastAsia="宋体" w:cs="Times New Roman"/>
                <w:b w:val="0"/>
                <w:sz w:val="24"/>
              </w:rPr>
              <w:t>新增分类/更新状态</w:t>
            </w:r>
          </w:p>
        </w:tc>
        <w:tc>
          <w:tcPr>
            <w:tcW w:w="1870" w:type="dxa"/>
          </w:tcPr>
          <w:p w14:paraId="00E3519D">
            <w:pPr>
              <w:spacing w:after="0" w:line="240" w:lineRule="auto"/>
              <w:jc w:val="center"/>
            </w:pPr>
            <w:r>
              <w:rPr>
                <w:rFonts w:ascii="Times New Roman" w:hAnsi="Times New Roman" w:eastAsia="宋体" w:cs="Times New Roman"/>
                <w:b w:val="0"/>
                <w:sz w:val="24"/>
              </w:rPr>
              <w:t>查询可对接库存</w:t>
            </w:r>
          </w:p>
        </w:tc>
        <w:tc>
          <w:tcPr>
            <w:tcW w:w="1870" w:type="dxa"/>
          </w:tcPr>
          <w:p w14:paraId="57558F77">
            <w:pPr>
              <w:spacing w:after="0" w:line="240" w:lineRule="auto"/>
              <w:jc w:val="center"/>
            </w:pPr>
            <w:r>
              <w:rPr>
                <w:rFonts w:ascii="Times New Roman" w:hAnsi="Times New Roman" w:eastAsia="宋体" w:cs="Times New Roman"/>
                <w:b w:val="0"/>
                <w:sz w:val="24"/>
              </w:rPr>
              <w:t>全量管理</w:t>
            </w:r>
          </w:p>
        </w:tc>
      </w:tr>
      <w:tr w14:paraId="538F3863">
        <w:tc>
          <w:tcPr>
            <w:tcW w:w="1870" w:type="dxa"/>
          </w:tcPr>
          <w:p w14:paraId="17CF2B41">
            <w:pPr>
              <w:spacing w:after="0" w:line="240" w:lineRule="auto"/>
              <w:jc w:val="center"/>
            </w:pPr>
            <w:r>
              <w:rPr>
                <w:rFonts w:ascii="Times New Roman" w:hAnsi="Times New Roman" w:eastAsia="宋体" w:cs="Times New Roman"/>
                <w:b w:val="0"/>
                <w:sz w:val="24"/>
              </w:rPr>
              <w:t>公益对接</w:t>
            </w:r>
          </w:p>
        </w:tc>
        <w:tc>
          <w:tcPr>
            <w:tcW w:w="1870" w:type="dxa"/>
          </w:tcPr>
          <w:p w14:paraId="31089368">
            <w:pPr>
              <w:spacing w:after="0" w:line="240" w:lineRule="auto"/>
              <w:jc w:val="center"/>
            </w:pPr>
            <w:r>
              <w:rPr>
                <w:rFonts w:ascii="Times New Roman" w:hAnsi="Times New Roman" w:eastAsia="宋体" w:cs="Times New Roman"/>
                <w:b w:val="0"/>
                <w:sz w:val="24"/>
              </w:rPr>
              <w:t>查询本人去向</w:t>
            </w:r>
          </w:p>
        </w:tc>
        <w:tc>
          <w:tcPr>
            <w:tcW w:w="1870" w:type="dxa"/>
          </w:tcPr>
          <w:p w14:paraId="68CE58FC">
            <w:pPr>
              <w:spacing w:after="0" w:line="240" w:lineRule="auto"/>
              <w:jc w:val="center"/>
            </w:pPr>
            <w:r>
              <w:rPr>
                <w:rFonts w:ascii="Times New Roman" w:hAnsi="Times New Roman" w:eastAsia="宋体" w:cs="Times New Roman"/>
                <w:b w:val="0"/>
                <w:sz w:val="24"/>
              </w:rPr>
              <w:t>只读查询</w:t>
            </w:r>
          </w:p>
        </w:tc>
        <w:tc>
          <w:tcPr>
            <w:tcW w:w="1870" w:type="dxa"/>
          </w:tcPr>
          <w:p w14:paraId="5A181C3D">
            <w:pPr>
              <w:spacing w:after="0" w:line="240" w:lineRule="auto"/>
              <w:jc w:val="center"/>
            </w:pPr>
            <w:r>
              <w:rPr>
                <w:rFonts w:ascii="Times New Roman" w:hAnsi="Times New Roman" w:eastAsia="宋体" w:cs="Times New Roman"/>
                <w:b w:val="0"/>
                <w:sz w:val="24"/>
              </w:rPr>
              <w:t>新增/更新/反馈</w:t>
            </w:r>
          </w:p>
        </w:tc>
        <w:tc>
          <w:tcPr>
            <w:tcW w:w="1870" w:type="dxa"/>
          </w:tcPr>
          <w:p w14:paraId="46546EB1">
            <w:pPr>
              <w:spacing w:after="0" w:line="240" w:lineRule="auto"/>
              <w:jc w:val="center"/>
            </w:pPr>
            <w:r>
              <w:rPr>
                <w:rFonts w:ascii="Times New Roman" w:hAnsi="Times New Roman" w:eastAsia="宋体" w:cs="Times New Roman"/>
                <w:b w:val="0"/>
                <w:sz w:val="24"/>
              </w:rPr>
              <w:t>审核/管理</w:t>
            </w:r>
          </w:p>
        </w:tc>
      </w:tr>
      <w:tr w14:paraId="77DE46EC">
        <w:tc>
          <w:tcPr>
            <w:tcW w:w="1870" w:type="dxa"/>
          </w:tcPr>
          <w:p w14:paraId="72541F0A">
            <w:pPr>
              <w:spacing w:after="0" w:line="240" w:lineRule="auto"/>
              <w:jc w:val="center"/>
            </w:pPr>
            <w:r>
              <w:rPr>
                <w:rFonts w:ascii="Times New Roman" w:hAnsi="Times New Roman" w:eastAsia="宋体" w:cs="Times New Roman"/>
                <w:b w:val="0"/>
                <w:sz w:val="24"/>
              </w:rPr>
              <w:t>通知中心</w:t>
            </w:r>
          </w:p>
        </w:tc>
        <w:tc>
          <w:tcPr>
            <w:tcW w:w="1870" w:type="dxa"/>
          </w:tcPr>
          <w:p w14:paraId="0A8AF552">
            <w:pPr>
              <w:spacing w:after="0" w:line="240" w:lineRule="auto"/>
              <w:jc w:val="center"/>
            </w:pPr>
            <w:r>
              <w:rPr>
                <w:rFonts w:ascii="Times New Roman" w:hAnsi="Times New Roman" w:eastAsia="宋体" w:cs="Times New Roman"/>
                <w:b w:val="0"/>
                <w:sz w:val="24"/>
              </w:rPr>
              <w:t>查询本人</w:t>
            </w:r>
          </w:p>
        </w:tc>
        <w:tc>
          <w:tcPr>
            <w:tcW w:w="1870" w:type="dxa"/>
          </w:tcPr>
          <w:p w14:paraId="66B5C201">
            <w:pPr>
              <w:spacing w:after="0" w:line="240" w:lineRule="auto"/>
              <w:jc w:val="center"/>
            </w:pPr>
            <w:r>
              <w:rPr>
                <w:rFonts w:ascii="Times New Roman" w:hAnsi="Times New Roman" w:eastAsia="宋体" w:cs="Times New Roman"/>
                <w:b w:val="0"/>
                <w:sz w:val="24"/>
              </w:rPr>
              <w:t>查询本人</w:t>
            </w:r>
          </w:p>
        </w:tc>
        <w:tc>
          <w:tcPr>
            <w:tcW w:w="1870" w:type="dxa"/>
          </w:tcPr>
          <w:p w14:paraId="32478330">
            <w:pPr>
              <w:spacing w:after="0" w:line="240" w:lineRule="auto"/>
              <w:jc w:val="center"/>
            </w:pPr>
            <w:r>
              <w:rPr>
                <w:rFonts w:ascii="Times New Roman" w:hAnsi="Times New Roman" w:eastAsia="宋体" w:cs="Times New Roman"/>
                <w:b w:val="0"/>
                <w:sz w:val="24"/>
              </w:rPr>
              <w:t>查询本人</w:t>
            </w:r>
          </w:p>
        </w:tc>
        <w:tc>
          <w:tcPr>
            <w:tcW w:w="1870" w:type="dxa"/>
          </w:tcPr>
          <w:p w14:paraId="33684105">
            <w:pPr>
              <w:spacing w:after="0" w:line="240" w:lineRule="auto"/>
              <w:jc w:val="center"/>
            </w:pPr>
            <w:r>
              <w:rPr>
                <w:rFonts w:ascii="Times New Roman" w:hAnsi="Times New Roman" w:eastAsia="宋体" w:cs="Times New Roman"/>
                <w:b w:val="0"/>
                <w:sz w:val="24"/>
              </w:rPr>
              <w:t>全量发布</w:t>
            </w:r>
          </w:p>
        </w:tc>
      </w:tr>
      <w:tr w14:paraId="3EF8A3CB">
        <w:tc>
          <w:tcPr>
            <w:tcW w:w="1870" w:type="dxa"/>
          </w:tcPr>
          <w:p w14:paraId="701A29E8">
            <w:pPr>
              <w:spacing w:after="0" w:line="240" w:lineRule="auto"/>
              <w:jc w:val="center"/>
            </w:pPr>
            <w:r>
              <w:rPr>
                <w:rFonts w:ascii="Times New Roman" w:hAnsi="Times New Roman" w:eastAsia="宋体" w:cs="Times New Roman"/>
                <w:b w:val="0"/>
                <w:sz w:val="24"/>
              </w:rPr>
              <w:t>统计分析</w:t>
            </w:r>
          </w:p>
        </w:tc>
        <w:tc>
          <w:tcPr>
            <w:tcW w:w="1870" w:type="dxa"/>
          </w:tcPr>
          <w:p w14:paraId="7FB4D09B">
            <w:pPr>
              <w:spacing w:after="0" w:line="240" w:lineRule="auto"/>
              <w:jc w:val="center"/>
            </w:pPr>
            <w:r>
              <w:rPr>
                <w:rFonts w:ascii="Times New Roman" w:hAnsi="Times New Roman" w:eastAsia="宋体" w:cs="Times New Roman"/>
                <w:b w:val="0"/>
                <w:sz w:val="24"/>
              </w:rPr>
              <w:t>个人统计</w:t>
            </w:r>
          </w:p>
        </w:tc>
        <w:tc>
          <w:tcPr>
            <w:tcW w:w="1870" w:type="dxa"/>
          </w:tcPr>
          <w:p w14:paraId="7C6150B1">
            <w:pPr>
              <w:spacing w:after="0" w:line="240" w:lineRule="auto"/>
              <w:jc w:val="center"/>
            </w:pPr>
            <w:r>
              <w:rPr>
                <w:rFonts w:ascii="Times New Roman" w:hAnsi="Times New Roman" w:eastAsia="宋体" w:cs="Times New Roman"/>
                <w:b w:val="0"/>
                <w:sz w:val="24"/>
              </w:rPr>
              <w:t>任务统计</w:t>
            </w:r>
          </w:p>
        </w:tc>
        <w:tc>
          <w:tcPr>
            <w:tcW w:w="1870" w:type="dxa"/>
          </w:tcPr>
          <w:p w14:paraId="10FA54D1">
            <w:pPr>
              <w:spacing w:after="0" w:line="240" w:lineRule="auto"/>
              <w:jc w:val="center"/>
            </w:pPr>
            <w:r>
              <w:rPr>
                <w:rFonts w:ascii="Times New Roman" w:hAnsi="Times New Roman" w:eastAsia="宋体" w:cs="Times New Roman"/>
                <w:b w:val="0"/>
                <w:sz w:val="24"/>
              </w:rPr>
              <w:t>对接统计</w:t>
            </w:r>
          </w:p>
        </w:tc>
        <w:tc>
          <w:tcPr>
            <w:tcW w:w="1870" w:type="dxa"/>
          </w:tcPr>
          <w:p w14:paraId="651085C0">
            <w:pPr>
              <w:spacing w:after="0" w:line="240" w:lineRule="auto"/>
              <w:jc w:val="center"/>
            </w:pPr>
            <w:r>
              <w:rPr>
                <w:rFonts w:ascii="Times New Roman" w:hAnsi="Times New Roman" w:eastAsia="宋体" w:cs="Times New Roman"/>
                <w:b w:val="0"/>
                <w:sz w:val="24"/>
              </w:rPr>
              <w:t>全局统计</w:t>
            </w:r>
          </w:p>
        </w:tc>
      </w:tr>
    </w:tbl>
    <w:p w14:paraId="466409C3">
      <w:pPr>
        <w:spacing w:before="0" w:after="0" w:line="360" w:lineRule="auto"/>
        <w:ind w:firstLine="480"/>
      </w:pPr>
      <w:r>
        <w:rPr>
          <w:rFonts w:ascii="Times New Roman" w:hAnsi="Times New Roman" w:eastAsia="宋体" w:cs="Times New Roman"/>
          <w:b w:val="0"/>
          <w:sz w:val="24"/>
        </w:rPr>
        <w:t>该矩阵设计遵循“最小权限原则”和“职责分离原则”，避免越权读写与职责重叠。权限校验在后端控制层和服务层双重执行，前端仅作为展示层辅助，不作为安全边界[10][15]。</w:t>
      </w:r>
    </w:p>
    <w:p w14:paraId="62DA3455">
      <w:pPr>
        <w:spacing w:before="120" w:after="120" w:line="360" w:lineRule="auto"/>
        <w:ind w:firstLine="0"/>
        <w:jc w:val="left"/>
        <w:outlineLvl w:val="2"/>
      </w:pPr>
      <w:r>
        <w:rPr>
          <w:rFonts w:ascii="Times New Roman" w:hAnsi="Times New Roman" w:eastAsia="黑体" w:cs="Times New Roman"/>
          <w:b/>
          <w:sz w:val="24"/>
        </w:rPr>
        <w:t>3.6.3 关键接口参数设计</w:t>
      </w:r>
    </w:p>
    <w:p w14:paraId="718D0B3B">
      <w:pPr>
        <w:spacing w:before="0" w:after="0" w:line="360" w:lineRule="auto"/>
        <w:ind w:firstLine="480"/>
      </w:pPr>
      <w:r>
        <w:rPr>
          <w:rFonts w:ascii="Times New Roman" w:hAnsi="Times New Roman" w:eastAsia="宋体" w:cs="Times New Roman"/>
          <w:b w:val="0"/>
          <w:sz w:val="24"/>
        </w:rPr>
        <w:t>为了提高接口可维护性与跨端复用能力，本文对高频接口进行了参数标准化设计。以“创建预约接口”为例，请求体包含 collectionPointId、appointmentTime、items、remark 等字段；其中 items 为数组结构，包含 itemType、quantity、description 子字段。响应体统一返回 code、message、data 与 timestamp，并在 data 中携带 donationId 与 appointmentCode。</w:t>
      </w:r>
    </w:p>
    <w:p w14:paraId="63460C1B">
      <w:pPr>
        <w:spacing w:before="0" w:after="0" w:line="360" w:lineRule="auto"/>
        <w:ind w:firstLine="480"/>
      </w:pPr>
      <w:r>
        <w:rPr>
          <w:rFonts w:ascii="Times New Roman" w:hAnsi="Times New Roman" w:eastAsia="宋体" w:cs="Times New Roman"/>
          <w:b w:val="0"/>
          <w:sz w:val="24"/>
        </w:rPr>
        <w:t>对“旧物分类接口”，请求体需包含 donationId、itemType、conditionLevel、recycleStatus 和 storageLocation，其中 conditionLevel 使用字典值映射，确保统计口径一致。对“公益对接反馈接口”，请求体需包含 welfareRecordId、feedbackInfo、matchStatus，并要求仅在合法状态下可更新。参数标准化可以减少前后端沟通成本，提升测试和回归效率[7][17]。</w:t>
      </w:r>
    </w:p>
    <w:p w14:paraId="4A92BE85">
      <w:pPr>
        <w:spacing w:before="120" w:after="120" w:line="360" w:lineRule="auto"/>
        <w:ind w:firstLine="0"/>
        <w:jc w:val="left"/>
        <w:outlineLvl w:val="2"/>
      </w:pPr>
      <w:r>
        <w:rPr>
          <w:rFonts w:ascii="Times New Roman" w:hAnsi="Times New Roman" w:eastAsia="黑体" w:cs="Times New Roman"/>
          <w:b/>
          <w:sz w:val="24"/>
        </w:rPr>
        <w:t>3.6.4 异常处理与幂等设计</w:t>
      </w:r>
    </w:p>
    <w:p w14:paraId="13547D98">
      <w:pPr>
        <w:spacing w:before="0" w:after="0" w:line="360" w:lineRule="auto"/>
        <w:ind w:firstLine="480"/>
      </w:pPr>
      <w:r>
        <w:rPr>
          <w:rFonts w:ascii="Times New Roman" w:hAnsi="Times New Roman" w:eastAsia="宋体" w:cs="Times New Roman"/>
          <w:b w:val="0"/>
          <w:sz w:val="24"/>
        </w:rPr>
        <w:t>系统在接口层引入统一异常处理机制，将参数校验异常、认证异常、权限异常、业务异常和系统异常归类处理，并映射到统一错误码体系。对于用户可感知异常，返回可读的业务提示；对于系统内部异常，返回通用失败信息并记录详细日志，避免敏感信息泄露。</w:t>
      </w:r>
    </w:p>
    <w:p w14:paraId="0B5BBB69">
      <w:pPr>
        <w:spacing w:before="0" w:after="0" w:line="360" w:lineRule="auto"/>
        <w:ind w:firstLine="480"/>
      </w:pPr>
      <w:r>
        <w:rPr>
          <w:rFonts w:ascii="Times New Roman" w:hAnsi="Times New Roman" w:eastAsia="宋体" w:cs="Times New Roman"/>
          <w:b w:val="0"/>
          <w:sz w:val="24"/>
        </w:rPr>
        <w:t>为降低重复提交风险，预约创建、对接创建等关键接口采用幂等策略。常见方法包括：基于业务唯一键（如预约码、对接记录编号）进行去重；对前端短时重复请求进行令牌或时间窗校验；对关键状态更新使用条件更新语句限制。异常处理与幂等设计共同构成系统稳定性的底座，在毕业季等高并发时段尤为关键[11][14]。</w:t>
      </w:r>
    </w:p>
    <w:p w14:paraId="6ACD8AE9">
      <w:pPr>
        <w:spacing w:before="120" w:after="120" w:line="360" w:lineRule="auto"/>
        <w:ind w:firstLine="0"/>
        <w:jc w:val="left"/>
        <w:outlineLvl w:val="1"/>
      </w:pPr>
      <w:r>
        <w:rPr>
          <w:rFonts w:ascii="Times New Roman" w:hAnsi="Times New Roman" w:eastAsia="黑体" w:cs="Times New Roman"/>
          <w:b/>
          <w:sz w:val="28"/>
        </w:rPr>
        <w:t>3.7 本章小结</w:t>
      </w:r>
    </w:p>
    <w:p w14:paraId="7B9A9E36">
      <w:pPr>
        <w:spacing w:before="0" w:after="0" w:line="360" w:lineRule="auto"/>
        <w:ind w:firstLine="480"/>
      </w:pPr>
      <w:r>
        <w:rPr>
          <w:rFonts w:ascii="Times New Roman" w:hAnsi="Times New Roman" w:eastAsia="宋体" w:cs="Times New Roman"/>
          <w:b w:val="0"/>
          <w:sz w:val="24"/>
        </w:rPr>
        <w:t>本章从总体架构、功能模块、数据库、接口和安全五个方面完成了系统设计，并补充了状态机、权限矩阵、关键参数与异常处理等详细设计内容。通过分层架构与结构化数据模型，系统具备清晰的职责边界；通过标准化接口与安全策略，系统具备较好的可扩展性与可维护性；通过状态机与幂等机制，系统能够在复杂流程下保持数据一致性。这些设计为系统实现和测试提供了可执行的技术蓝图。</w:t>
      </w:r>
    </w:p>
    <w:p w14:paraId="2DD43B82">
      <w:r>
        <w:br w:type="page"/>
      </w:r>
    </w:p>
    <w:p w14:paraId="337F9669">
      <w:pPr>
        <w:spacing w:before="120" w:after="120" w:line="360" w:lineRule="auto"/>
        <w:ind w:firstLine="0"/>
        <w:jc w:val="center"/>
        <w:outlineLvl w:val="0"/>
      </w:pPr>
      <w:r>
        <w:rPr>
          <w:rFonts w:ascii="Times New Roman" w:hAnsi="Times New Roman" w:eastAsia="黑体" w:cs="Times New Roman"/>
          <w:b/>
          <w:sz w:val="30"/>
        </w:rPr>
        <w:t>4 系统实现</w:t>
      </w:r>
    </w:p>
    <w:p w14:paraId="77708AE6">
      <w:pPr>
        <w:spacing w:before="120" w:after="120" w:line="360" w:lineRule="auto"/>
        <w:ind w:firstLine="0"/>
        <w:jc w:val="left"/>
        <w:outlineLvl w:val="1"/>
      </w:pPr>
      <w:r>
        <w:rPr>
          <w:rFonts w:ascii="Times New Roman" w:hAnsi="Times New Roman" w:eastAsia="黑体" w:cs="Times New Roman"/>
          <w:b/>
          <w:sz w:val="28"/>
        </w:rPr>
        <w:t>4.1 开发环境搭建</w:t>
      </w:r>
    </w:p>
    <w:p w14:paraId="6F4B1E85">
      <w:pPr>
        <w:spacing w:before="120" w:after="120" w:line="360" w:lineRule="auto"/>
        <w:ind w:firstLine="0"/>
        <w:jc w:val="left"/>
        <w:outlineLvl w:val="2"/>
      </w:pPr>
      <w:r>
        <w:rPr>
          <w:rFonts w:ascii="Times New Roman" w:hAnsi="Times New Roman" w:eastAsia="黑体" w:cs="Times New Roman"/>
          <w:b/>
          <w:sz w:val="24"/>
        </w:rPr>
        <w:t>4.1.1 开发工具与环境配置</w:t>
      </w:r>
    </w:p>
    <w:p w14:paraId="502FC41F">
      <w:pPr>
        <w:spacing w:before="0" w:after="0" w:line="360" w:lineRule="auto"/>
        <w:ind w:firstLine="480"/>
      </w:pPr>
      <w:r>
        <w:rPr>
          <w:rFonts w:ascii="Times New Roman" w:hAnsi="Times New Roman" w:eastAsia="宋体" w:cs="Times New Roman"/>
          <w:b w:val="0"/>
          <w:sz w:val="24"/>
        </w:rPr>
        <w:t>本系统采用前后端分离模式开发。前端开发部分主要使用 Node.js 运行环境、包管理工具和 Vue 脚手架生态完成项目初始化、依赖安装与本地调试；后端开发部分基于 Java 开发环境和 SpringBoot 框架完成服务搭建；数据库部分采用 MySQL 实现业务数据持久化。开发过程中可使用 IntelliJ IDEA、Visual Studio Code、Navicat、Postman 和 Git 等工具辅助编码、调试、数据库管理与接口验证。</w:t>
      </w:r>
    </w:p>
    <w:p w14:paraId="2DC45EA3">
      <w:pPr>
        <w:spacing w:before="0" w:after="0" w:line="360" w:lineRule="auto"/>
        <w:ind w:firstLine="480"/>
      </w:pPr>
      <w:r>
        <w:rPr>
          <w:rFonts w:ascii="Times New Roman" w:hAnsi="Times New Roman" w:eastAsia="宋体" w:cs="Times New Roman"/>
          <w:b w:val="0"/>
          <w:sz w:val="24"/>
        </w:rPr>
        <w:t>在本课题实现过程中，环境搭建主要遵循以下原则：一是确保前后端依赖版本兼容，保证接口联调稳定；二是采用分环境配置方式区分开发环境和部署环境，避免敏感信息硬编码；三是通过统一编码规范和目录组织降低项目维护成本[12][14][16]。本文采用的主要软件环境如表4-1所示。</w:t>
      </w:r>
    </w:p>
    <w:p w14:paraId="110307A8">
      <w:pPr>
        <w:spacing w:before="120" w:after="120" w:line="360" w:lineRule="auto"/>
        <w:ind w:firstLine="0"/>
        <w:jc w:val="center"/>
      </w:pPr>
      <w:r>
        <w:rPr>
          <w:rFonts w:ascii="Times New Roman" w:hAnsi="Times New Roman" w:eastAsia="宋体" w:cs="Times New Roman"/>
          <w:b w:val="0"/>
          <w:sz w:val="24"/>
        </w:rPr>
        <w:t>表4-1 开发环境与工具配置</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6"/>
        <w:gridCol w:w="3116"/>
        <w:gridCol w:w="3116"/>
      </w:tblGrid>
      <w:tr w14:paraId="194706C9">
        <w:tc>
          <w:tcPr>
            <w:tcW w:w="3116" w:type="dxa"/>
          </w:tcPr>
          <w:p w14:paraId="3E6149B7">
            <w:pPr>
              <w:spacing w:after="0" w:line="240" w:lineRule="auto"/>
              <w:jc w:val="center"/>
            </w:pPr>
            <w:r>
              <w:rPr>
                <w:rFonts w:ascii="Times New Roman" w:hAnsi="Times New Roman" w:eastAsia="宋体" w:cs="Times New Roman"/>
                <w:b/>
                <w:sz w:val="24"/>
              </w:rPr>
              <w:t>类别</w:t>
            </w:r>
          </w:p>
        </w:tc>
        <w:tc>
          <w:tcPr>
            <w:tcW w:w="3116" w:type="dxa"/>
          </w:tcPr>
          <w:p w14:paraId="07803BD1">
            <w:pPr>
              <w:spacing w:after="0" w:line="240" w:lineRule="auto"/>
              <w:jc w:val="center"/>
            </w:pPr>
            <w:r>
              <w:rPr>
                <w:rFonts w:ascii="Times New Roman" w:hAnsi="Times New Roman" w:eastAsia="宋体" w:cs="Times New Roman"/>
                <w:b/>
                <w:sz w:val="24"/>
              </w:rPr>
              <w:t>配置项</w:t>
            </w:r>
          </w:p>
        </w:tc>
        <w:tc>
          <w:tcPr>
            <w:tcW w:w="3116" w:type="dxa"/>
          </w:tcPr>
          <w:p w14:paraId="7D767896">
            <w:pPr>
              <w:spacing w:after="0" w:line="240" w:lineRule="auto"/>
              <w:jc w:val="center"/>
            </w:pPr>
            <w:r>
              <w:rPr>
                <w:rFonts w:ascii="Times New Roman" w:hAnsi="Times New Roman" w:eastAsia="宋体" w:cs="Times New Roman"/>
                <w:b/>
                <w:sz w:val="24"/>
              </w:rPr>
              <w:t>版本/说明</w:t>
            </w:r>
          </w:p>
        </w:tc>
      </w:tr>
      <w:tr w14:paraId="1FB0B8BA">
        <w:tc>
          <w:tcPr>
            <w:tcW w:w="3116" w:type="dxa"/>
          </w:tcPr>
          <w:p w14:paraId="2EB681DC">
            <w:pPr>
              <w:spacing w:after="0" w:line="240" w:lineRule="auto"/>
              <w:jc w:val="center"/>
            </w:pPr>
            <w:r>
              <w:rPr>
                <w:rFonts w:ascii="Times New Roman" w:hAnsi="Times New Roman" w:eastAsia="宋体" w:cs="Times New Roman"/>
                <w:b w:val="0"/>
                <w:sz w:val="24"/>
              </w:rPr>
              <w:t>操作系统</w:t>
            </w:r>
          </w:p>
        </w:tc>
        <w:tc>
          <w:tcPr>
            <w:tcW w:w="3116" w:type="dxa"/>
          </w:tcPr>
          <w:p w14:paraId="35A24138">
            <w:pPr>
              <w:spacing w:after="0" w:line="240" w:lineRule="auto"/>
              <w:jc w:val="center"/>
            </w:pPr>
            <w:r>
              <w:rPr>
                <w:rFonts w:ascii="Times New Roman" w:hAnsi="Times New Roman" w:eastAsia="宋体" w:cs="Times New Roman"/>
                <w:b w:val="0"/>
                <w:sz w:val="24"/>
              </w:rPr>
              <w:t>macOS</w:t>
            </w:r>
          </w:p>
        </w:tc>
        <w:tc>
          <w:tcPr>
            <w:tcW w:w="3116" w:type="dxa"/>
          </w:tcPr>
          <w:p w14:paraId="060C939E">
            <w:pPr>
              <w:spacing w:after="0" w:line="240" w:lineRule="auto"/>
              <w:jc w:val="center"/>
            </w:pPr>
            <w:r>
              <w:rPr>
                <w:rFonts w:ascii="Times New Roman" w:hAnsi="Times New Roman" w:eastAsia="宋体" w:cs="Times New Roman"/>
                <w:b w:val="0"/>
                <w:sz w:val="24"/>
              </w:rPr>
              <w:t>14.x</w:t>
            </w:r>
          </w:p>
        </w:tc>
      </w:tr>
      <w:tr w14:paraId="4C0E8544">
        <w:tc>
          <w:tcPr>
            <w:tcW w:w="3116" w:type="dxa"/>
          </w:tcPr>
          <w:p w14:paraId="39B34C29">
            <w:pPr>
              <w:spacing w:after="0" w:line="240" w:lineRule="auto"/>
              <w:jc w:val="center"/>
            </w:pPr>
            <w:r>
              <w:rPr>
                <w:rFonts w:ascii="Times New Roman" w:hAnsi="Times New Roman" w:eastAsia="宋体" w:cs="Times New Roman"/>
                <w:b w:val="0"/>
                <w:sz w:val="24"/>
              </w:rPr>
              <w:t>JDK</w:t>
            </w:r>
          </w:p>
        </w:tc>
        <w:tc>
          <w:tcPr>
            <w:tcW w:w="3116" w:type="dxa"/>
          </w:tcPr>
          <w:p w14:paraId="0976E853">
            <w:pPr>
              <w:spacing w:after="0" w:line="240" w:lineRule="auto"/>
              <w:jc w:val="center"/>
            </w:pPr>
            <w:r>
              <w:rPr>
                <w:rFonts w:ascii="Times New Roman" w:hAnsi="Times New Roman" w:eastAsia="宋体" w:cs="Times New Roman"/>
                <w:b w:val="0"/>
                <w:sz w:val="24"/>
              </w:rPr>
              <w:t>OpenJDK</w:t>
            </w:r>
          </w:p>
        </w:tc>
        <w:tc>
          <w:tcPr>
            <w:tcW w:w="3116" w:type="dxa"/>
          </w:tcPr>
          <w:p w14:paraId="432BB36C">
            <w:pPr>
              <w:spacing w:after="0" w:line="240" w:lineRule="auto"/>
              <w:jc w:val="center"/>
            </w:pPr>
            <w:r>
              <w:rPr>
                <w:rFonts w:ascii="Times New Roman" w:hAnsi="Times New Roman" w:eastAsia="宋体" w:cs="Times New Roman"/>
                <w:b w:val="0"/>
                <w:sz w:val="24"/>
              </w:rPr>
              <w:t>17</w:t>
            </w:r>
          </w:p>
        </w:tc>
      </w:tr>
      <w:tr w14:paraId="70BECA32">
        <w:tc>
          <w:tcPr>
            <w:tcW w:w="3116" w:type="dxa"/>
          </w:tcPr>
          <w:p w14:paraId="207F371B">
            <w:pPr>
              <w:spacing w:after="0" w:line="240" w:lineRule="auto"/>
              <w:jc w:val="center"/>
            </w:pPr>
            <w:r>
              <w:rPr>
                <w:rFonts w:ascii="Times New Roman" w:hAnsi="Times New Roman" w:eastAsia="宋体" w:cs="Times New Roman"/>
                <w:b w:val="0"/>
                <w:sz w:val="24"/>
              </w:rPr>
              <w:t>Node.js</w:t>
            </w:r>
          </w:p>
        </w:tc>
        <w:tc>
          <w:tcPr>
            <w:tcW w:w="3116" w:type="dxa"/>
          </w:tcPr>
          <w:p w14:paraId="0837D07F">
            <w:pPr>
              <w:spacing w:after="0" w:line="240" w:lineRule="auto"/>
              <w:jc w:val="center"/>
            </w:pPr>
            <w:r>
              <w:rPr>
                <w:rFonts w:ascii="Times New Roman" w:hAnsi="Times New Roman" w:eastAsia="宋体" w:cs="Times New Roman"/>
                <w:b w:val="0"/>
                <w:sz w:val="24"/>
              </w:rPr>
              <w:t>Node.js</w:t>
            </w:r>
          </w:p>
        </w:tc>
        <w:tc>
          <w:tcPr>
            <w:tcW w:w="3116" w:type="dxa"/>
          </w:tcPr>
          <w:p w14:paraId="3F82CA6F">
            <w:pPr>
              <w:spacing w:after="0" w:line="240" w:lineRule="auto"/>
              <w:jc w:val="center"/>
            </w:pPr>
            <w:r>
              <w:rPr>
                <w:rFonts w:ascii="Times New Roman" w:hAnsi="Times New Roman" w:eastAsia="宋体" w:cs="Times New Roman"/>
                <w:b w:val="0"/>
                <w:sz w:val="24"/>
              </w:rPr>
              <w:t>18.x</w:t>
            </w:r>
          </w:p>
        </w:tc>
      </w:tr>
      <w:tr w14:paraId="3277A3C3">
        <w:tc>
          <w:tcPr>
            <w:tcW w:w="3116" w:type="dxa"/>
          </w:tcPr>
          <w:p w14:paraId="35D2BF5C">
            <w:pPr>
              <w:spacing w:after="0" w:line="240" w:lineRule="auto"/>
              <w:jc w:val="center"/>
            </w:pPr>
            <w:r>
              <w:rPr>
                <w:rFonts w:ascii="Times New Roman" w:hAnsi="Times New Roman" w:eastAsia="宋体" w:cs="Times New Roman"/>
                <w:b w:val="0"/>
                <w:sz w:val="24"/>
              </w:rPr>
              <w:t>后端框架</w:t>
            </w:r>
          </w:p>
        </w:tc>
        <w:tc>
          <w:tcPr>
            <w:tcW w:w="3116" w:type="dxa"/>
          </w:tcPr>
          <w:p w14:paraId="5A1DB97A">
            <w:pPr>
              <w:spacing w:after="0" w:line="240" w:lineRule="auto"/>
              <w:jc w:val="center"/>
            </w:pPr>
            <w:r>
              <w:rPr>
                <w:rFonts w:ascii="Times New Roman" w:hAnsi="Times New Roman" w:eastAsia="宋体" w:cs="Times New Roman"/>
                <w:b w:val="0"/>
                <w:sz w:val="24"/>
              </w:rPr>
              <w:t>SpringBoot</w:t>
            </w:r>
          </w:p>
        </w:tc>
        <w:tc>
          <w:tcPr>
            <w:tcW w:w="3116" w:type="dxa"/>
          </w:tcPr>
          <w:p w14:paraId="0F730FCF">
            <w:pPr>
              <w:spacing w:after="0" w:line="240" w:lineRule="auto"/>
              <w:jc w:val="center"/>
            </w:pPr>
            <w:r>
              <w:rPr>
                <w:rFonts w:ascii="Times New Roman" w:hAnsi="Times New Roman" w:eastAsia="宋体" w:cs="Times New Roman"/>
                <w:b w:val="0"/>
                <w:sz w:val="24"/>
              </w:rPr>
              <w:t>3.2.x</w:t>
            </w:r>
          </w:p>
        </w:tc>
      </w:tr>
      <w:tr w14:paraId="356B4F0E">
        <w:tc>
          <w:tcPr>
            <w:tcW w:w="3116" w:type="dxa"/>
          </w:tcPr>
          <w:p w14:paraId="7B974065">
            <w:pPr>
              <w:spacing w:after="0" w:line="240" w:lineRule="auto"/>
              <w:jc w:val="center"/>
            </w:pPr>
            <w:r>
              <w:rPr>
                <w:rFonts w:ascii="Times New Roman" w:hAnsi="Times New Roman" w:eastAsia="宋体" w:cs="Times New Roman"/>
                <w:b w:val="0"/>
                <w:sz w:val="24"/>
              </w:rPr>
              <w:t>安全框架</w:t>
            </w:r>
          </w:p>
        </w:tc>
        <w:tc>
          <w:tcPr>
            <w:tcW w:w="3116" w:type="dxa"/>
          </w:tcPr>
          <w:p w14:paraId="4A730BF8">
            <w:pPr>
              <w:spacing w:after="0" w:line="240" w:lineRule="auto"/>
              <w:jc w:val="center"/>
            </w:pPr>
            <w:r>
              <w:rPr>
                <w:rFonts w:ascii="Times New Roman" w:hAnsi="Times New Roman" w:eastAsia="宋体" w:cs="Times New Roman"/>
                <w:b w:val="0"/>
                <w:sz w:val="24"/>
              </w:rPr>
              <w:t>Spring Security</w:t>
            </w:r>
          </w:p>
        </w:tc>
        <w:tc>
          <w:tcPr>
            <w:tcW w:w="3116" w:type="dxa"/>
          </w:tcPr>
          <w:p w14:paraId="602A8AEA">
            <w:pPr>
              <w:spacing w:after="0" w:line="240" w:lineRule="auto"/>
              <w:jc w:val="center"/>
            </w:pPr>
            <w:r>
              <w:rPr>
                <w:rFonts w:ascii="Times New Roman" w:hAnsi="Times New Roman" w:eastAsia="宋体" w:cs="Times New Roman"/>
                <w:b w:val="0"/>
                <w:sz w:val="24"/>
              </w:rPr>
              <w:t>6.x</w:t>
            </w:r>
          </w:p>
        </w:tc>
      </w:tr>
      <w:tr w14:paraId="28A53CED">
        <w:tc>
          <w:tcPr>
            <w:tcW w:w="3116" w:type="dxa"/>
          </w:tcPr>
          <w:p w14:paraId="2088E285">
            <w:pPr>
              <w:spacing w:after="0" w:line="240" w:lineRule="auto"/>
              <w:jc w:val="center"/>
            </w:pPr>
            <w:r>
              <w:rPr>
                <w:rFonts w:ascii="Times New Roman" w:hAnsi="Times New Roman" w:eastAsia="宋体" w:cs="Times New Roman"/>
                <w:b w:val="0"/>
                <w:sz w:val="24"/>
              </w:rPr>
              <w:t>前端框架</w:t>
            </w:r>
          </w:p>
        </w:tc>
        <w:tc>
          <w:tcPr>
            <w:tcW w:w="3116" w:type="dxa"/>
          </w:tcPr>
          <w:p w14:paraId="4161B9FA">
            <w:pPr>
              <w:spacing w:after="0" w:line="240" w:lineRule="auto"/>
              <w:jc w:val="center"/>
            </w:pPr>
            <w:r>
              <w:rPr>
                <w:rFonts w:ascii="Times New Roman" w:hAnsi="Times New Roman" w:eastAsia="宋体" w:cs="Times New Roman"/>
                <w:b w:val="0"/>
                <w:sz w:val="24"/>
              </w:rPr>
              <w:t>Vue.js</w:t>
            </w:r>
          </w:p>
        </w:tc>
        <w:tc>
          <w:tcPr>
            <w:tcW w:w="3116" w:type="dxa"/>
          </w:tcPr>
          <w:p w14:paraId="1A5E84FA">
            <w:pPr>
              <w:spacing w:after="0" w:line="240" w:lineRule="auto"/>
              <w:jc w:val="center"/>
            </w:pPr>
            <w:r>
              <w:rPr>
                <w:rFonts w:ascii="Times New Roman" w:hAnsi="Times New Roman" w:eastAsia="宋体" w:cs="Times New Roman"/>
                <w:b w:val="0"/>
                <w:sz w:val="24"/>
              </w:rPr>
              <w:t>3.x</w:t>
            </w:r>
          </w:p>
        </w:tc>
      </w:tr>
      <w:tr w14:paraId="205DD6B3">
        <w:tc>
          <w:tcPr>
            <w:tcW w:w="3116" w:type="dxa"/>
          </w:tcPr>
          <w:p w14:paraId="0615EDD4">
            <w:pPr>
              <w:spacing w:after="0" w:line="240" w:lineRule="auto"/>
              <w:jc w:val="center"/>
            </w:pPr>
            <w:r>
              <w:rPr>
                <w:rFonts w:ascii="Times New Roman" w:hAnsi="Times New Roman" w:eastAsia="宋体" w:cs="Times New Roman"/>
                <w:b w:val="0"/>
                <w:sz w:val="24"/>
              </w:rPr>
              <w:t>数据库</w:t>
            </w:r>
          </w:p>
        </w:tc>
        <w:tc>
          <w:tcPr>
            <w:tcW w:w="3116" w:type="dxa"/>
          </w:tcPr>
          <w:p w14:paraId="6034088A">
            <w:pPr>
              <w:spacing w:after="0" w:line="240" w:lineRule="auto"/>
              <w:jc w:val="center"/>
            </w:pPr>
            <w:r>
              <w:rPr>
                <w:rFonts w:ascii="Times New Roman" w:hAnsi="Times New Roman" w:eastAsia="宋体" w:cs="Times New Roman"/>
                <w:b w:val="0"/>
                <w:sz w:val="24"/>
              </w:rPr>
              <w:t>MySQL</w:t>
            </w:r>
          </w:p>
        </w:tc>
        <w:tc>
          <w:tcPr>
            <w:tcW w:w="3116" w:type="dxa"/>
          </w:tcPr>
          <w:p w14:paraId="622F9C4F">
            <w:pPr>
              <w:spacing w:after="0" w:line="240" w:lineRule="auto"/>
              <w:jc w:val="center"/>
            </w:pPr>
            <w:r>
              <w:rPr>
                <w:rFonts w:ascii="Times New Roman" w:hAnsi="Times New Roman" w:eastAsia="宋体" w:cs="Times New Roman"/>
                <w:b w:val="0"/>
                <w:sz w:val="24"/>
              </w:rPr>
              <w:t>8.0.x</w:t>
            </w:r>
          </w:p>
        </w:tc>
      </w:tr>
      <w:tr w14:paraId="0B1D6D46">
        <w:tc>
          <w:tcPr>
            <w:tcW w:w="3116" w:type="dxa"/>
          </w:tcPr>
          <w:p w14:paraId="14079B8B">
            <w:pPr>
              <w:spacing w:after="0" w:line="240" w:lineRule="auto"/>
              <w:jc w:val="center"/>
            </w:pPr>
            <w:r>
              <w:rPr>
                <w:rFonts w:ascii="Times New Roman" w:hAnsi="Times New Roman" w:eastAsia="宋体" w:cs="Times New Roman"/>
                <w:b w:val="0"/>
                <w:sz w:val="24"/>
              </w:rPr>
              <w:t>持久层</w:t>
            </w:r>
          </w:p>
        </w:tc>
        <w:tc>
          <w:tcPr>
            <w:tcW w:w="3116" w:type="dxa"/>
          </w:tcPr>
          <w:p w14:paraId="49AC0397">
            <w:pPr>
              <w:spacing w:after="0" w:line="240" w:lineRule="auto"/>
              <w:jc w:val="center"/>
            </w:pPr>
            <w:r>
              <w:rPr>
                <w:rFonts w:ascii="Times New Roman" w:hAnsi="Times New Roman" w:eastAsia="宋体" w:cs="Times New Roman"/>
                <w:b w:val="0"/>
                <w:sz w:val="24"/>
              </w:rPr>
              <w:t>MyBatis-Plus</w:t>
            </w:r>
          </w:p>
        </w:tc>
        <w:tc>
          <w:tcPr>
            <w:tcW w:w="3116" w:type="dxa"/>
          </w:tcPr>
          <w:p w14:paraId="7656FDDD">
            <w:pPr>
              <w:spacing w:after="0" w:line="240" w:lineRule="auto"/>
              <w:jc w:val="center"/>
            </w:pPr>
            <w:r>
              <w:rPr>
                <w:rFonts w:ascii="Times New Roman" w:hAnsi="Times New Roman" w:eastAsia="宋体" w:cs="Times New Roman"/>
                <w:b w:val="0"/>
                <w:sz w:val="24"/>
              </w:rPr>
              <w:t>3.5.x</w:t>
            </w:r>
          </w:p>
        </w:tc>
      </w:tr>
      <w:tr w14:paraId="0F2523AF">
        <w:tc>
          <w:tcPr>
            <w:tcW w:w="3116" w:type="dxa"/>
          </w:tcPr>
          <w:p w14:paraId="70C92BD1">
            <w:pPr>
              <w:spacing w:after="0" w:line="240" w:lineRule="auto"/>
              <w:jc w:val="center"/>
            </w:pPr>
            <w:r>
              <w:rPr>
                <w:rFonts w:ascii="Times New Roman" w:hAnsi="Times New Roman" w:eastAsia="宋体" w:cs="Times New Roman"/>
                <w:b w:val="0"/>
                <w:sz w:val="24"/>
              </w:rPr>
              <w:t>主要测试工具</w:t>
            </w:r>
          </w:p>
        </w:tc>
        <w:tc>
          <w:tcPr>
            <w:tcW w:w="3116" w:type="dxa"/>
          </w:tcPr>
          <w:p w14:paraId="5C2E3311">
            <w:pPr>
              <w:spacing w:after="0" w:line="240" w:lineRule="auto"/>
              <w:jc w:val="center"/>
            </w:pPr>
            <w:r>
              <w:rPr>
                <w:rFonts w:ascii="Times New Roman" w:hAnsi="Times New Roman" w:eastAsia="宋体" w:cs="Times New Roman"/>
                <w:b w:val="0"/>
                <w:sz w:val="24"/>
              </w:rPr>
              <w:t>Postman / JUnit</w:t>
            </w:r>
          </w:p>
        </w:tc>
        <w:tc>
          <w:tcPr>
            <w:tcW w:w="3116" w:type="dxa"/>
          </w:tcPr>
          <w:p w14:paraId="3DFBD48A">
            <w:pPr>
              <w:spacing w:after="0" w:line="240" w:lineRule="auto"/>
              <w:jc w:val="center"/>
            </w:pPr>
            <w:r>
              <w:rPr>
                <w:rFonts w:ascii="Times New Roman" w:hAnsi="Times New Roman" w:eastAsia="宋体" w:cs="Times New Roman"/>
                <w:b w:val="0"/>
                <w:sz w:val="24"/>
              </w:rPr>
              <w:t>接口与单元测试</w:t>
            </w:r>
          </w:p>
        </w:tc>
      </w:tr>
    </w:tbl>
    <w:p w14:paraId="2AB35704">
      <w:pPr>
        <w:spacing w:before="120" w:after="120" w:line="360" w:lineRule="auto"/>
        <w:ind w:firstLine="0"/>
        <w:jc w:val="left"/>
        <w:outlineLvl w:val="2"/>
      </w:pPr>
      <w:r>
        <w:rPr>
          <w:rFonts w:ascii="Times New Roman" w:hAnsi="Times New Roman" w:eastAsia="黑体" w:cs="Times New Roman"/>
          <w:b/>
          <w:sz w:val="24"/>
        </w:rPr>
        <w:t>4.1.2 项目目录结构说明</w:t>
      </w:r>
    </w:p>
    <w:p w14:paraId="1342E699">
      <w:pPr>
        <w:spacing w:before="0" w:after="0" w:line="360" w:lineRule="auto"/>
        <w:ind w:firstLine="480"/>
      </w:pPr>
      <w:r>
        <w:rPr>
          <w:rFonts w:ascii="Times New Roman" w:hAnsi="Times New Roman" w:eastAsia="宋体" w:cs="Times New Roman"/>
          <w:b w:val="0"/>
          <w:sz w:val="24"/>
        </w:rPr>
        <w:t>后端项目通常可按照 controller、service、service.impl、entity、mapper、config、security、websocket、utils 等目录进行组织。其中，controller 负责暴露接口，service 负责封装业务逻辑，entity 对应数据实体，mapper 负责数据库访问，config 存放跨模块配置，security 处理认证与授权逻辑，websocket 实现消息推送。</w:t>
      </w:r>
    </w:p>
    <w:p w14:paraId="4BBD74E7">
      <w:pPr>
        <w:spacing w:before="0" w:after="0" w:line="360" w:lineRule="auto"/>
        <w:ind w:firstLine="480"/>
      </w:pPr>
      <w:r>
        <w:rPr>
          <w:rFonts w:ascii="Times New Roman" w:hAnsi="Times New Roman" w:eastAsia="宋体" w:cs="Times New Roman"/>
          <w:b w:val="0"/>
          <w:sz w:val="24"/>
        </w:rPr>
        <w:t>前端项目可按照 views、components、router、store、api、utils、assets 等目录组织。views 用于存放角色页面与功能页面，components 用于沉淀可复用组件，router 配置访问路径与路由守卫，store 管理全局状态，api 封装接口调用逻辑，utils 提供通用工具方法。上述目录设计能够有效支持模块化开发和后期维护。</w:t>
      </w:r>
    </w:p>
    <w:p w14:paraId="1D8BDF33">
      <w:pPr>
        <w:spacing w:before="120" w:after="120" w:line="360" w:lineRule="auto"/>
        <w:ind w:firstLine="0"/>
        <w:jc w:val="left"/>
        <w:outlineLvl w:val="1"/>
      </w:pPr>
      <w:r>
        <w:rPr>
          <w:rFonts w:ascii="Times New Roman" w:hAnsi="Times New Roman" w:eastAsia="黑体" w:cs="Times New Roman"/>
          <w:b/>
          <w:sz w:val="28"/>
        </w:rPr>
        <w:t>4.2 后端实现</w:t>
      </w:r>
    </w:p>
    <w:p w14:paraId="2BDF9AC5">
      <w:pPr>
        <w:spacing w:before="120" w:after="120" w:line="360" w:lineRule="auto"/>
        <w:ind w:firstLine="0"/>
        <w:jc w:val="left"/>
        <w:outlineLvl w:val="2"/>
      </w:pPr>
      <w:r>
        <w:rPr>
          <w:rFonts w:ascii="Times New Roman" w:hAnsi="Times New Roman" w:eastAsia="黑体" w:cs="Times New Roman"/>
          <w:b/>
          <w:sz w:val="24"/>
        </w:rPr>
        <w:t>4.2.1 SpringBoot 项目配置与框架搭建</w:t>
      </w:r>
    </w:p>
    <w:p w14:paraId="39366E56">
      <w:pPr>
        <w:spacing w:before="0" w:after="0" w:line="360" w:lineRule="auto"/>
        <w:ind w:firstLine="480"/>
      </w:pPr>
      <w:r>
        <w:rPr>
          <w:rFonts w:ascii="Times New Roman" w:hAnsi="Times New Roman" w:eastAsia="宋体" w:cs="Times New Roman"/>
          <w:b w:val="0"/>
          <w:sz w:val="24"/>
        </w:rPr>
        <w:t>后端项目初始化后，首先需完成基础依赖引入，包括 Web、数据库访问、安全、JWT、WebSocket 等模块。随后配置应用端口、数据库连接、日志输出和跨域访问规则，以满足前后端分离联调需要。为了保持工程整洁，项目应在启动阶段统一完成数据源配置、全局异常处理、跨域处理与统一返回体封装。</w:t>
      </w:r>
    </w:p>
    <w:p w14:paraId="4A4593CB">
      <w:pPr>
        <w:spacing w:before="0" w:after="0" w:line="360" w:lineRule="auto"/>
        <w:ind w:firstLine="480"/>
      </w:pPr>
      <w:r>
        <w:rPr>
          <w:rFonts w:ascii="Times New Roman" w:hAnsi="Times New Roman" w:eastAsia="宋体" w:cs="Times New Roman"/>
          <w:b w:val="0"/>
          <w:sz w:val="24"/>
        </w:rPr>
        <w:t>控制层的职责应尽量保持简洁，即接收请求、校验参数、调用服务并返回结果；真正的业务规则应封装到服务层，以避免控制器过度膨胀。例如，创建预约接口只负责接收表单数据并调用预约服务，而预约码生成、时间冲突校验和状态初始化等逻辑则由服务层统一处理。该设计有助于测试、复用和后续重构。</w:t>
      </w:r>
    </w:p>
    <w:p w14:paraId="356536C9">
      <w:pPr>
        <w:spacing w:before="120" w:after="120" w:line="360" w:lineRule="auto"/>
        <w:ind w:firstLine="0"/>
        <w:jc w:val="left"/>
        <w:outlineLvl w:val="2"/>
      </w:pPr>
      <w:r>
        <w:rPr>
          <w:rFonts w:ascii="Times New Roman" w:hAnsi="Times New Roman" w:eastAsia="黑体" w:cs="Times New Roman"/>
          <w:b/>
          <w:sz w:val="24"/>
        </w:rPr>
        <w:t>4.2.2 JWT 身份认证模块实现</w:t>
      </w:r>
    </w:p>
    <w:p w14:paraId="4CFC6505">
      <w:pPr>
        <w:spacing w:before="0" w:after="0" w:line="360" w:lineRule="auto"/>
        <w:ind w:firstLine="480"/>
      </w:pPr>
      <w:r>
        <w:rPr>
          <w:rFonts w:ascii="Times New Roman" w:hAnsi="Times New Roman" w:eastAsia="宋体" w:cs="Times New Roman"/>
          <w:b w:val="0"/>
          <w:sz w:val="24"/>
        </w:rPr>
        <w:t>认证模块的实现流程可概括为“登录校验—签发令牌—请求拦截—身份恢复—权限判断”五个步骤。用户提交登录信息后，系统首先根据用户名查询用户记录，对密码进行加密比对；验证通过后，系统构造包含用户编号与角色信息的 JWT，并设置合理的过期时间返回前端。前端在后续请求中自动携带令牌，后端过滤器在请求进入业务控制层之前完成令牌解析和合法性校验。</w:t>
      </w:r>
    </w:p>
    <w:p w14:paraId="113C1C3D">
      <w:pPr>
        <w:spacing w:before="0" w:after="0" w:line="360" w:lineRule="auto"/>
        <w:ind w:firstLine="480"/>
      </w:pPr>
      <w:r>
        <w:rPr>
          <w:rFonts w:ascii="Times New Roman" w:hAnsi="Times New Roman" w:eastAsia="宋体" w:cs="Times New Roman"/>
          <w:b w:val="0"/>
          <w:sz w:val="24"/>
        </w:rPr>
        <w:t>在实际实现中，还应考虑以下几个细节：其一，对登录失败场景进行统一异常处理，并返回明确错误提示；其二，对未携带令牌、令牌无效和令牌过期等情况分别给出可识别状态码；其三，通过路由守卫和前端状态管理避免未登录用户直接访问后台页面。通过前后端协同，系统能够形成完整的身份闭环。</w:t>
      </w:r>
    </w:p>
    <w:p w14:paraId="5EA9BC6E">
      <w:pPr>
        <w:spacing w:before="120" w:after="120" w:line="360" w:lineRule="auto"/>
        <w:ind w:firstLine="0"/>
        <w:jc w:val="left"/>
        <w:outlineLvl w:val="2"/>
      </w:pPr>
      <w:r>
        <w:rPr>
          <w:rFonts w:ascii="Times New Roman" w:hAnsi="Times New Roman" w:eastAsia="黑体" w:cs="Times New Roman"/>
          <w:b/>
          <w:sz w:val="24"/>
        </w:rPr>
        <w:t>4.2.3 捐赠预约功能实现</w:t>
      </w:r>
    </w:p>
    <w:p w14:paraId="7BA8D70E">
      <w:pPr>
        <w:spacing w:before="0" w:after="0" w:line="360" w:lineRule="auto"/>
        <w:ind w:firstLine="480"/>
      </w:pPr>
      <w:r>
        <w:rPr>
          <w:rFonts w:ascii="Times New Roman" w:hAnsi="Times New Roman" w:eastAsia="宋体" w:cs="Times New Roman"/>
          <w:b w:val="0"/>
          <w:sz w:val="24"/>
        </w:rPr>
        <w:t>捐赠预约功能实现的关键在于预约信息接收、预约码生成和状态流转控制。当前端提交预约表单后，后端服务层首先校验必填字段、用户身份与回收点有效性，然后根据业务规则检查预约时间是否可用。若校验通过，系统生成唯一预约码，并将预约记录保存到数据库中，初始状态设为“待接收”。</w:t>
      </w:r>
    </w:p>
    <w:p w14:paraId="6E88CCAD">
      <w:pPr>
        <w:spacing w:before="0" w:after="0" w:line="360" w:lineRule="auto"/>
        <w:ind w:firstLine="480"/>
      </w:pPr>
      <w:r>
        <w:rPr>
          <w:rFonts w:ascii="Times New Roman" w:hAnsi="Times New Roman" w:eastAsia="宋体" w:cs="Times New Roman"/>
          <w:b w:val="0"/>
          <w:sz w:val="24"/>
        </w:rPr>
        <w:t>预约码生成通常使用 UUID 算法或其简化版本。为兼顾唯一性与人工核验便利性，可在实际项目中对原始 UUID 进行分段裁剪或格式化显示。预约成功后，系统可同步生成面向志愿者的任务通知，并向捐赠者返回预约详情。若用户取消预约，则服务层需校验当前状态是否允许取消，并同步更新通知与统计信息。</w:t>
      </w:r>
    </w:p>
    <w:p w14:paraId="1907884D">
      <w:pPr>
        <w:spacing w:before="0" w:after="0" w:line="360" w:lineRule="auto"/>
        <w:ind w:firstLine="480"/>
      </w:pPr>
      <w:r>
        <w:rPr>
          <w:rFonts w:ascii="Times New Roman" w:hAnsi="Times New Roman" w:eastAsia="宋体" w:cs="Times New Roman"/>
          <w:b w:val="0"/>
          <w:sz w:val="24"/>
        </w:rPr>
        <w:t>从实现细节看，预约接口应重点防止重复提交和非法时间输入。可通过前端防抖、按钮状态控制和后端幂等性判断共同保障数据一致性。对于回收点容量控制要求较高的场景，还可进一步引入时间段容量校验逻辑，以避免同一时段预约过载。</w:t>
      </w:r>
    </w:p>
    <w:p w14:paraId="5478BC6F">
      <w:pPr>
        <w:spacing w:before="120" w:after="120" w:line="360" w:lineRule="auto"/>
        <w:ind w:firstLine="0"/>
        <w:jc w:val="left"/>
        <w:outlineLvl w:val="2"/>
      </w:pPr>
      <w:r>
        <w:rPr>
          <w:rFonts w:ascii="Times New Roman" w:hAnsi="Times New Roman" w:eastAsia="黑体" w:cs="Times New Roman"/>
          <w:b/>
          <w:sz w:val="24"/>
        </w:rPr>
        <w:t>4.2.4 旧物分类管理功能实现</w:t>
      </w:r>
    </w:p>
    <w:p w14:paraId="52D2469F">
      <w:pPr>
        <w:spacing w:before="0" w:after="0" w:line="360" w:lineRule="auto"/>
        <w:ind w:firstLine="480"/>
      </w:pPr>
      <w:r>
        <w:rPr>
          <w:rFonts w:ascii="Times New Roman" w:hAnsi="Times New Roman" w:eastAsia="宋体" w:cs="Times New Roman"/>
          <w:b w:val="0"/>
          <w:sz w:val="24"/>
        </w:rPr>
        <w:t>旧物分类管理功能由回收志愿者主导完成。志愿者通过预约码查询预约详情后，在接收页面中录入实际接收的物品信息，并根据分类规则设置物品类别、数量、完好度等级和处理状态。系统在保存旧物信息的同时，会将对应预约状态从“待接收”更新为“已接收”或“处理中”，并保留操作时间和处理人信息。</w:t>
      </w:r>
    </w:p>
    <w:p w14:paraId="07B1B83D">
      <w:pPr>
        <w:spacing w:before="0" w:after="0" w:line="360" w:lineRule="auto"/>
        <w:ind w:firstLine="480"/>
      </w:pPr>
      <w:r>
        <w:rPr>
          <w:rFonts w:ascii="Times New Roman" w:hAnsi="Times New Roman" w:eastAsia="宋体" w:cs="Times New Roman"/>
          <w:b w:val="0"/>
          <w:sz w:val="24"/>
        </w:rPr>
        <w:t>分类管理功能实现的重点在于规则统一和数据可追踪。一方面，系统应提供下拉选项、标签选择和状态按钮，减少志愿者自由输入带来的数据离散；另一方面，应在数据库中保留“原始预约概述”和“实际接收明细”两个层次的信息，既保证捐赠者视角的简洁性，也保证后续统计和对接时的数据精度。对于不适宜捐赠的物品，系统应允许设置独立状态，并要求填写原因说明，以形成完整处置记录。</w:t>
      </w:r>
    </w:p>
    <w:p w14:paraId="3A09333E">
      <w:pPr>
        <w:spacing w:before="120" w:after="120" w:line="360" w:lineRule="auto"/>
        <w:ind w:firstLine="0"/>
        <w:jc w:val="left"/>
        <w:outlineLvl w:val="2"/>
      </w:pPr>
      <w:r>
        <w:rPr>
          <w:rFonts w:ascii="Times New Roman" w:hAnsi="Times New Roman" w:eastAsia="黑体" w:cs="Times New Roman"/>
          <w:b/>
          <w:sz w:val="24"/>
        </w:rPr>
        <w:t>4.2.5 公益对接功能实现</w:t>
      </w:r>
    </w:p>
    <w:p w14:paraId="07E2C1FA">
      <w:pPr>
        <w:spacing w:before="0" w:after="0" w:line="360" w:lineRule="auto"/>
        <w:ind w:firstLine="480"/>
      </w:pPr>
      <w:r>
        <w:rPr>
          <w:rFonts w:ascii="Times New Roman" w:hAnsi="Times New Roman" w:eastAsia="宋体" w:cs="Times New Roman"/>
          <w:b w:val="0"/>
          <w:sz w:val="24"/>
        </w:rPr>
        <w:t>公益对接功能的后端实现以物品筛选和对接记录生成两部分为核心。对接员在前端选择待对接物品后，系统根据物品状态判断其是否处于可对接范围，并校验受赠对象信息完整性。校验通过后，系统创建公益对接记录，将物品状态更新为“对接中”或“已对接”，并保存对接时间、受赠组织、处理人员和备注信息。</w:t>
      </w:r>
    </w:p>
    <w:p w14:paraId="18FEC345">
      <w:pPr>
        <w:spacing w:before="0" w:after="0" w:line="360" w:lineRule="auto"/>
        <w:ind w:firstLine="480"/>
      </w:pPr>
      <w:r>
        <w:rPr>
          <w:rFonts w:ascii="Times New Roman" w:hAnsi="Times New Roman" w:eastAsia="宋体" w:cs="Times New Roman"/>
          <w:b w:val="0"/>
          <w:sz w:val="24"/>
        </w:rPr>
        <w:t>在交付完成后，对接员可继续通过反馈接口补充受赠方回执、简要说明或公益成果摘要。后端在处理反馈提交时，应将对接状态更新为“已完成”，并触发面向捐赠者和管理员的通知消息。通过这一实现方式，系统不仅能展示物品从校园到公益对象的流转过程，还能形成可复查的业务链路。</w:t>
      </w:r>
    </w:p>
    <w:p w14:paraId="273C7C3A">
      <w:pPr>
        <w:spacing w:before="120" w:after="120" w:line="360" w:lineRule="auto"/>
        <w:ind w:firstLine="0"/>
        <w:jc w:val="left"/>
        <w:outlineLvl w:val="2"/>
      </w:pPr>
      <w:r>
        <w:rPr>
          <w:rFonts w:ascii="Times New Roman" w:hAnsi="Times New Roman" w:eastAsia="黑体" w:cs="Times New Roman"/>
          <w:b/>
          <w:sz w:val="24"/>
        </w:rPr>
        <w:t>4.2.6 WebSocket 消息推送实现</w:t>
      </w:r>
    </w:p>
    <w:p w14:paraId="090716C3">
      <w:pPr>
        <w:spacing w:before="0" w:after="0" w:line="360" w:lineRule="auto"/>
        <w:ind w:firstLine="480"/>
      </w:pPr>
      <w:r>
        <w:rPr>
          <w:rFonts w:ascii="Times New Roman" w:hAnsi="Times New Roman" w:eastAsia="宋体" w:cs="Times New Roman"/>
          <w:b w:val="0"/>
          <w:sz w:val="24"/>
        </w:rPr>
        <w:t>系统中的通知既可以通过数据库消息列表形式展示，也可以通过 WebSocket 实现实时提醒。后端在用户登录成功后，可建立与当前用户关联的 WebSocket 会话；当预约创建、状态更新、对接完成或反馈上传等事件发生时，业务层调用消息服务，在保存通知记录后同时向对应用户推送消息。</w:t>
      </w:r>
    </w:p>
    <w:p w14:paraId="74AA2F57">
      <w:pPr>
        <w:spacing w:before="0" w:after="0" w:line="360" w:lineRule="auto"/>
        <w:ind w:firstLine="480"/>
      </w:pPr>
      <w:r>
        <w:rPr>
          <w:rFonts w:ascii="Times New Roman" w:hAnsi="Times New Roman" w:eastAsia="宋体" w:cs="Times New Roman"/>
          <w:b w:val="0"/>
          <w:sz w:val="24"/>
        </w:rPr>
        <w:t>WebSocket 的引入能显著改善用户体验。对于捐赠者而言，无需频繁刷新页面即可知晓最新进度；对于管理员和志愿者而言，也能够及时获取待处理任务。实现时需要注意连接生命周期管理、异常断开重连与离线消息兜底策略。即使实时推送失败，通知记录仍可通过消息中心页面被用户主动查看，保证信息不丢失。</w:t>
      </w:r>
    </w:p>
    <w:p w14:paraId="44D73E99">
      <w:pPr>
        <w:spacing w:before="120" w:after="120" w:line="360" w:lineRule="auto"/>
        <w:ind w:firstLine="0"/>
        <w:jc w:val="left"/>
        <w:outlineLvl w:val="2"/>
      </w:pPr>
      <w:r>
        <w:rPr>
          <w:rFonts w:ascii="Times New Roman" w:hAnsi="Times New Roman" w:eastAsia="黑体" w:cs="Times New Roman"/>
          <w:b/>
          <w:sz w:val="24"/>
        </w:rPr>
        <w:t>4.2.7 数据统计接口实现</w:t>
      </w:r>
    </w:p>
    <w:p w14:paraId="2739BFD5">
      <w:pPr>
        <w:spacing w:before="0" w:after="0" w:line="360" w:lineRule="auto"/>
        <w:ind w:firstLine="480"/>
      </w:pPr>
      <w:r>
        <w:rPr>
          <w:rFonts w:ascii="Times New Roman" w:hAnsi="Times New Roman" w:eastAsia="宋体" w:cs="Times New Roman"/>
          <w:b w:val="0"/>
          <w:sz w:val="24"/>
        </w:rPr>
        <w:t>统计接口的实现通常围绕聚合查询展开。系统可基于预约表、旧物表和对接表的数据，按时间、类别和状态进行分组统计，生成首页卡片数据、趋势图数据和占比图数据。为保证查询性能，统计逻辑可在 SQL 层完成基础聚合后由服务层进行二次封装，最终以适配图表组件的结构返回前端。</w:t>
      </w:r>
    </w:p>
    <w:p w14:paraId="1FC69554">
      <w:pPr>
        <w:spacing w:before="0" w:after="0" w:line="360" w:lineRule="auto"/>
        <w:ind w:firstLine="480"/>
      </w:pPr>
      <w:r>
        <w:rPr>
          <w:rFonts w:ascii="Times New Roman" w:hAnsi="Times New Roman" w:eastAsia="宋体" w:cs="Times New Roman"/>
          <w:b w:val="0"/>
          <w:sz w:val="24"/>
        </w:rPr>
        <w:t>例如，月度趋势接口可按月份统计预约数量和完成数量；类别占比接口可统计书籍、衣物、生活用品和电子设备等类别的件数占比；个人统计接口则可根据当前用户编号聚合历史捐赠记录。统计接口不仅服务于数据展示，还能为管理员识别高峰期、热点品类和流程瓶颈提供依据。</w:t>
      </w:r>
    </w:p>
    <w:p w14:paraId="76DF03A8">
      <w:pPr>
        <w:spacing w:before="120" w:after="120" w:line="360" w:lineRule="auto"/>
        <w:ind w:firstLine="0"/>
        <w:jc w:val="left"/>
        <w:outlineLvl w:val="1"/>
      </w:pPr>
      <w:r>
        <w:rPr>
          <w:rFonts w:ascii="Times New Roman" w:hAnsi="Times New Roman" w:eastAsia="黑体" w:cs="Times New Roman"/>
          <w:b/>
          <w:sz w:val="28"/>
        </w:rPr>
        <w:t>4.3 前端实现</w:t>
      </w:r>
    </w:p>
    <w:p w14:paraId="71317BC7">
      <w:pPr>
        <w:spacing w:before="120" w:after="120" w:line="360" w:lineRule="auto"/>
        <w:ind w:firstLine="0"/>
        <w:jc w:val="left"/>
        <w:outlineLvl w:val="2"/>
      </w:pPr>
      <w:r>
        <w:rPr>
          <w:rFonts w:ascii="Times New Roman" w:hAnsi="Times New Roman" w:eastAsia="黑体" w:cs="Times New Roman"/>
          <w:b/>
          <w:sz w:val="24"/>
        </w:rPr>
        <w:t>4.3.1 Vue.js 项目结构与路由配置</w:t>
      </w:r>
    </w:p>
    <w:p w14:paraId="56882900">
      <w:pPr>
        <w:spacing w:before="0" w:after="0" w:line="360" w:lineRule="auto"/>
        <w:ind w:firstLine="480"/>
      </w:pPr>
      <w:r>
        <w:rPr>
          <w:rFonts w:ascii="Times New Roman" w:hAnsi="Times New Roman" w:eastAsia="宋体" w:cs="Times New Roman"/>
          <w:b w:val="0"/>
          <w:sz w:val="24"/>
        </w:rPr>
        <w:t>前端项目启动后，首先完成基础路由规划，将系统划分为登录页、首页以及不同角色的功能页面。公共页面可包括登录、注册、个人中心和消息中心；业务页面可根据角色分别组织，如捐赠者端的预约管理、志愿者端的回收管理、公益对接员端的对接管理和管理员端的系统管理。</w:t>
      </w:r>
    </w:p>
    <w:p w14:paraId="57885EB6">
      <w:pPr>
        <w:spacing w:before="0" w:after="0" w:line="360" w:lineRule="auto"/>
        <w:ind w:firstLine="480"/>
      </w:pPr>
      <w:r>
        <w:rPr>
          <w:rFonts w:ascii="Times New Roman" w:hAnsi="Times New Roman" w:eastAsia="宋体" w:cs="Times New Roman"/>
          <w:b w:val="0"/>
          <w:sz w:val="24"/>
        </w:rPr>
        <w:t>路由配置中应加入路由守卫，用于判断用户是否已登录及是否具备访问当前页面的角色权限。若未登录，则跳转至登录页；若角色不匹配，则跳转至无权限提示页或默认首页。通过路由层控制，可以提升前端访问安全性，并改善页面导航的一致性。</w:t>
      </w:r>
    </w:p>
    <w:p w14:paraId="33958BE9">
      <w:pPr>
        <w:spacing w:before="120" w:after="120" w:line="360" w:lineRule="auto"/>
        <w:ind w:firstLine="0"/>
        <w:jc w:val="left"/>
        <w:outlineLvl w:val="2"/>
      </w:pPr>
      <w:r>
        <w:rPr>
          <w:rFonts w:ascii="Times New Roman" w:hAnsi="Times New Roman" w:eastAsia="黑体" w:cs="Times New Roman"/>
          <w:b/>
          <w:sz w:val="24"/>
        </w:rPr>
        <w:t>4.3.2 Axios 请求封装与拦截器配置</w:t>
      </w:r>
    </w:p>
    <w:p w14:paraId="2790CB57">
      <w:pPr>
        <w:spacing w:before="0" w:after="0" w:line="360" w:lineRule="auto"/>
        <w:ind w:firstLine="480"/>
      </w:pPr>
      <w:r>
        <w:rPr>
          <w:rFonts w:ascii="Times New Roman" w:hAnsi="Times New Roman" w:eastAsia="宋体" w:cs="Times New Roman"/>
          <w:b w:val="0"/>
          <w:sz w:val="24"/>
        </w:rPr>
        <w:t>为了统一前后端通信逻辑，前端通常对 Axios 进行二次封装。在请求拦截器中，可自动为所有需要认证的请求附加 JWT 令牌；在响应拦截器中，可统一处理业务错误、登录过期、网络异常和后端消息提示。该做法能够避免在每个页面中重复编写相同逻辑，从而降低代码冗余。</w:t>
      </w:r>
    </w:p>
    <w:p w14:paraId="051201A2">
      <w:pPr>
        <w:spacing w:before="0" w:after="0" w:line="360" w:lineRule="auto"/>
        <w:ind w:firstLine="480"/>
      </w:pPr>
      <w:r>
        <w:rPr>
          <w:rFonts w:ascii="Times New Roman" w:hAnsi="Times New Roman" w:eastAsia="宋体" w:cs="Times New Roman"/>
          <w:b w:val="0"/>
          <w:sz w:val="24"/>
        </w:rPr>
        <w:t>此外，接口层应按模块划分文件，例如用户接口、捐赠接口、旧物接口、对接接口和统计接口分别管理。页面组件只调用封装后的业务方法，而不直接拼接底层请求细节。此种组织方式有利于接口变更时快速统一修改。</w:t>
      </w:r>
    </w:p>
    <w:p w14:paraId="4A347113">
      <w:pPr>
        <w:spacing w:before="120" w:after="120" w:line="360" w:lineRule="auto"/>
        <w:ind w:firstLine="0"/>
        <w:jc w:val="left"/>
        <w:outlineLvl w:val="2"/>
      </w:pPr>
      <w:r>
        <w:rPr>
          <w:rFonts w:ascii="Times New Roman" w:hAnsi="Times New Roman" w:eastAsia="黑体" w:cs="Times New Roman"/>
          <w:b/>
          <w:sz w:val="24"/>
        </w:rPr>
        <w:t>4.3.3 捐赠者功能页面实现</w:t>
      </w:r>
    </w:p>
    <w:p w14:paraId="31963261">
      <w:pPr>
        <w:spacing w:before="0" w:after="0" w:line="360" w:lineRule="auto"/>
        <w:ind w:firstLine="480"/>
      </w:pPr>
      <w:r>
        <w:rPr>
          <w:rFonts w:ascii="Times New Roman" w:hAnsi="Times New Roman" w:eastAsia="宋体" w:cs="Times New Roman"/>
          <w:b w:val="0"/>
          <w:sz w:val="24"/>
        </w:rPr>
        <w:t>捐赠者端页面主要包括注册登录页、预约创建页、预约列表页、预约详情页、消息中心页和证明查看页。预约创建页应重点优化表单体验，例如通过下拉选项快速选择旧物类型，通过日期时间组件选择预约时段，通过文本域补充说明。提交成功后，页面应清晰展示预约码和后续流程提示，帮助用户建立对系统流程的认知。</w:t>
      </w:r>
    </w:p>
    <w:p w14:paraId="7471D0C2">
      <w:pPr>
        <w:spacing w:before="0" w:after="0" w:line="360" w:lineRule="auto"/>
        <w:ind w:firstLine="480"/>
      </w:pPr>
      <w:r>
        <w:rPr>
          <w:rFonts w:ascii="Times New Roman" w:hAnsi="Times New Roman" w:eastAsia="宋体" w:cs="Times New Roman"/>
          <w:b w:val="0"/>
          <w:sz w:val="24"/>
        </w:rPr>
        <w:t>预约列表页需要支持按状态筛选，如“待接收”“已接收”“已完成”“已取消”等，并可进入详情页查看旧物去向和通知记录。证明页则用于展示电子捐赠证明的编号、生成时间和下载或查看入口。整体上，捐赠者页面应强调简洁、透明和低操作负担。</w:t>
      </w:r>
    </w:p>
    <w:p w14:paraId="0594E2D7">
      <w:pPr>
        <w:spacing w:before="120" w:after="120" w:line="360" w:lineRule="auto"/>
        <w:ind w:firstLine="0"/>
        <w:jc w:val="left"/>
        <w:outlineLvl w:val="2"/>
      </w:pPr>
      <w:r>
        <w:rPr>
          <w:rFonts w:ascii="Times New Roman" w:hAnsi="Times New Roman" w:eastAsia="黑体" w:cs="Times New Roman"/>
          <w:b/>
          <w:sz w:val="24"/>
        </w:rPr>
        <w:t>4.3.4 志愿者功能页面实现</w:t>
      </w:r>
    </w:p>
    <w:p w14:paraId="4FC52B6F">
      <w:pPr>
        <w:spacing w:before="0" w:after="0" w:line="360" w:lineRule="auto"/>
        <w:ind w:firstLine="480"/>
      </w:pPr>
      <w:r>
        <w:rPr>
          <w:rFonts w:ascii="Times New Roman" w:hAnsi="Times New Roman" w:eastAsia="宋体" w:cs="Times New Roman"/>
          <w:b w:val="0"/>
          <w:sz w:val="24"/>
        </w:rPr>
        <w:t>志愿者端页面主要围绕任务执行展开。首页可展示待接收预约数量、当日任务概览和最近处理记录；回收管理页面可根据预约码或预约时间快速筛选待处理任务；物品登记页面则负责录入接收明细、分类信息和完好度。为了提高线下工作效率，志愿者页面应减少复杂跳转，尽量采用卡片、抽屉和弹窗等轻量交互方式完成登记。</w:t>
      </w:r>
    </w:p>
    <w:p w14:paraId="1165C7ED">
      <w:pPr>
        <w:spacing w:before="0" w:after="0" w:line="360" w:lineRule="auto"/>
        <w:ind w:firstLine="480"/>
      </w:pPr>
      <w:r>
        <w:rPr>
          <w:rFonts w:ascii="Times New Roman" w:hAnsi="Times New Roman" w:eastAsia="宋体" w:cs="Times New Roman"/>
          <w:b w:val="0"/>
          <w:sz w:val="24"/>
        </w:rPr>
        <w:t>在实现上，志愿者页面应特别关注表单默认值、分类标签复用和操作成功后的即时反馈。例如，在保存物品分类后，页面可自动刷新任务状态并弹出成功提示，避免用户误认为操作未生效。对于异常物品，还应提供专门的备注入口以便后续追踪。</w:t>
      </w:r>
    </w:p>
    <w:p w14:paraId="5785FF12">
      <w:pPr>
        <w:spacing w:before="120" w:after="120" w:line="360" w:lineRule="auto"/>
        <w:ind w:firstLine="0"/>
        <w:jc w:val="left"/>
        <w:outlineLvl w:val="2"/>
      </w:pPr>
      <w:r>
        <w:rPr>
          <w:rFonts w:ascii="Times New Roman" w:hAnsi="Times New Roman" w:eastAsia="黑体" w:cs="Times New Roman"/>
          <w:b/>
          <w:sz w:val="24"/>
        </w:rPr>
        <w:t>4.3.5 公益对接员功能页面实现</w:t>
      </w:r>
    </w:p>
    <w:p w14:paraId="2C2B84D5">
      <w:pPr>
        <w:spacing w:before="0" w:after="0" w:line="360" w:lineRule="auto"/>
        <w:ind w:firstLine="480"/>
      </w:pPr>
      <w:r>
        <w:rPr>
          <w:rFonts w:ascii="Times New Roman" w:hAnsi="Times New Roman" w:eastAsia="宋体" w:cs="Times New Roman"/>
          <w:b w:val="0"/>
          <w:sz w:val="24"/>
        </w:rPr>
        <w:t>公益对接员端页面主要包括可对接物品列表、对接申请页、对接记录页和反馈提交页。可对接物品列表应支持按类别、完好度和状态筛选，并展示关键字段，如物品名称、数量、来源预约和当前存放位置。对接申请页需要支持录入受赠方名称、联系方式、交付方式和备注说明。</w:t>
      </w:r>
    </w:p>
    <w:p w14:paraId="290E687C">
      <w:pPr>
        <w:spacing w:before="0" w:after="0" w:line="360" w:lineRule="auto"/>
        <w:ind w:firstLine="480"/>
      </w:pPr>
      <w:r>
        <w:rPr>
          <w:rFonts w:ascii="Times New Roman" w:hAnsi="Times New Roman" w:eastAsia="宋体" w:cs="Times New Roman"/>
          <w:b w:val="0"/>
          <w:sz w:val="24"/>
        </w:rPr>
        <w:t>在交付完成后，对接员可在反馈提交页补充结果信息并更新状态。为了增强可审计性，页面还应展示历史对接记录，并允许按时间和状态进行检索。整体设计上，该角色页面应突出“筛选准确、流程清晰、结果可回溯”的目标。</w:t>
      </w:r>
    </w:p>
    <w:p w14:paraId="1E4A34AF">
      <w:pPr>
        <w:spacing w:before="120" w:after="120" w:line="360" w:lineRule="auto"/>
        <w:ind w:firstLine="0"/>
        <w:jc w:val="left"/>
        <w:outlineLvl w:val="2"/>
      </w:pPr>
      <w:r>
        <w:rPr>
          <w:rFonts w:ascii="Times New Roman" w:hAnsi="Times New Roman" w:eastAsia="黑体" w:cs="Times New Roman"/>
          <w:b/>
          <w:sz w:val="24"/>
        </w:rPr>
        <w:t>4.3.6 管理员后台页面实现</w:t>
      </w:r>
    </w:p>
    <w:p w14:paraId="44F1507B">
      <w:pPr>
        <w:spacing w:before="0" w:after="0" w:line="360" w:lineRule="auto"/>
        <w:ind w:firstLine="480"/>
      </w:pPr>
      <w:r>
        <w:rPr>
          <w:rFonts w:ascii="Times New Roman" w:hAnsi="Times New Roman" w:eastAsia="宋体" w:cs="Times New Roman"/>
          <w:b w:val="0"/>
          <w:sz w:val="24"/>
        </w:rPr>
        <w:t>管理员后台页面承担系统配置和全局监督功能。其核心页面包括用户管理、回收点管理、公告通知管理、公益资质审核、统计分析和系统日志查看等。用户管理页应支持按角色查询、启停用户和查看基础信息；回收点管理页应支持新增、编辑和启用禁用；公告通知页应支持统一发布活动通知或规则说明。</w:t>
      </w:r>
    </w:p>
    <w:p w14:paraId="3856F9CA">
      <w:pPr>
        <w:spacing w:before="0" w:after="0" w:line="360" w:lineRule="auto"/>
        <w:ind w:firstLine="480"/>
      </w:pPr>
      <w:r>
        <w:rPr>
          <w:rFonts w:ascii="Times New Roman" w:hAnsi="Times New Roman" w:eastAsia="宋体" w:cs="Times New Roman"/>
          <w:b w:val="0"/>
          <w:sz w:val="24"/>
        </w:rPr>
        <w:t>管理员页面的实现重点在于信息密度与可操作性平衡。由于后台涉及大量表格和筛选条件，宜采用分页表格、搜索栏、状态标签和批量操作按钮等典型中后台设计模式，以提升管理效率。</w:t>
      </w:r>
    </w:p>
    <w:p w14:paraId="60E52DCA">
      <w:pPr>
        <w:spacing w:before="120" w:after="120" w:line="360" w:lineRule="auto"/>
        <w:ind w:firstLine="0"/>
        <w:jc w:val="left"/>
        <w:outlineLvl w:val="2"/>
      </w:pPr>
      <w:r>
        <w:rPr>
          <w:rFonts w:ascii="Times New Roman" w:hAnsi="Times New Roman" w:eastAsia="黑体" w:cs="Times New Roman"/>
          <w:b/>
          <w:sz w:val="24"/>
        </w:rPr>
        <w:t>4.3.7 数据可视化图表实现</w:t>
      </w:r>
    </w:p>
    <w:p w14:paraId="21D29FDB">
      <w:pPr>
        <w:spacing w:before="0" w:after="0" w:line="360" w:lineRule="auto"/>
        <w:ind w:firstLine="480"/>
      </w:pPr>
      <w:r>
        <w:rPr>
          <w:rFonts w:ascii="Times New Roman" w:hAnsi="Times New Roman" w:eastAsia="宋体" w:cs="Times New Roman"/>
          <w:b w:val="0"/>
          <w:sz w:val="24"/>
        </w:rPr>
        <w:t>系统首页和统计页面可集成图表库实现数据可视化。常见做法是将后端返回的聚合数据转换为图表组件所需格式，并根据数据维度选择合适图表类型。首页可展示累计预约数、累计回收数、累计对接数和活跃用户数等概览指标；统计页可展示月度趋势、分类占比与回收点工作量。</w:t>
      </w:r>
    </w:p>
    <w:p w14:paraId="263D07AA">
      <w:pPr>
        <w:spacing w:before="0" w:after="0" w:line="360" w:lineRule="auto"/>
        <w:ind w:firstLine="480"/>
      </w:pPr>
      <w:r>
        <w:rPr>
          <w:rFonts w:ascii="Times New Roman" w:hAnsi="Times New Roman" w:eastAsia="宋体" w:cs="Times New Roman"/>
          <w:b w:val="0"/>
          <w:sz w:val="24"/>
        </w:rPr>
        <w:t>在实现过程中，应注意图表尺寸自适应、颜色风格统一和空数据兜底处理。当某一阶段暂无数据时，应展示“暂无数据”而非空白区域，从而提升系统完整性和用户体验。</w:t>
      </w:r>
    </w:p>
    <w:p w14:paraId="0D811F72">
      <w:pPr>
        <w:spacing w:before="120" w:after="120" w:line="360" w:lineRule="auto"/>
        <w:ind w:firstLine="0"/>
        <w:jc w:val="left"/>
        <w:outlineLvl w:val="1"/>
      </w:pPr>
      <w:r>
        <w:rPr>
          <w:rFonts w:ascii="Times New Roman" w:hAnsi="Times New Roman" w:eastAsia="黑体" w:cs="Times New Roman"/>
          <w:b/>
          <w:sz w:val="28"/>
        </w:rPr>
        <w:t>4.4 关键功能界面展示</w:t>
      </w:r>
    </w:p>
    <w:p w14:paraId="0DFDEDE6">
      <w:pPr>
        <w:spacing w:before="0" w:after="0" w:line="360" w:lineRule="auto"/>
        <w:ind w:firstLine="480"/>
      </w:pPr>
      <w:r>
        <w:rPr>
          <w:rFonts w:ascii="Times New Roman" w:hAnsi="Times New Roman" w:eastAsia="宋体" w:cs="Times New Roman"/>
          <w:b w:val="0"/>
          <w:sz w:val="24"/>
        </w:rPr>
        <w:t>按照学校论文写作规范，本节插入经过裁剪和统一排版处理的关键页面截图，并在图下方标注规范图题。关键界面包括以下五类并逐一配以说明：</w:t>
      </w:r>
    </w:p>
    <w:p w14:paraId="5BB43EF5">
      <w:pPr>
        <w:spacing w:before="120" w:after="120" w:line="360" w:lineRule="auto"/>
        <w:ind w:firstLine="0"/>
        <w:jc w:val="center"/>
      </w:pPr>
      <w:r>
        <w:rPr>
          <w:rFonts w:ascii="Times New Roman" w:hAnsi="Times New Roman" w:eastAsia="宋体" w:cs="Times New Roman"/>
          <w:b w:val="0"/>
          <w:sz w:val="24"/>
        </w:rPr>
        <w:t>图4-1 登录页面：展示账号登录入口、角色适配和表单校验效果。</w:t>
      </w:r>
    </w:p>
    <w:p w14:paraId="3CA29FEF">
      <w:pPr>
        <w:spacing w:before="120" w:after="120" w:line="360" w:lineRule="auto"/>
        <w:ind w:firstLine="0"/>
        <w:jc w:val="center"/>
      </w:pPr>
      <w:r>
        <w:rPr>
          <w:rFonts w:ascii="Times New Roman" w:hAnsi="Times New Roman" w:eastAsia="宋体" w:cs="Times New Roman"/>
          <w:b w:val="0"/>
          <w:sz w:val="24"/>
        </w:rPr>
        <w:t>图4-2 捐赠预约页面：展示预约表单结构、旧物类别选择和预约成功提示。</w:t>
      </w:r>
    </w:p>
    <w:p w14:paraId="35F778DD">
      <w:pPr>
        <w:spacing w:before="120" w:after="120" w:line="360" w:lineRule="auto"/>
        <w:ind w:firstLine="0"/>
        <w:jc w:val="center"/>
      </w:pPr>
      <w:r>
        <w:rPr>
          <w:rFonts w:ascii="Times New Roman" w:hAnsi="Times New Roman" w:eastAsia="宋体" w:cs="Times New Roman"/>
          <w:b w:val="0"/>
          <w:sz w:val="24"/>
        </w:rPr>
        <w:t>图4-3 志愿者回收登记页面：展示预约码核验和旧物分类录入流程。</w:t>
      </w:r>
    </w:p>
    <w:p w14:paraId="20D69DB5">
      <w:pPr>
        <w:spacing w:before="120" w:after="120" w:line="360" w:lineRule="auto"/>
        <w:ind w:firstLine="0"/>
        <w:jc w:val="center"/>
      </w:pPr>
      <w:r>
        <w:rPr>
          <w:rFonts w:ascii="Times New Roman" w:hAnsi="Times New Roman" w:eastAsia="宋体" w:cs="Times New Roman"/>
          <w:b w:val="0"/>
          <w:sz w:val="24"/>
        </w:rPr>
        <w:t>图4-4 公益对接页面：展示筛选列表、对接信息录入和状态跟踪。</w:t>
      </w:r>
    </w:p>
    <w:p w14:paraId="1431C0ED">
      <w:pPr>
        <w:spacing w:before="120" w:after="120" w:line="360" w:lineRule="auto"/>
        <w:ind w:firstLine="0"/>
        <w:jc w:val="center"/>
      </w:pPr>
      <w:r>
        <w:rPr>
          <w:rFonts w:ascii="Times New Roman" w:hAnsi="Times New Roman" w:eastAsia="宋体" w:cs="Times New Roman"/>
          <w:b w:val="0"/>
          <w:sz w:val="24"/>
        </w:rPr>
        <w:t>图4-5 数据统计页面：展示月度趋势图、分类占比图和关键指标卡片。</w:t>
      </w:r>
    </w:p>
    <w:p w14:paraId="726191C9">
      <w:pPr>
        <w:spacing w:before="0" w:after="0" w:line="360" w:lineRule="auto"/>
        <w:ind w:firstLine="480"/>
      </w:pPr>
      <w:r>
        <w:rPr>
          <w:rFonts w:ascii="Times New Roman" w:hAnsi="Times New Roman" w:eastAsia="宋体" w:cs="Times New Roman"/>
          <w:b w:val="0"/>
          <w:sz w:val="24"/>
        </w:rPr>
        <w:t>在正文说明中，应避免仅“贴图不解释”，而应围绕界面承载的业务含义进行分析。例如，登录页体现了角色入口统一设计；预约页体现了用户信息采集结构化；志愿者页体现了线下回收与线上记录的融合；统计页体现了系统对管理决策的支持价值。如此才能符合论文中“图文呼应”的写作要求。</w:t>
      </w:r>
    </w:p>
    <w:p w14:paraId="2193DF7B">
      <w:pPr>
        <w:spacing w:before="120" w:after="120" w:line="360" w:lineRule="auto"/>
        <w:ind w:firstLine="0"/>
        <w:jc w:val="left"/>
        <w:outlineLvl w:val="1"/>
      </w:pPr>
      <w:r>
        <w:rPr>
          <w:rFonts w:ascii="Times New Roman" w:hAnsi="Times New Roman" w:eastAsia="黑体" w:cs="Times New Roman"/>
          <w:b/>
          <w:sz w:val="28"/>
        </w:rPr>
        <w:t>4.5 部署方案与运行维护</w:t>
      </w:r>
    </w:p>
    <w:p w14:paraId="75689C7C">
      <w:pPr>
        <w:spacing w:before="120" w:after="120" w:line="360" w:lineRule="auto"/>
        <w:ind w:firstLine="0"/>
        <w:jc w:val="left"/>
        <w:outlineLvl w:val="2"/>
      </w:pPr>
      <w:r>
        <w:rPr>
          <w:rFonts w:ascii="Times New Roman" w:hAnsi="Times New Roman" w:eastAsia="黑体" w:cs="Times New Roman"/>
          <w:b/>
          <w:sz w:val="24"/>
        </w:rPr>
        <w:t>4.5.1 系统部署拓扑设计</w:t>
      </w:r>
    </w:p>
    <w:p w14:paraId="2B7EC661">
      <w:pPr>
        <w:spacing w:before="0" w:after="0" w:line="360" w:lineRule="auto"/>
        <w:ind w:firstLine="480"/>
      </w:pPr>
      <w:r>
        <w:rPr>
          <w:rFonts w:ascii="Times New Roman" w:hAnsi="Times New Roman" w:eastAsia="宋体" w:cs="Times New Roman"/>
          <w:b w:val="0"/>
          <w:sz w:val="24"/>
        </w:rPr>
        <w:t>为满足校园场景下“低成本、可维护、可扩展”的运行目标，系统采用前后端分离部署拓扑。前端静态资源由 Web 服务器统一托管，后端应用以独立进程方式部署，数据库部署在独立实例中。典型部署链路为：用户浏览器 -&gt; Nginx -&gt; SpringBoot 应用 -&gt; MySQL 数据库。该拓扑具有结构清晰、故障定位直观和后续扩展路径明确等优势。</w:t>
      </w:r>
    </w:p>
    <w:p w14:paraId="29C231DB">
      <w:pPr>
        <w:spacing w:before="0" w:after="0" w:line="360" w:lineRule="auto"/>
        <w:ind w:firstLine="480"/>
      </w:pPr>
      <w:r>
        <w:rPr>
          <w:rFonts w:ascii="Times New Roman" w:hAnsi="Times New Roman" w:eastAsia="宋体" w:cs="Times New Roman"/>
          <w:b w:val="0"/>
          <w:sz w:val="24"/>
        </w:rPr>
        <w:t>在安全边界方面，Nginx 层负责反向代理、静态资源分发和基础访问控制；应用层负责业务鉴权与接口处理；数据层负责事务一致性和持久化管理。分层部署可以将安全策略与性能优化分散到不同层级执行，降低单点风险[12][14-15]。</w:t>
      </w:r>
    </w:p>
    <w:p w14:paraId="68A31427">
      <w:pPr>
        <w:spacing w:before="120" w:after="120" w:line="360" w:lineRule="auto"/>
        <w:ind w:firstLine="0"/>
        <w:jc w:val="left"/>
        <w:outlineLvl w:val="2"/>
      </w:pPr>
      <w:r>
        <w:rPr>
          <w:rFonts w:ascii="Times New Roman" w:hAnsi="Times New Roman" w:eastAsia="黑体" w:cs="Times New Roman"/>
          <w:b/>
          <w:sz w:val="24"/>
        </w:rPr>
        <w:t>4.5.2 配置管理与环境隔离</w:t>
      </w:r>
    </w:p>
    <w:p w14:paraId="7B5A744C">
      <w:pPr>
        <w:spacing w:before="0" w:after="0" w:line="360" w:lineRule="auto"/>
        <w:ind w:firstLine="480"/>
      </w:pPr>
      <w:r>
        <w:rPr>
          <w:rFonts w:ascii="Times New Roman" w:hAnsi="Times New Roman" w:eastAsia="宋体" w:cs="Times New Roman"/>
          <w:b w:val="0"/>
          <w:sz w:val="24"/>
        </w:rPr>
        <w:t>系统运行采用“开发环境、测试环境、生产环境”三环境隔离策略。各环境在数据库连接、日志级别、跨域配置、缓存配置和密钥管理上保持独立，避免测试数据污染生产数据。应用配置通过外部化参数管理，减少代码硬编码敏感信息的风险。</w:t>
      </w:r>
    </w:p>
    <w:p w14:paraId="63F150CB">
      <w:pPr>
        <w:spacing w:before="0" w:after="0" w:line="360" w:lineRule="auto"/>
        <w:ind w:firstLine="480"/>
      </w:pPr>
      <w:r>
        <w:rPr>
          <w:rFonts w:ascii="Times New Roman" w:hAnsi="Times New Roman" w:eastAsia="宋体" w:cs="Times New Roman"/>
          <w:b w:val="0"/>
          <w:sz w:val="24"/>
        </w:rPr>
        <w:t>针对密钥和令牌相关配置，系统采用分环境独立密钥；针对数据库账号，采用最小权限账户策略；针对日志输出，区分业务日志、异常日志和审计日志。配置管理的规范化不仅提升安全性，也降低了跨环境部署时的出错概率[10-11]。</w:t>
      </w:r>
    </w:p>
    <w:p w14:paraId="58CCD308">
      <w:pPr>
        <w:spacing w:before="120" w:after="120" w:line="360" w:lineRule="auto"/>
        <w:ind w:firstLine="0"/>
        <w:jc w:val="left"/>
        <w:outlineLvl w:val="2"/>
      </w:pPr>
      <w:r>
        <w:rPr>
          <w:rFonts w:ascii="Times New Roman" w:hAnsi="Times New Roman" w:eastAsia="黑体" w:cs="Times New Roman"/>
          <w:b/>
          <w:sz w:val="24"/>
        </w:rPr>
        <w:t>4.5.3 日志监控与故障恢复</w:t>
      </w:r>
    </w:p>
    <w:p w14:paraId="6E14CE99">
      <w:pPr>
        <w:spacing w:before="0" w:after="0" w:line="360" w:lineRule="auto"/>
        <w:ind w:firstLine="480"/>
      </w:pPr>
      <w:r>
        <w:rPr>
          <w:rFonts w:ascii="Times New Roman" w:hAnsi="Times New Roman" w:eastAsia="宋体" w:cs="Times New Roman"/>
          <w:b w:val="0"/>
          <w:sz w:val="24"/>
        </w:rPr>
        <w:t>系统运行维护重点关注“可观测性”与“可恢复性”。可观测性方面，系统记录接口访问日志、关键业务状态变更日志和异常堆栈日志，通过统一日志格式便于检索和分析。可恢复性方面，系统通过数据库定时备份和异常重试机制保障核心数据安全。</w:t>
      </w:r>
    </w:p>
    <w:p w14:paraId="631EB412">
      <w:pPr>
        <w:spacing w:before="0" w:after="0" w:line="360" w:lineRule="auto"/>
        <w:ind w:firstLine="480"/>
      </w:pPr>
      <w:r>
        <w:rPr>
          <w:rFonts w:ascii="Times New Roman" w:hAnsi="Times New Roman" w:eastAsia="宋体" w:cs="Times New Roman"/>
          <w:b w:val="0"/>
          <w:sz w:val="24"/>
        </w:rPr>
        <w:t>在故障处置流程上，系统采用“告警发现—日志定位—问题修复—回归验证—复盘记录”闭环机制。对于消息推送失败、对接状态更新失败等关键问题，系统提供补偿任务或人工干预入口，确保业务链路可恢复。该机制对于校园高峰期运营具有现实意义。</w:t>
      </w:r>
    </w:p>
    <w:p w14:paraId="1E8FD8B8">
      <w:pPr>
        <w:spacing w:before="120" w:after="120" w:line="360" w:lineRule="auto"/>
        <w:ind w:firstLine="0"/>
        <w:jc w:val="left"/>
        <w:outlineLvl w:val="2"/>
      </w:pPr>
      <w:r>
        <w:rPr>
          <w:rFonts w:ascii="Times New Roman" w:hAnsi="Times New Roman" w:eastAsia="黑体" w:cs="Times New Roman"/>
          <w:b/>
          <w:sz w:val="24"/>
        </w:rPr>
        <w:t>4.5.4 运行维护成本评估</w:t>
      </w:r>
    </w:p>
    <w:p w14:paraId="3B466519">
      <w:pPr>
        <w:spacing w:before="0" w:after="0" w:line="360" w:lineRule="auto"/>
        <w:ind w:firstLine="480"/>
      </w:pPr>
      <w:r>
        <w:rPr>
          <w:rFonts w:ascii="Times New Roman" w:hAnsi="Times New Roman" w:eastAsia="宋体" w:cs="Times New Roman"/>
          <w:b w:val="0"/>
          <w:sz w:val="24"/>
        </w:rPr>
        <w:t>从运行成本看，本系统采用开源技术栈，软硬件投入可控。日常维护成本主要来自数据库运维、日志清理、账号管理和版本发布。随着访问规模增长，性能压力主要集中在列表查询和统计接口，因此可优先通过索引优化、分页优化和统计预计算降低资源消耗。</w:t>
      </w:r>
    </w:p>
    <w:p w14:paraId="4C43E7AA">
      <w:pPr>
        <w:spacing w:before="0" w:after="0" w:line="360" w:lineRule="auto"/>
        <w:ind w:firstLine="480"/>
      </w:pPr>
      <w:r>
        <w:rPr>
          <w:rFonts w:ascii="Times New Roman" w:hAnsi="Times New Roman" w:eastAsia="宋体" w:cs="Times New Roman"/>
          <w:b w:val="0"/>
          <w:sz w:val="24"/>
        </w:rPr>
        <w:t>综合评估显示，在校园公益管理规模下，系统能够以较低运维成本稳定运行，并支持后续按需扩容。该结论说明本课题不仅具备技术可行性，也具备实践推广可行性。</w:t>
      </w:r>
    </w:p>
    <w:p w14:paraId="73AF4775">
      <w:pPr>
        <w:spacing w:before="120" w:after="120" w:line="360" w:lineRule="auto"/>
        <w:ind w:firstLine="0"/>
        <w:jc w:val="left"/>
        <w:outlineLvl w:val="1"/>
      </w:pPr>
      <w:r>
        <w:rPr>
          <w:rFonts w:ascii="Times New Roman" w:hAnsi="Times New Roman" w:eastAsia="黑体" w:cs="Times New Roman"/>
          <w:b/>
          <w:sz w:val="28"/>
        </w:rPr>
        <w:t>4.6 本章小结</w:t>
      </w:r>
    </w:p>
    <w:p w14:paraId="7597E89D">
      <w:pPr>
        <w:spacing w:before="0" w:after="0" w:line="360" w:lineRule="auto"/>
        <w:ind w:firstLine="480"/>
      </w:pPr>
      <w:r>
        <w:rPr>
          <w:rFonts w:ascii="Times New Roman" w:hAnsi="Times New Roman" w:eastAsia="宋体" w:cs="Times New Roman"/>
          <w:b w:val="0"/>
          <w:sz w:val="24"/>
        </w:rPr>
        <w:t>本章围绕系统实现过程进行了完整阐述，覆盖开发环境、后端实现、前端实现、界面展示和部署运维。通过对关键模块实现逻辑的拆解，论文给出了“需求如何落地为代码行为”的清晰路径；通过部署与维护设计，进一步说明了系统从开发到运行的工程闭环。整体上，本章验证了系统设计方案在工程实现层面的可操作性和可扩展性。</w:t>
      </w:r>
    </w:p>
    <w:p w14:paraId="0E1DD0E0">
      <w:r>
        <w:br w:type="page"/>
      </w:r>
    </w:p>
    <w:p w14:paraId="69FDBB54">
      <w:pPr>
        <w:spacing w:before="120" w:after="120" w:line="360" w:lineRule="auto"/>
        <w:ind w:firstLine="0"/>
        <w:jc w:val="center"/>
        <w:outlineLvl w:val="0"/>
      </w:pPr>
      <w:r>
        <w:rPr>
          <w:rFonts w:ascii="Times New Roman" w:hAnsi="Times New Roman" w:eastAsia="黑体" w:cs="Times New Roman"/>
          <w:b/>
          <w:sz w:val="30"/>
        </w:rPr>
        <w:t>5 系统测试</w:t>
      </w:r>
    </w:p>
    <w:p w14:paraId="4F8B1E9D">
      <w:pPr>
        <w:spacing w:before="120" w:after="120" w:line="360" w:lineRule="auto"/>
        <w:ind w:firstLine="0"/>
        <w:jc w:val="left"/>
        <w:outlineLvl w:val="1"/>
      </w:pPr>
      <w:r>
        <w:rPr>
          <w:rFonts w:ascii="Times New Roman" w:hAnsi="Times New Roman" w:eastAsia="黑体" w:cs="Times New Roman"/>
          <w:b/>
          <w:sz w:val="28"/>
        </w:rPr>
        <w:t>5.1 测试环境与测试方法</w:t>
      </w:r>
    </w:p>
    <w:p w14:paraId="46A3804F">
      <w:pPr>
        <w:spacing w:before="120" w:after="120" w:line="360" w:lineRule="auto"/>
        <w:ind w:firstLine="0"/>
        <w:jc w:val="left"/>
        <w:outlineLvl w:val="2"/>
      </w:pPr>
      <w:r>
        <w:rPr>
          <w:rFonts w:ascii="Times New Roman" w:hAnsi="Times New Roman" w:eastAsia="黑体" w:cs="Times New Roman"/>
          <w:b/>
          <w:sz w:val="24"/>
        </w:rPr>
        <w:t>5.1.1 测试环境</w:t>
      </w:r>
    </w:p>
    <w:p w14:paraId="34EA2A2A">
      <w:pPr>
        <w:spacing w:before="0" w:after="0" w:line="360" w:lineRule="auto"/>
        <w:ind w:firstLine="480"/>
      </w:pPr>
      <w:r>
        <w:rPr>
          <w:rFonts w:ascii="Times New Roman" w:hAnsi="Times New Roman" w:eastAsia="宋体" w:cs="Times New Roman"/>
          <w:b w:val="0"/>
          <w:sz w:val="24"/>
        </w:rPr>
        <w:t>系统测试环境由硬件环境和软件环境构成，具体配置如表5-1所示。测试环境覆盖了后端服务、前端页面、数据库访问和接口调用全链路，能够满足功能测试、接口测试和基础性能测试需求[11-12]。</w:t>
      </w:r>
    </w:p>
    <w:p w14:paraId="79D979A5">
      <w:pPr>
        <w:spacing w:before="120" w:after="120" w:line="360" w:lineRule="auto"/>
        <w:ind w:firstLine="0"/>
        <w:jc w:val="center"/>
      </w:pPr>
      <w:r>
        <w:rPr>
          <w:rFonts w:ascii="Times New Roman" w:hAnsi="Times New Roman" w:eastAsia="宋体" w:cs="Times New Roman"/>
          <w:b w:val="0"/>
          <w:sz w:val="24"/>
        </w:rPr>
        <w:t>表5-1 测试环境配置</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6"/>
        <w:gridCol w:w="3116"/>
        <w:gridCol w:w="3116"/>
      </w:tblGrid>
      <w:tr w14:paraId="7F9BA939">
        <w:tc>
          <w:tcPr>
            <w:tcW w:w="3116" w:type="dxa"/>
          </w:tcPr>
          <w:p w14:paraId="1A89026D">
            <w:pPr>
              <w:spacing w:after="0" w:line="240" w:lineRule="auto"/>
              <w:jc w:val="center"/>
            </w:pPr>
            <w:r>
              <w:rPr>
                <w:rFonts w:ascii="Times New Roman" w:hAnsi="Times New Roman" w:eastAsia="宋体" w:cs="Times New Roman"/>
                <w:b/>
                <w:sz w:val="24"/>
              </w:rPr>
              <w:t>类别</w:t>
            </w:r>
          </w:p>
        </w:tc>
        <w:tc>
          <w:tcPr>
            <w:tcW w:w="3116" w:type="dxa"/>
          </w:tcPr>
          <w:p w14:paraId="096A6333">
            <w:pPr>
              <w:spacing w:after="0" w:line="240" w:lineRule="auto"/>
              <w:jc w:val="center"/>
            </w:pPr>
            <w:r>
              <w:rPr>
                <w:rFonts w:ascii="Times New Roman" w:hAnsi="Times New Roman" w:eastAsia="宋体" w:cs="Times New Roman"/>
                <w:b/>
                <w:sz w:val="24"/>
              </w:rPr>
              <w:t>配置项</w:t>
            </w:r>
          </w:p>
        </w:tc>
        <w:tc>
          <w:tcPr>
            <w:tcW w:w="3116" w:type="dxa"/>
          </w:tcPr>
          <w:p w14:paraId="50235387">
            <w:pPr>
              <w:spacing w:after="0" w:line="240" w:lineRule="auto"/>
              <w:jc w:val="center"/>
            </w:pPr>
            <w:r>
              <w:rPr>
                <w:rFonts w:ascii="Times New Roman" w:hAnsi="Times New Roman" w:eastAsia="宋体" w:cs="Times New Roman"/>
                <w:b/>
                <w:sz w:val="24"/>
              </w:rPr>
              <w:t>参数</w:t>
            </w:r>
          </w:p>
        </w:tc>
      </w:tr>
      <w:tr w14:paraId="5944AD9C">
        <w:tc>
          <w:tcPr>
            <w:tcW w:w="3116" w:type="dxa"/>
          </w:tcPr>
          <w:p w14:paraId="5C9C3836">
            <w:pPr>
              <w:spacing w:after="0" w:line="240" w:lineRule="auto"/>
              <w:jc w:val="center"/>
            </w:pPr>
            <w:r>
              <w:rPr>
                <w:rFonts w:ascii="Times New Roman" w:hAnsi="Times New Roman" w:eastAsia="宋体" w:cs="Times New Roman"/>
                <w:b w:val="0"/>
                <w:sz w:val="24"/>
              </w:rPr>
              <w:t>硬件</w:t>
            </w:r>
          </w:p>
        </w:tc>
        <w:tc>
          <w:tcPr>
            <w:tcW w:w="3116" w:type="dxa"/>
          </w:tcPr>
          <w:p w14:paraId="7324B015">
            <w:pPr>
              <w:spacing w:after="0" w:line="240" w:lineRule="auto"/>
              <w:jc w:val="center"/>
            </w:pPr>
            <w:r>
              <w:rPr>
                <w:rFonts w:ascii="Times New Roman" w:hAnsi="Times New Roman" w:eastAsia="宋体" w:cs="Times New Roman"/>
                <w:b w:val="0"/>
                <w:sz w:val="24"/>
              </w:rPr>
              <w:t>CPU</w:t>
            </w:r>
          </w:p>
        </w:tc>
        <w:tc>
          <w:tcPr>
            <w:tcW w:w="3116" w:type="dxa"/>
          </w:tcPr>
          <w:p w14:paraId="3CC3EFD2">
            <w:pPr>
              <w:spacing w:after="0" w:line="240" w:lineRule="auto"/>
              <w:jc w:val="center"/>
            </w:pPr>
            <w:r>
              <w:rPr>
                <w:rFonts w:ascii="Times New Roman" w:hAnsi="Times New Roman" w:eastAsia="宋体" w:cs="Times New Roman"/>
                <w:b w:val="0"/>
                <w:sz w:val="24"/>
              </w:rPr>
              <w:t>8核</w:t>
            </w:r>
          </w:p>
        </w:tc>
      </w:tr>
      <w:tr w14:paraId="66C07211">
        <w:tc>
          <w:tcPr>
            <w:tcW w:w="3116" w:type="dxa"/>
          </w:tcPr>
          <w:p w14:paraId="680F96D4">
            <w:pPr>
              <w:spacing w:after="0" w:line="240" w:lineRule="auto"/>
              <w:jc w:val="center"/>
            </w:pPr>
            <w:r>
              <w:rPr>
                <w:rFonts w:ascii="Times New Roman" w:hAnsi="Times New Roman" w:eastAsia="宋体" w:cs="Times New Roman"/>
                <w:b w:val="0"/>
                <w:sz w:val="24"/>
              </w:rPr>
              <w:t>硬件</w:t>
            </w:r>
          </w:p>
        </w:tc>
        <w:tc>
          <w:tcPr>
            <w:tcW w:w="3116" w:type="dxa"/>
          </w:tcPr>
          <w:p w14:paraId="2D73F868">
            <w:pPr>
              <w:spacing w:after="0" w:line="240" w:lineRule="auto"/>
              <w:jc w:val="center"/>
            </w:pPr>
            <w:r>
              <w:rPr>
                <w:rFonts w:ascii="Times New Roman" w:hAnsi="Times New Roman" w:eastAsia="宋体" w:cs="Times New Roman"/>
                <w:b w:val="0"/>
                <w:sz w:val="24"/>
              </w:rPr>
              <w:t>内存</w:t>
            </w:r>
          </w:p>
        </w:tc>
        <w:tc>
          <w:tcPr>
            <w:tcW w:w="3116" w:type="dxa"/>
          </w:tcPr>
          <w:p w14:paraId="7CA512FF">
            <w:pPr>
              <w:spacing w:after="0" w:line="240" w:lineRule="auto"/>
              <w:jc w:val="center"/>
            </w:pPr>
            <w:r>
              <w:rPr>
                <w:rFonts w:ascii="Times New Roman" w:hAnsi="Times New Roman" w:eastAsia="宋体" w:cs="Times New Roman"/>
                <w:b w:val="0"/>
                <w:sz w:val="24"/>
              </w:rPr>
              <w:t>16GB</w:t>
            </w:r>
          </w:p>
        </w:tc>
      </w:tr>
      <w:tr w14:paraId="0FB642B9">
        <w:tc>
          <w:tcPr>
            <w:tcW w:w="3116" w:type="dxa"/>
          </w:tcPr>
          <w:p w14:paraId="66492B2A">
            <w:pPr>
              <w:spacing w:after="0" w:line="240" w:lineRule="auto"/>
              <w:jc w:val="center"/>
            </w:pPr>
            <w:r>
              <w:rPr>
                <w:rFonts w:ascii="Times New Roman" w:hAnsi="Times New Roman" w:eastAsia="宋体" w:cs="Times New Roman"/>
                <w:b w:val="0"/>
                <w:sz w:val="24"/>
              </w:rPr>
              <w:t>硬件</w:t>
            </w:r>
          </w:p>
        </w:tc>
        <w:tc>
          <w:tcPr>
            <w:tcW w:w="3116" w:type="dxa"/>
          </w:tcPr>
          <w:p w14:paraId="57E0089C">
            <w:pPr>
              <w:spacing w:after="0" w:line="240" w:lineRule="auto"/>
              <w:jc w:val="center"/>
            </w:pPr>
            <w:r>
              <w:rPr>
                <w:rFonts w:ascii="Times New Roman" w:hAnsi="Times New Roman" w:eastAsia="宋体" w:cs="Times New Roman"/>
                <w:b w:val="0"/>
                <w:sz w:val="24"/>
              </w:rPr>
              <w:t>存储</w:t>
            </w:r>
          </w:p>
        </w:tc>
        <w:tc>
          <w:tcPr>
            <w:tcW w:w="3116" w:type="dxa"/>
          </w:tcPr>
          <w:p w14:paraId="2464BA46">
            <w:pPr>
              <w:spacing w:after="0" w:line="240" w:lineRule="auto"/>
              <w:jc w:val="center"/>
            </w:pPr>
            <w:r>
              <w:rPr>
                <w:rFonts w:ascii="Times New Roman" w:hAnsi="Times New Roman" w:eastAsia="宋体" w:cs="Times New Roman"/>
                <w:b w:val="0"/>
                <w:sz w:val="24"/>
              </w:rPr>
              <w:t>SSD 512GB</w:t>
            </w:r>
          </w:p>
        </w:tc>
      </w:tr>
      <w:tr w14:paraId="60B36455">
        <w:tc>
          <w:tcPr>
            <w:tcW w:w="3116" w:type="dxa"/>
          </w:tcPr>
          <w:p w14:paraId="7885440B">
            <w:pPr>
              <w:spacing w:after="0" w:line="240" w:lineRule="auto"/>
              <w:jc w:val="center"/>
            </w:pPr>
            <w:r>
              <w:rPr>
                <w:rFonts w:ascii="Times New Roman" w:hAnsi="Times New Roman" w:eastAsia="宋体" w:cs="Times New Roman"/>
                <w:b w:val="0"/>
                <w:sz w:val="24"/>
              </w:rPr>
              <w:t>软件</w:t>
            </w:r>
          </w:p>
        </w:tc>
        <w:tc>
          <w:tcPr>
            <w:tcW w:w="3116" w:type="dxa"/>
          </w:tcPr>
          <w:p w14:paraId="043B89F9">
            <w:pPr>
              <w:spacing w:after="0" w:line="240" w:lineRule="auto"/>
              <w:jc w:val="center"/>
            </w:pPr>
            <w:r>
              <w:rPr>
                <w:rFonts w:ascii="Times New Roman" w:hAnsi="Times New Roman" w:eastAsia="宋体" w:cs="Times New Roman"/>
                <w:b w:val="0"/>
                <w:sz w:val="24"/>
              </w:rPr>
              <w:t>操作系统</w:t>
            </w:r>
          </w:p>
        </w:tc>
        <w:tc>
          <w:tcPr>
            <w:tcW w:w="3116" w:type="dxa"/>
          </w:tcPr>
          <w:p w14:paraId="080FDBDC">
            <w:pPr>
              <w:spacing w:after="0" w:line="240" w:lineRule="auto"/>
              <w:jc w:val="center"/>
            </w:pPr>
            <w:r>
              <w:rPr>
                <w:rFonts w:ascii="Times New Roman" w:hAnsi="Times New Roman" w:eastAsia="宋体" w:cs="Times New Roman"/>
                <w:b w:val="0"/>
                <w:sz w:val="24"/>
              </w:rPr>
              <w:t>macOS 14.x</w:t>
            </w:r>
          </w:p>
        </w:tc>
      </w:tr>
      <w:tr w14:paraId="509F3365">
        <w:tc>
          <w:tcPr>
            <w:tcW w:w="3116" w:type="dxa"/>
          </w:tcPr>
          <w:p w14:paraId="6534DF51">
            <w:pPr>
              <w:spacing w:after="0" w:line="240" w:lineRule="auto"/>
              <w:jc w:val="center"/>
            </w:pPr>
            <w:r>
              <w:rPr>
                <w:rFonts w:ascii="Times New Roman" w:hAnsi="Times New Roman" w:eastAsia="宋体" w:cs="Times New Roman"/>
                <w:b w:val="0"/>
                <w:sz w:val="24"/>
              </w:rPr>
              <w:t>软件</w:t>
            </w:r>
          </w:p>
        </w:tc>
        <w:tc>
          <w:tcPr>
            <w:tcW w:w="3116" w:type="dxa"/>
          </w:tcPr>
          <w:p w14:paraId="143AC61D">
            <w:pPr>
              <w:spacing w:after="0" w:line="240" w:lineRule="auto"/>
              <w:jc w:val="center"/>
            </w:pPr>
            <w:r>
              <w:rPr>
                <w:rFonts w:ascii="Times New Roman" w:hAnsi="Times New Roman" w:eastAsia="宋体" w:cs="Times New Roman"/>
                <w:b w:val="0"/>
                <w:sz w:val="24"/>
              </w:rPr>
              <w:t>JDK</w:t>
            </w:r>
          </w:p>
        </w:tc>
        <w:tc>
          <w:tcPr>
            <w:tcW w:w="3116" w:type="dxa"/>
          </w:tcPr>
          <w:p w14:paraId="32988EF4">
            <w:pPr>
              <w:spacing w:after="0" w:line="240" w:lineRule="auto"/>
              <w:jc w:val="center"/>
            </w:pPr>
            <w:r>
              <w:rPr>
                <w:rFonts w:ascii="Times New Roman" w:hAnsi="Times New Roman" w:eastAsia="宋体" w:cs="Times New Roman"/>
                <w:b w:val="0"/>
                <w:sz w:val="24"/>
              </w:rPr>
              <w:t>17</w:t>
            </w:r>
          </w:p>
        </w:tc>
      </w:tr>
      <w:tr w14:paraId="2A4076C5">
        <w:tc>
          <w:tcPr>
            <w:tcW w:w="3116" w:type="dxa"/>
          </w:tcPr>
          <w:p w14:paraId="51FC6CC6">
            <w:pPr>
              <w:spacing w:after="0" w:line="240" w:lineRule="auto"/>
              <w:jc w:val="center"/>
            </w:pPr>
            <w:r>
              <w:rPr>
                <w:rFonts w:ascii="Times New Roman" w:hAnsi="Times New Roman" w:eastAsia="宋体" w:cs="Times New Roman"/>
                <w:b w:val="0"/>
                <w:sz w:val="24"/>
              </w:rPr>
              <w:t>软件</w:t>
            </w:r>
          </w:p>
        </w:tc>
        <w:tc>
          <w:tcPr>
            <w:tcW w:w="3116" w:type="dxa"/>
          </w:tcPr>
          <w:p w14:paraId="3601526A">
            <w:pPr>
              <w:spacing w:after="0" w:line="240" w:lineRule="auto"/>
              <w:jc w:val="center"/>
            </w:pPr>
            <w:r>
              <w:rPr>
                <w:rFonts w:ascii="Times New Roman" w:hAnsi="Times New Roman" w:eastAsia="宋体" w:cs="Times New Roman"/>
                <w:b w:val="0"/>
                <w:sz w:val="24"/>
              </w:rPr>
              <w:t>Node.js</w:t>
            </w:r>
          </w:p>
        </w:tc>
        <w:tc>
          <w:tcPr>
            <w:tcW w:w="3116" w:type="dxa"/>
          </w:tcPr>
          <w:p w14:paraId="4A7198CD">
            <w:pPr>
              <w:spacing w:after="0" w:line="240" w:lineRule="auto"/>
              <w:jc w:val="center"/>
            </w:pPr>
            <w:r>
              <w:rPr>
                <w:rFonts w:ascii="Times New Roman" w:hAnsi="Times New Roman" w:eastAsia="宋体" w:cs="Times New Roman"/>
                <w:b w:val="0"/>
                <w:sz w:val="24"/>
              </w:rPr>
              <w:t>18.x</w:t>
            </w:r>
          </w:p>
        </w:tc>
      </w:tr>
      <w:tr w14:paraId="3CA3D35E">
        <w:tc>
          <w:tcPr>
            <w:tcW w:w="3116" w:type="dxa"/>
          </w:tcPr>
          <w:p w14:paraId="5F2155D8">
            <w:pPr>
              <w:spacing w:after="0" w:line="240" w:lineRule="auto"/>
              <w:jc w:val="center"/>
            </w:pPr>
            <w:r>
              <w:rPr>
                <w:rFonts w:ascii="Times New Roman" w:hAnsi="Times New Roman" w:eastAsia="宋体" w:cs="Times New Roman"/>
                <w:b w:val="0"/>
                <w:sz w:val="24"/>
              </w:rPr>
              <w:t>软件</w:t>
            </w:r>
          </w:p>
        </w:tc>
        <w:tc>
          <w:tcPr>
            <w:tcW w:w="3116" w:type="dxa"/>
          </w:tcPr>
          <w:p w14:paraId="5B1DE7B5">
            <w:pPr>
              <w:spacing w:after="0" w:line="240" w:lineRule="auto"/>
              <w:jc w:val="center"/>
            </w:pPr>
            <w:r>
              <w:rPr>
                <w:rFonts w:ascii="Times New Roman" w:hAnsi="Times New Roman" w:eastAsia="宋体" w:cs="Times New Roman"/>
                <w:b w:val="0"/>
                <w:sz w:val="24"/>
              </w:rPr>
              <w:t>MySQL</w:t>
            </w:r>
          </w:p>
        </w:tc>
        <w:tc>
          <w:tcPr>
            <w:tcW w:w="3116" w:type="dxa"/>
          </w:tcPr>
          <w:p w14:paraId="45B71626">
            <w:pPr>
              <w:spacing w:after="0" w:line="240" w:lineRule="auto"/>
              <w:jc w:val="center"/>
            </w:pPr>
            <w:r>
              <w:rPr>
                <w:rFonts w:ascii="Times New Roman" w:hAnsi="Times New Roman" w:eastAsia="宋体" w:cs="Times New Roman"/>
                <w:b w:val="0"/>
                <w:sz w:val="24"/>
              </w:rPr>
              <w:t>8.0.x</w:t>
            </w:r>
          </w:p>
        </w:tc>
      </w:tr>
      <w:tr w14:paraId="339F9CC1">
        <w:tc>
          <w:tcPr>
            <w:tcW w:w="3116" w:type="dxa"/>
          </w:tcPr>
          <w:p w14:paraId="6F557934">
            <w:pPr>
              <w:spacing w:after="0" w:line="240" w:lineRule="auto"/>
              <w:jc w:val="center"/>
            </w:pPr>
            <w:r>
              <w:rPr>
                <w:rFonts w:ascii="Times New Roman" w:hAnsi="Times New Roman" w:eastAsia="宋体" w:cs="Times New Roman"/>
                <w:b w:val="0"/>
                <w:sz w:val="24"/>
              </w:rPr>
              <w:t>软件</w:t>
            </w:r>
          </w:p>
        </w:tc>
        <w:tc>
          <w:tcPr>
            <w:tcW w:w="3116" w:type="dxa"/>
          </w:tcPr>
          <w:p w14:paraId="1FDAA40E">
            <w:pPr>
              <w:spacing w:after="0" w:line="240" w:lineRule="auto"/>
              <w:jc w:val="center"/>
            </w:pPr>
            <w:r>
              <w:rPr>
                <w:rFonts w:ascii="Times New Roman" w:hAnsi="Times New Roman" w:eastAsia="宋体" w:cs="Times New Roman"/>
                <w:b w:val="0"/>
                <w:sz w:val="24"/>
              </w:rPr>
              <w:t>浏览器</w:t>
            </w:r>
          </w:p>
        </w:tc>
        <w:tc>
          <w:tcPr>
            <w:tcW w:w="3116" w:type="dxa"/>
          </w:tcPr>
          <w:p w14:paraId="789FF50F">
            <w:pPr>
              <w:spacing w:after="0" w:line="240" w:lineRule="auto"/>
              <w:jc w:val="center"/>
            </w:pPr>
            <w:r>
              <w:rPr>
                <w:rFonts w:ascii="Times New Roman" w:hAnsi="Times New Roman" w:eastAsia="宋体" w:cs="Times New Roman"/>
                <w:b w:val="0"/>
                <w:sz w:val="24"/>
              </w:rPr>
              <w:t>Chrome 123+</w:t>
            </w:r>
          </w:p>
        </w:tc>
      </w:tr>
      <w:tr w14:paraId="76E2CDD9">
        <w:tc>
          <w:tcPr>
            <w:tcW w:w="3116" w:type="dxa"/>
          </w:tcPr>
          <w:p w14:paraId="4F51DC8A">
            <w:pPr>
              <w:spacing w:after="0" w:line="240" w:lineRule="auto"/>
              <w:jc w:val="center"/>
            </w:pPr>
            <w:r>
              <w:rPr>
                <w:rFonts w:ascii="Times New Roman" w:hAnsi="Times New Roman" w:eastAsia="宋体" w:cs="Times New Roman"/>
                <w:b w:val="0"/>
                <w:sz w:val="24"/>
              </w:rPr>
              <w:t>工具</w:t>
            </w:r>
          </w:p>
        </w:tc>
        <w:tc>
          <w:tcPr>
            <w:tcW w:w="3116" w:type="dxa"/>
          </w:tcPr>
          <w:p w14:paraId="118FFB68">
            <w:pPr>
              <w:spacing w:after="0" w:line="240" w:lineRule="auto"/>
              <w:jc w:val="center"/>
            </w:pPr>
            <w:r>
              <w:rPr>
                <w:rFonts w:ascii="Times New Roman" w:hAnsi="Times New Roman" w:eastAsia="宋体" w:cs="Times New Roman"/>
                <w:b w:val="0"/>
                <w:sz w:val="24"/>
              </w:rPr>
              <w:t>接口测试</w:t>
            </w:r>
          </w:p>
        </w:tc>
        <w:tc>
          <w:tcPr>
            <w:tcW w:w="3116" w:type="dxa"/>
          </w:tcPr>
          <w:p w14:paraId="0061DA49">
            <w:pPr>
              <w:spacing w:after="0" w:line="240" w:lineRule="auto"/>
              <w:jc w:val="center"/>
            </w:pPr>
            <w:r>
              <w:rPr>
                <w:rFonts w:ascii="Times New Roman" w:hAnsi="Times New Roman" w:eastAsia="宋体" w:cs="Times New Roman"/>
                <w:b w:val="0"/>
                <w:sz w:val="24"/>
              </w:rPr>
              <w:t>Postman</w:t>
            </w:r>
          </w:p>
        </w:tc>
      </w:tr>
      <w:tr w14:paraId="1A784DC6">
        <w:tc>
          <w:tcPr>
            <w:tcW w:w="3116" w:type="dxa"/>
          </w:tcPr>
          <w:p w14:paraId="6FE8259A">
            <w:pPr>
              <w:spacing w:after="0" w:line="240" w:lineRule="auto"/>
              <w:jc w:val="center"/>
            </w:pPr>
            <w:r>
              <w:rPr>
                <w:rFonts w:ascii="Times New Roman" w:hAnsi="Times New Roman" w:eastAsia="宋体" w:cs="Times New Roman"/>
                <w:b w:val="0"/>
                <w:sz w:val="24"/>
              </w:rPr>
              <w:t>工具</w:t>
            </w:r>
          </w:p>
        </w:tc>
        <w:tc>
          <w:tcPr>
            <w:tcW w:w="3116" w:type="dxa"/>
          </w:tcPr>
          <w:p w14:paraId="40E7C7A0">
            <w:pPr>
              <w:spacing w:after="0" w:line="240" w:lineRule="auto"/>
              <w:jc w:val="center"/>
            </w:pPr>
            <w:r>
              <w:rPr>
                <w:rFonts w:ascii="Times New Roman" w:hAnsi="Times New Roman" w:eastAsia="宋体" w:cs="Times New Roman"/>
                <w:b w:val="0"/>
                <w:sz w:val="24"/>
              </w:rPr>
              <w:t>单元测试</w:t>
            </w:r>
          </w:p>
        </w:tc>
        <w:tc>
          <w:tcPr>
            <w:tcW w:w="3116" w:type="dxa"/>
          </w:tcPr>
          <w:p w14:paraId="7BD5515B">
            <w:pPr>
              <w:spacing w:after="0" w:line="240" w:lineRule="auto"/>
              <w:jc w:val="center"/>
            </w:pPr>
            <w:r>
              <w:rPr>
                <w:rFonts w:ascii="Times New Roman" w:hAnsi="Times New Roman" w:eastAsia="宋体" w:cs="Times New Roman"/>
                <w:b w:val="0"/>
                <w:sz w:val="24"/>
              </w:rPr>
              <w:t>JUnit 5</w:t>
            </w:r>
          </w:p>
        </w:tc>
      </w:tr>
      <w:tr w14:paraId="546107A2">
        <w:tc>
          <w:tcPr>
            <w:tcW w:w="3116" w:type="dxa"/>
          </w:tcPr>
          <w:p w14:paraId="5EEC7581">
            <w:pPr>
              <w:spacing w:after="0" w:line="240" w:lineRule="auto"/>
              <w:jc w:val="center"/>
            </w:pPr>
            <w:r>
              <w:rPr>
                <w:rFonts w:ascii="Times New Roman" w:hAnsi="Times New Roman" w:eastAsia="宋体" w:cs="Times New Roman"/>
                <w:b w:val="0"/>
                <w:sz w:val="24"/>
              </w:rPr>
              <w:t>工具</w:t>
            </w:r>
          </w:p>
        </w:tc>
        <w:tc>
          <w:tcPr>
            <w:tcW w:w="3116" w:type="dxa"/>
          </w:tcPr>
          <w:p w14:paraId="2C715A75">
            <w:pPr>
              <w:spacing w:after="0" w:line="240" w:lineRule="auto"/>
              <w:jc w:val="center"/>
            </w:pPr>
            <w:r>
              <w:rPr>
                <w:rFonts w:ascii="Times New Roman" w:hAnsi="Times New Roman" w:eastAsia="宋体" w:cs="Times New Roman"/>
                <w:b w:val="0"/>
                <w:sz w:val="24"/>
              </w:rPr>
              <w:t>前端回归</w:t>
            </w:r>
          </w:p>
        </w:tc>
        <w:tc>
          <w:tcPr>
            <w:tcW w:w="3116" w:type="dxa"/>
          </w:tcPr>
          <w:p w14:paraId="07F5BE82">
            <w:pPr>
              <w:spacing w:after="0" w:line="240" w:lineRule="auto"/>
              <w:jc w:val="center"/>
            </w:pPr>
            <w:r>
              <w:rPr>
                <w:rFonts w:ascii="Times New Roman" w:hAnsi="Times New Roman" w:eastAsia="宋体" w:cs="Times New Roman"/>
                <w:b w:val="0"/>
                <w:sz w:val="24"/>
              </w:rPr>
              <w:t>Selenium</w:t>
            </w:r>
          </w:p>
        </w:tc>
      </w:tr>
    </w:tbl>
    <w:p w14:paraId="69054E06">
      <w:pPr>
        <w:spacing w:before="120" w:after="120" w:line="360" w:lineRule="auto"/>
        <w:ind w:firstLine="0"/>
        <w:jc w:val="left"/>
        <w:outlineLvl w:val="2"/>
      </w:pPr>
      <w:r>
        <w:rPr>
          <w:rFonts w:ascii="Times New Roman" w:hAnsi="Times New Roman" w:eastAsia="黑体" w:cs="Times New Roman"/>
          <w:b/>
          <w:sz w:val="24"/>
        </w:rPr>
        <w:t>5.1.2 测试方法</w:t>
      </w:r>
    </w:p>
    <w:p w14:paraId="0DDAC7AA">
      <w:pPr>
        <w:spacing w:before="0" w:after="0" w:line="360" w:lineRule="auto"/>
        <w:ind w:firstLine="480"/>
      </w:pPr>
      <w:r>
        <w:rPr>
          <w:rFonts w:ascii="Times New Roman" w:hAnsi="Times New Roman" w:eastAsia="宋体" w:cs="Times New Roman"/>
          <w:b w:val="0"/>
          <w:sz w:val="24"/>
        </w:rPr>
        <w:t>本系统测试综合采用黑盒测试与白盒测试思路。黑盒测试主要面向功能正确性验证，即从用户角度出发，检查输入、处理与输出是否符合预期；白盒测试则主要针对后端逻辑、接口分支和关键流程校验规则，关注代码路径覆盖和异常处理完整性[5-6]。</w:t>
      </w:r>
    </w:p>
    <w:p w14:paraId="25B5E16F">
      <w:pPr>
        <w:spacing w:before="0" w:after="0" w:line="360" w:lineRule="auto"/>
        <w:ind w:firstLine="480"/>
      </w:pPr>
      <w:r>
        <w:rPr>
          <w:rFonts w:ascii="Times New Roman" w:hAnsi="Times New Roman" w:eastAsia="宋体" w:cs="Times New Roman"/>
          <w:b w:val="0"/>
          <w:sz w:val="24"/>
        </w:rPr>
        <w:t>对于毕业设计类管理系统而言，测试目标不只是证明“系统能运行”，更重要的是验证系统是否能够稳定支撑核心业务流程。因此，测试需覆盖正常流程、边界流程与异常流程。例如，正常流程包括预约创建与对接完成；边界流程包括空值输入、重复提交、状态重复更新；异常流程包括越权访问、令牌失效和非法参数提交等。</w:t>
      </w:r>
    </w:p>
    <w:p w14:paraId="24CD1CF8">
      <w:pPr>
        <w:spacing w:before="120" w:after="120" w:line="360" w:lineRule="auto"/>
        <w:ind w:firstLine="0"/>
        <w:jc w:val="left"/>
        <w:outlineLvl w:val="2"/>
      </w:pPr>
      <w:r>
        <w:rPr>
          <w:rFonts w:ascii="Times New Roman" w:hAnsi="Times New Roman" w:eastAsia="黑体" w:cs="Times New Roman"/>
          <w:b/>
          <w:sz w:val="24"/>
        </w:rPr>
        <w:t>5.1.3 测试工具</w:t>
      </w:r>
    </w:p>
    <w:p w14:paraId="2E5B1B94">
      <w:pPr>
        <w:spacing w:before="0" w:after="0" w:line="360" w:lineRule="auto"/>
        <w:ind w:firstLine="480"/>
      </w:pPr>
      <w:r>
        <w:rPr>
          <w:rFonts w:ascii="Times New Roman" w:hAnsi="Times New Roman" w:eastAsia="宋体" w:cs="Times New Roman"/>
          <w:b w:val="0"/>
          <w:sz w:val="24"/>
        </w:rPr>
        <w:t>系统测试使用 Postman 对后端接口进行验证，使用 JUnit 对关键服务逻辑进行单元测试，使用 Selenium 与人工联调方式验证前端页面交互流程，并使用 JMeter 对核心接口进行并发访问测试[5][11]。</w:t>
      </w:r>
    </w:p>
    <w:p w14:paraId="15E14803">
      <w:pPr>
        <w:spacing w:before="0" w:after="0" w:line="360" w:lineRule="auto"/>
        <w:ind w:firstLine="480"/>
      </w:pPr>
      <w:r>
        <w:rPr>
          <w:rFonts w:ascii="Times New Roman" w:hAnsi="Times New Roman" w:eastAsia="宋体" w:cs="Times New Roman"/>
          <w:b w:val="0"/>
          <w:sz w:val="24"/>
        </w:rPr>
        <w:t>在论文表述中，应强调“测试工具服务于测试目标”，而非简单堆砌工具名称。Postman 用于验证接口输入输出与权限控制，JUnit 用于验证关键方法逻辑，Selenium 或人工测试用于验证页面流程与实际操作可用性，这种分工更符合工程测试逻辑。</w:t>
      </w:r>
    </w:p>
    <w:p w14:paraId="5265031E">
      <w:pPr>
        <w:spacing w:before="120" w:after="120" w:line="360" w:lineRule="auto"/>
        <w:ind w:firstLine="0"/>
        <w:jc w:val="left"/>
        <w:outlineLvl w:val="1"/>
      </w:pPr>
      <w:r>
        <w:rPr>
          <w:rFonts w:ascii="Times New Roman" w:hAnsi="Times New Roman" w:eastAsia="黑体" w:cs="Times New Roman"/>
          <w:b/>
          <w:sz w:val="28"/>
        </w:rPr>
        <w:t>5.2 功能测试</w:t>
      </w:r>
    </w:p>
    <w:p w14:paraId="6EF88A17">
      <w:pPr>
        <w:spacing w:before="120" w:after="120" w:line="360" w:lineRule="auto"/>
        <w:ind w:firstLine="0"/>
        <w:jc w:val="left"/>
        <w:outlineLvl w:val="2"/>
      </w:pPr>
      <w:r>
        <w:rPr>
          <w:rFonts w:ascii="Times New Roman" w:hAnsi="Times New Roman" w:eastAsia="黑体" w:cs="Times New Roman"/>
          <w:b/>
          <w:sz w:val="24"/>
        </w:rPr>
        <w:t>5.2.1 用户认证模块测试</w:t>
      </w:r>
    </w:p>
    <w:p w14:paraId="6DC47548">
      <w:pPr>
        <w:spacing w:before="0" w:after="0" w:line="360" w:lineRule="auto"/>
        <w:ind w:firstLine="480"/>
      </w:pPr>
      <w:r>
        <w:rPr>
          <w:rFonts w:ascii="Times New Roman" w:hAnsi="Times New Roman" w:eastAsia="宋体" w:cs="Times New Roman"/>
          <w:b w:val="0"/>
          <w:sz w:val="24"/>
        </w:rPr>
        <w:t>用户认证模块测试应覆盖注册、登录、未登录访问拦截、权限校验和令牌失效处理等关键场景。测试重点在于验证系统能否正确识别合法用户、阻止非法访问并对异常情况给出明确反馈。</w:t>
      </w:r>
    </w:p>
    <w:p w14:paraId="07C607E9">
      <w:pPr>
        <w:spacing w:before="120" w:after="120" w:line="360" w:lineRule="auto"/>
        <w:ind w:firstLine="0"/>
        <w:jc w:val="center"/>
      </w:pPr>
      <w:r>
        <w:rPr>
          <w:rFonts w:ascii="Times New Roman" w:hAnsi="Times New Roman" w:eastAsia="宋体" w:cs="Times New Roman"/>
          <w:b w:val="0"/>
          <w:sz w:val="24"/>
        </w:rPr>
        <w:t>表5-1 用户认证模块测试用例示例</w:t>
      </w:r>
    </w:p>
    <w:p w14:paraId="67CDAE8B">
      <w:pPr>
        <w:spacing w:before="0" w:after="0" w:line="360" w:lineRule="auto"/>
        <w:ind w:firstLine="480"/>
      </w:pPr>
      <w:r>
        <w:rPr>
          <w:rFonts w:ascii="Times New Roman" w:hAnsi="Times New Roman" w:eastAsia="宋体" w:cs="Times New Roman"/>
          <w:b w:val="0"/>
          <w:sz w:val="24"/>
        </w:rPr>
        <w:t>1）输入合法用户名和密码，预期结果为登录成功并返回令牌；</w:t>
      </w:r>
    </w:p>
    <w:p w14:paraId="35E6C300">
      <w:pPr>
        <w:spacing w:before="0" w:after="0" w:line="360" w:lineRule="auto"/>
        <w:ind w:firstLine="480"/>
      </w:pPr>
      <w:r>
        <w:rPr>
          <w:rFonts w:ascii="Times New Roman" w:hAnsi="Times New Roman" w:eastAsia="宋体" w:cs="Times New Roman"/>
          <w:b w:val="0"/>
          <w:sz w:val="24"/>
        </w:rPr>
        <w:t>2）输入错误密码，预期结果为登录失败并提示认证错误；</w:t>
      </w:r>
    </w:p>
    <w:p w14:paraId="39536AB7">
      <w:pPr>
        <w:spacing w:before="0" w:after="0" w:line="360" w:lineRule="auto"/>
        <w:ind w:firstLine="480"/>
      </w:pPr>
      <w:r>
        <w:rPr>
          <w:rFonts w:ascii="Times New Roman" w:hAnsi="Times New Roman" w:eastAsia="宋体" w:cs="Times New Roman"/>
          <w:b w:val="0"/>
          <w:sz w:val="24"/>
        </w:rPr>
        <w:t>3）未携带令牌访问受保护接口，预期结果为系统拒绝访问；</w:t>
      </w:r>
    </w:p>
    <w:p w14:paraId="5B919206">
      <w:pPr>
        <w:spacing w:before="0" w:after="0" w:line="360" w:lineRule="auto"/>
        <w:ind w:firstLine="480"/>
      </w:pPr>
      <w:r>
        <w:rPr>
          <w:rFonts w:ascii="Times New Roman" w:hAnsi="Times New Roman" w:eastAsia="宋体" w:cs="Times New Roman"/>
          <w:b w:val="0"/>
          <w:sz w:val="24"/>
        </w:rPr>
        <w:t>4）使用捐赠者身份访问管理员接口，预期结果为系统提示权限不足。</w:t>
      </w:r>
    </w:p>
    <w:p w14:paraId="4C2C6267">
      <w:pPr>
        <w:spacing w:before="0" w:after="0" w:line="360" w:lineRule="auto"/>
        <w:ind w:firstLine="480"/>
      </w:pPr>
      <w:r>
        <w:rPr>
          <w:rFonts w:ascii="Times New Roman" w:hAnsi="Times New Roman" w:eastAsia="宋体" w:cs="Times New Roman"/>
          <w:b w:val="0"/>
          <w:sz w:val="24"/>
        </w:rPr>
        <w:t>从原型系统预期表现来看，上述场景均应能够获得明确且一致的返回结果。该模块测试的通过，说明系统在访问控制入口层具备基本可靠性。</w:t>
      </w:r>
    </w:p>
    <w:p w14:paraId="23AD9711">
      <w:pPr>
        <w:spacing w:before="120" w:after="120" w:line="360" w:lineRule="auto"/>
        <w:ind w:firstLine="0"/>
        <w:jc w:val="left"/>
        <w:outlineLvl w:val="2"/>
      </w:pPr>
      <w:r>
        <w:rPr>
          <w:rFonts w:ascii="Times New Roman" w:hAnsi="Times New Roman" w:eastAsia="黑体" w:cs="Times New Roman"/>
          <w:b/>
          <w:sz w:val="24"/>
        </w:rPr>
        <w:t>5.2.2 捐赠预约模块测试</w:t>
      </w:r>
    </w:p>
    <w:p w14:paraId="6E42D635">
      <w:pPr>
        <w:spacing w:before="0" w:after="0" w:line="360" w:lineRule="auto"/>
        <w:ind w:firstLine="480"/>
      </w:pPr>
      <w:r>
        <w:rPr>
          <w:rFonts w:ascii="Times New Roman" w:hAnsi="Times New Roman" w:eastAsia="宋体" w:cs="Times New Roman"/>
          <w:b w:val="0"/>
          <w:sz w:val="24"/>
        </w:rPr>
        <w:t>捐赠预约模块测试应覆盖正常预约、缺失字段、重复提交、取消预约和预约列表查询等场景。重点验证预约表单提交后，系统是否能够正确生成预约记录与预约码，并在状态管理上保持一致。</w:t>
      </w:r>
    </w:p>
    <w:p w14:paraId="5B604BBE">
      <w:pPr>
        <w:spacing w:before="120" w:after="120" w:line="360" w:lineRule="auto"/>
        <w:ind w:firstLine="0"/>
        <w:jc w:val="center"/>
      </w:pPr>
      <w:r>
        <w:rPr>
          <w:rFonts w:ascii="Times New Roman" w:hAnsi="Times New Roman" w:eastAsia="宋体" w:cs="Times New Roman"/>
          <w:b w:val="0"/>
          <w:sz w:val="24"/>
        </w:rPr>
        <w:t>表5-2 捐赠预约模块测试用例示例</w:t>
      </w:r>
    </w:p>
    <w:p w14:paraId="48CDF5B8">
      <w:pPr>
        <w:spacing w:before="0" w:after="0" w:line="360" w:lineRule="auto"/>
        <w:ind w:firstLine="480"/>
      </w:pPr>
      <w:r>
        <w:rPr>
          <w:rFonts w:ascii="Times New Roman" w:hAnsi="Times New Roman" w:eastAsia="宋体" w:cs="Times New Roman"/>
          <w:b w:val="0"/>
          <w:sz w:val="24"/>
        </w:rPr>
        <w:t>1）填写完整信息提交预约，预期结果为生成预约记录和预约码；</w:t>
      </w:r>
    </w:p>
    <w:p w14:paraId="1215D3A9">
      <w:pPr>
        <w:spacing w:before="0" w:after="0" w:line="360" w:lineRule="auto"/>
        <w:ind w:firstLine="480"/>
      </w:pPr>
      <w:r>
        <w:rPr>
          <w:rFonts w:ascii="Times New Roman" w:hAnsi="Times New Roman" w:eastAsia="宋体" w:cs="Times New Roman"/>
          <w:b w:val="0"/>
          <w:sz w:val="24"/>
        </w:rPr>
        <w:t>2）缺失旧物类别或预约时间，预期结果为表单校验失败；</w:t>
      </w:r>
    </w:p>
    <w:p w14:paraId="2170DF3B">
      <w:pPr>
        <w:spacing w:before="0" w:after="0" w:line="360" w:lineRule="auto"/>
        <w:ind w:firstLine="480"/>
      </w:pPr>
      <w:r>
        <w:rPr>
          <w:rFonts w:ascii="Times New Roman" w:hAnsi="Times New Roman" w:eastAsia="宋体" w:cs="Times New Roman"/>
          <w:b w:val="0"/>
          <w:sz w:val="24"/>
        </w:rPr>
        <w:t>3）重复快速点击提交按钮，预期结果为系统避免重复创建；</w:t>
      </w:r>
    </w:p>
    <w:p w14:paraId="53A287EA">
      <w:pPr>
        <w:spacing w:before="0" w:after="0" w:line="360" w:lineRule="auto"/>
        <w:ind w:firstLine="480"/>
      </w:pPr>
      <w:r>
        <w:rPr>
          <w:rFonts w:ascii="Times New Roman" w:hAnsi="Times New Roman" w:eastAsia="宋体" w:cs="Times New Roman"/>
          <w:b w:val="0"/>
          <w:sz w:val="24"/>
        </w:rPr>
        <w:t>4）对“待接收”预约执行取消操作，预期结果为状态变为“已取消”。</w:t>
      </w:r>
    </w:p>
    <w:p w14:paraId="5525FDA1">
      <w:pPr>
        <w:spacing w:before="0" w:after="0" w:line="360" w:lineRule="auto"/>
        <w:ind w:firstLine="480"/>
      </w:pPr>
      <w:r>
        <w:rPr>
          <w:rFonts w:ascii="Times New Roman" w:hAnsi="Times New Roman" w:eastAsia="宋体" w:cs="Times New Roman"/>
          <w:b w:val="0"/>
          <w:sz w:val="24"/>
        </w:rPr>
        <w:t>该模块测试的核心在于保证预约入口的稳定性，因为一旦起点数据异常，将直接影响后续回收和对接流程。</w:t>
      </w:r>
    </w:p>
    <w:p w14:paraId="2C6D385B">
      <w:pPr>
        <w:spacing w:before="120" w:after="120" w:line="360" w:lineRule="auto"/>
        <w:ind w:firstLine="0"/>
        <w:jc w:val="left"/>
        <w:outlineLvl w:val="2"/>
      </w:pPr>
      <w:r>
        <w:rPr>
          <w:rFonts w:ascii="Times New Roman" w:hAnsi="Times New Roman" w:eastAsia="黑体" w:cs="Times New Roman"/>
          <w:b/>
          <w:sz w:val="24"/>
        </w:rPr>
        <w:t>5.2.3 旧物管理模块测试</w:t>
      </w:r>
    </w:p>
    <w:p w14:paraId="64009F1D">
      <w:pPr>
        <w:spacing w:before="0" w:after="0" w:line="360" w:lineRule="auto"/>
        <w:ind w:firstLine="480"/>
      </w:pPr>
      <w:r>
        <w:rPr>
          <w:rFonts w:ascii="Times New Roman" w:hAnsi="Times New Roman" w:eastAsia="宋体" w:cs="Times New Roman"/>
          <w:b w:val="0"/>
          <w:sz w:val="24"/>
        </w:rPr>
        <w:t>旧物管理模块测试应围绕预约码核验、接收登记、分类保存、异常物品标记和状态更新展开。志愿者完成旧物接收后，系统应正确写入旧物明细，并同步更新预约状态。</w:t>
      </w:r>
    </w:p>
    <w:p w14:paraId="0A3BFE22">
      <w:pPr>
        <w:spacing w:before="120" w:after="120" w:line="360" w:lineRule="auto"/>
        <w:ind w:firstLine="0"/>
        <w:jc w:val="center"/>
      </w:pPr>
      <w:r>
        <w:rPr>
          <w:rFonts w:ascii="Times New Roman" w:hAnsi="Times New Roman" w:eastAsia="宋体" w:cs="Times New Roman"/>
          <w:b w:val="0"/>
          <w:sz w:val="24"/>
        </w:rPr>
        <w:t>表5-3 旧物管理模块测试用例示例</w:t>
      </w:r>
    </w:p>
    <w:p w14:paraId="3106A248">
      <w:pPr>
        <w:spacing w:before="0" w:after="0" w:line="360" w:lineRule="auto"/>
        <w:ind w:firstLine="480"/>
      </w:pPr>
      <w:r>
        <w:rPr>
          <w:rFonts w:ascii="Times New Roman" w:hAnsi="Times New Roman" w:eastAsia="宋体" w:cs="Times New Roman"/>
          <w:b w:val="0"/>
          <w:sz w:val="24"/>
        </w:rPr>
        <w:t>1）输入正确预约码并完成登记，预期结果为旧物记录保存成功；</w:t>
      </w:r>
    </w:p>
    <w:p w14:paraId="3835AFC1">
      <w:pPr>
        <w:spacing w:before="0" w:after="0" w:line="360" w:lineRule="auto"/>
        <w:ind w:firstLine="480"/>
      </w:pPr>
      <w:r>
        <w:rPr>
          <w:rFonts w:ascii="Times New Roman" w:hAnsi="Times New Roman" w:eastAsia="宋体" w:cs="Times New Roman"/>
          <w:b w:val="0"/>
          <w:sz w:val="24"/>
        </w:rPr>
        <w:t>2）输入无效预约码，预期结果为系统提示记录不存在；</w:t>
      </w:r>
    </w:p>
    <w:p w14:paraId="025F623F">
      <w:pPr>
        <w:spacing w:before="0" w:after="0" w:line="360" w:lineRule="auto"/>
        <w:ind w:firstLine="480"/>
      </w:pPr>
      <w:r>
        <w:rPr>
          <w:rFonts w:ascii="Times New Roman" w:hAnsi="Times New Roman" w:eastAsia="宋体" w:cs="Times New Roman"/>
          <w:b w:val="0"/>
          <w:sz w:val="24"/>
        </w:rPr>
        <w:t>3）将严重损坏物品标记为待处理，预期结果为状态更新成功并保留说明；</w:t>
      </w:r>
    </w:p>
    <w:p w14:paraId="20E006E2">
      <w:pPr>
        <w:spacing w:before="0" w:after="0" w:line="360" w:lineRule="auto"/>
        <w:ind w:firstLine="480"/>
        <w:outlineLvl w:val="3"/>
      </w:pPr>
      <w:r>
        <w:rPr>
          <w:rFonts w:ascii="Times New Roman" w:hAnsi="Times New Roman" w:eastAsia="宋体" w:cs="Times New Roman"/>
          <w:b w:val="0"/>
          <w:sz w:val="24"/>
        </w:rPr>
        <w:t>4）完成分类后查看捐赠详情，预期结果为预约状态已同步变化。</w:t>
      </w:r>
    </w:p>
    <w:p w14:paraId="779EF0DA">
      <w:pPr>
        <w:spacing w:before="0" w:after="0" w:line="360" w:lineRule="auto"/>
        <w:ind w:firstLine="480"/>
      </w:pPr>
      <w:r>
        <w:rPr>
          <w:rFonts w:ascii="Times New Roman" w:hAnsi="Times New Roman" w:eastAsia="宋体" w:cs="Times New Roman"/>
          <w:b w:val="0"/>
          <w:sz w:val="24"/>
        </w:rPr>
        <w:t>该模块测试能够验证线上记录与线下回收之间的一致性，是整个系统可靠性的关键。</w:t>
      </w:r>
    </w:p>
    <w:p w14:paraId="6CA127A0">
      <w:pPr>
        <w:spacing w:before="120" w:after="120" w:line="360" w:lineRule="auto"/>
        <w:ind w:firstLine="0"/>
        <w:jc w:val="left"/>
        <w:outlineLvl w:val="2"/>
      </w:pPr>
      <w:r>
        <w:rPr>
          <w:rFonts w:ascii="Times New Roman" w:hAnsi="Times New Roman" w:eastAsia="黑体" w:cs="Times New Roman"/>
          <w:b/>
          <w:sz w:val="24"/>
        </w:rPr>
        <w:t>5.2.4 公益对接模块测试</w:t>
      </w:r>
    </w:p>
    <w:p w14:paraId="5403827F">
      <w:pPr>
        <w:spacing w:before="0" w:after="0" w:line="360" w:lineRule="auto"/>
        <w:ind w:firstLine="480"/>
      </w:pPr>
      <w:r>
        <w:rPr>
          <w:rFonts w:ascii="Times New Roman" w:hAnsi="Times New Roman" w:eastAsia="宋体" w:cs="Times New Roman"/>
          <w:b w:val="0"/>
          <w:sz w:val="24"/>
        </w:rPr>
        <w:t>公益对接模块测试应覆盖可对接物品筛选、对接记录创建、反馈提交和状态同步等场景。测试过程中应重点关注物品状态约束，即只有符合条件的物品才能进入对接流程。</w:t>
      </w:r>
    </w:p>
    <w:p w14:paraId="04598C89">
      <w:pPr>
        <w:spacing w:before="120" w:after="120" w:line="360" w:lineRule="auto"/>
        <w:ind w:firstLine="0"/>
        <w:jc w:val="center"/>
      </w:pPr>
      <w:r>
        <w:rPr>
          <w:rFonts w:ascii="Times New Roman" w:hAnsi="Times New Roman" w:eastAsia="宋体" w:cs="Times New Roman"/>
          <w:b w:val="0"/>
          <w:sz w:val="24"/>
        </w:rPr>
        <w:t>表5-4 公益对接模块测试用例示例</w:t>
      </w:r>
    </w:p>
    <w:p w14:paraId="22F8A080">
      <w:pPr>
        <w:spacing w:before="0" w:after="0" w:line="360" w:lineRule="auto"/>
        <w:ind w:firstLine="480"/>
      </w:pPr>
      <w:r>
        <w:rPr>
          <w:rFonts w:ascii="Times New Roman" w:hAnsi="Times New Roman" w:eastAsia="宋体" w:cs="Times New Roman"/>
          <w:b w:val="0"/>
          <w:sz w:val="24"/>
        </w:rPr>
        <w:t>1）选择可捐赠物品并录入受赠方信息，预期结果为成功创建对接记录；</w:t>
      </w:r>
    </w:p>
    <w:p w14:paraId="6CE1A3C6">
      <w:pPr>
        <w:spacing w:before="0" w:after="0" w:line="360" w:lineRule="auto"/>
        <w:ind w:firstLine="480"/>
      </w:pPr>
      <w:r>
        <w:rPr>
          <w:rFonts w:ascii="Times New Roman" w:hAnsi="Times New Roman" w:eastAsia="宋体" w:cs="Times New Roman"/>
          <w:b w:val="0"/>
          <w:sz w:val="24"/>
        </w:rPr>
        <w:t>2）对状态不符合要求的物品发起对接，预期结果为系统拒绝操作；</w:t>
      </w:r>
    </w:p>
    <w:p w14:paraId="2FBF4A7B">
      <w:pPr>
        <w:spacing w:before="0" w:after="0" w:line="360" w:lineRule="auto"/>
        <w:ind w:firstLine="480"/>
      </w:pPr>
      <w:r>
        <w:rPr>
          <w:rFonts w:ascii="Times New Roman" w:hAnsi="Times New Roman" w:eastAsia="宋体" w:cs="Times New Roman"/>
          <w:b w:val="0"/>
          <w:sz w:val="24"/>
        </w:rPr>
        <w:t>3）提交反馈信息后，预期结果为对接状态更新为已完成；</w:t>
      </w:r>
    </w:p>
    <w:p w14:paraId="4FC2C9B8">
      <w:pPr>
        <w:spacing w:before="0" w:after="0" w:line="360" w:lineRule="auto"/>
        <w:ind w:firstLine="480"/>
      </w:pPr>
      <w:r>
        <w:rPr>
          <w:rFonts w:ascii="Times New Roman" w:hAnsi="Times New Roman" w:eastAsia="宋体" w:cs="Times New Roman"/>
          <w:b w:val="0"/>
          <w:sz w:val="24"/>
        </w:rPr>
        <w:t>4）捐赠者查看消息中心，预期结果为能够接收到对接进度提醒。</w:t>
      </w:r>
    </w:p>
    <w:p w14:paraId="1CA31941">
      <w:pPr>
        <w:spacing w:before="0" w:after="0" w:line="360" w:lineRule="auto"/>
        <w:ind w:firstLine="480"/>
      </w:pPr>
      <w:r>
        <w:rPr>
          <w:rFonts w:ascii="Times New Roman" w:hAnsi="Times New Roman" w:eastAsia="宋体" w:cs="Times New Roman"/>
          <w:b w:val="0"/>
          <w:sz w:val="24"/>
        </w:rPr>
        <w:t>若上述测试通过，说明系统能够较好地支撑公益流向留痕与反馈闭环。</w:t>
      </w:r>
    </w:p>
    <w:p w14:paraId="112D3F70">
      <w:pPr>
        <w:spacing w:before="120" w:after="120" w:line="360" w:lineRule="auto"/>
        <w:ind w:firstLine="0"/>
        <w:jc w:val="left"/>
        <w:outlineLvl w:val="2"/>
      </w:pPr>
      <w:r>
        <w:rPr>
          <w:rFonts w:ascii="Times New Roman" w:hAnsi="Times New Roman" w:eastAsia="黑体" w:cs="Times New Roman"/>
          <w:b/>
          <w:sz w:val="24"/>
        </w:rPr>
        <w:t>5.2.5 数据统计模块测试</w:t>
      </w:r>
    </w:p>
    <w:p w14:paraId="6FD83509">
      <w:pPr>
        <w:spacing w:before="0" w:after="0" w:line="360" w:lineRule="auto"/>
        <w:ind w:firstLine="480"/>
      </w:pPr>
      <w:r>
        <w:rPr>
          <w:rFonts w:ascii="Times New Roman" w:hAnsi="Times New Roman" w:eastAsia="宋体" w:cs="Times New Roman"/>
          <w:b w:val="0"/>
          <w:sz w:val="24"/>
        </w:rPr>
        <w:t>数据统计模块测试应检查概览指标、月度趋势和类别占比等接口返回是否与基础业务数据保持一致。由于统计模块本质上依赖底层业务数据聚合，因此测试重点在于口径一致性与展示稳定性。</w:t>
      </w:r>
    </w:p>
    <w:p w14:paraId="2228E8E8">
      <w:pPr>
        <w:spacing w:before="120" w:after="120" w:line="360" w:lineRule="auto"/>
        <w:ind w:firstLine="0"/>
        <w:jc w:val="center"/>
      </w:pPr>
      <w:r>
        <w:rPr>
          <w:rFonts w:ascii="Times New Roman" w:hAnsi="Times New Roman" w:eastAsia="宋体" w:cs="Times New Roman"/>
          <w:b w:val="0"/>
          <w:sz w:val="24"/>
        </w:rPr>
        <w:t>表5-5 数据统计模块测试用例示例</w:t>
      </w:r>
    </w:p>
    <w:p w14:paraId="60CD22A7">
      <w:pPr>
        <w:spacing w:before="0" w:after="0" w:line="360" w:lineRule="auto"/>
        <w:ind w:firstLine="480"/>
      </w:pPr>
      <w:r>
        <w:rPr>
          <w:rFonts w:ascii="Times New Roman" w:hAnsi="Times New Roman" w:eastAsia="宋体" w:cs="Times New Roman"/>
          <w:b w:val="0"/>
          <w:sz w:val="24"/>
        </w:rPr>
        <w:t>1）存在预约与分类数据时访问统计首页，预期结果为返回对应汇总值；</w:t>
      </w:r>
    </w:p>
    <w:p w14:paraId="7BB4722E">
      <w:pPr>
        <w:spacing w:before="0" w:after="0" w:line="360" w:lineRule="auto"/>
        <w:ind w:firstLine="480"/>
      </w:pPr>
      <w:r>
        <w:rPr>
          <w:rFonts w:ascii="Times New Roman" w:hAnsi="Times New Roman" w:eastAsia="宋体" w:cs="Times New Roman"/>
          <w:b w:val="0"/>
          <w:sz w:val="24"/>
        </w:rPr>
        <w:t>2）按月份查询趋势数据，预期结果为按时间顺序返回统计结果；</w:t>
      </w:r>
    </w:p>
    <w:p w14:paraId="74A17234">
      <w:pPr>
        <w:spacing w:before="0" w:after="0" w:line="360" w:lineRule="auto"/>
        <w:ind w:firstLine="480"/>
      </w:pPr>
      <w:r>
        <w:rPr>
          <w:rFonts w:ascii="Times New Roman" w:hAnsi="Times New Roman" w:eastAsia="宋体" w:cs="Times New Roman"/>
          <w:b w:val="0"/>
          <w:sz w:val="24"/>
        </w:rPr>
        <w:t>3）无数据时访问图表接口，预期结果为返回空集合而非系统异常。</w:t>
      </w:r>
    </w:p>
    <w:p w14:paraId="62040769">
      <w:pPr>
        <w:spacing w:before="0" w:after="0" w:line="360" w:lineRule="auto"/>
        <w:ind w:firstLine="480"/>
      </w:pPr>
      <w:r>
        <w:rPr>
          <w:rFonts w:ascii="Times New Roman" w:hAnsi="Times New Roman" w:eastAsia="宋体" w:cs="Times New Roman"/>
          <w:b w:val="0"/>
          <w:sz w:val="24"/>
        </w:rPr>
        <w:t>该模块测试的通过，说明系统具备基础的数据分析和管理展示能力。</w:t>
      </w:r>
    </w:p>
    <w:p w14:paraId="6EB64508">
      <w:pPr>
        <w:spacing w:before="120" w:after="120" w:line="360" w:lineRule="auto"/>
        <w:ind w:firstLine="0"/>
        <w:jc w:val="left"/>
        <w:outlineLvl w:val="1"/>
      </w:pPr>
      <w:r>
        <w:rPr>
          <w:rFonts w:ascii="Times New Roman" w:hAnsi="Times New Roman" w:eastAsia="黑体" w:cs="Times New Roman"/>
          <w:b/>
          <w:sz w:val="28"/>
        </w:rPr>
        <w:t>5.3 接口测试</w:t>
      </w:r>
    </w:p>
    <w:p w14:paraId="679FDE21">
      <w:pPr>
        <w:spacing w:before="120" w:after="120" w:line="360" w:lineRule="auto"/>
        <w:ind w:firstLine="0"/>
        <w:jc w:val="left"/>
        <w:outlineLvl w:val="2"/>
      </w:pPr>
      <w:r>
        <w:rPr>
          <w:rFonts w:ascii="Times New Roman" w:hAnsi="Times New Roman" w:eastAsia="黑体" w:cs="Times New Roman"/>
          <w:b/>
          <w:sz w:val="24"/>
        </w:rPr>
        <w:t>5.3.1 主要 API 接口测试用例与结果</w:t>
      </w:r>
    </w:p>
    <w:p w14:paraId="137FCCE4">
      <w:pPr>
        <w:spacing w:before="0" w:after="0" w:line="360" w:lineRule="auto"/>
        <w:ind w:firstLine="480"/>
      </w:pPr>
      <w:r>
        <w:rPr>
          <w:rFonts w:ascii="Times New Roman" w:hAnsi="Times New Roman" w:eastAsia="宋体" w:cs="Times New Roman"/>
          <w:b w:val="0"/>
          <w:sz w:val="24"/>
        </w:rPr>
        <w:t>接口测试主要使用 Postman 对核心业务接口逐一验证。测试内容包括请求方法是否正确、参数是否完整、认证信息是否生效、响应格式是否统一、异常时是否返回规范错误信息等。</w:t>
      </w:r>
    </w:p>
    <w:p w14:paraId="415F197A">
      <w:pPr>
        <w:spacing w:before="0" w:after="0" w:line="360" w:lineRule="auto"/>
        <w:ind w:firstLine="480"/>
      </w:pPr>
      <w:r>
        <w:rPr>
          <w:rFonts w:ascii="Times New Roman" w:hAnsi="Times New Roman" w:eastAsia="宋体" w:cs="Times New Roman"/>
          <w:b w:val="0"/>
          <w:sz w:val="24"/>
        </w:rPr>
        <w:t>针对登录接口，应验证成功登录、失败登录和异常登录三类场景；针对预约接口，应验证新增、查询和取消功能；针对旧物管理接口，应验证权限控制与状态更新；针对对接接口，应验证流程合法性和反馈数据写入。接口测试结果若能够表现出以下特征，则说明系统设计较为规范：一是所有接口响应体结构一致；二是权限错误、参数错误与业务错误能够被清晰区分；三是接口在多次重复调用下保持稳定。</w:t>
      </w:r>
    </w:p>
    <w:p w14:paraId="475DE2C0">
      <w:pPr>
        <w:spacing w:before="0" w:after="0" w:line="360" w:lineRule="auto"/>
        <w:ind w:firstLine="480"/>
      </w:pPr>
      <w:r>
        <w:rPr>
          <w:rFonts w:ascii="Times New Roman" w:hAnsi="Times New Roman" w:eastAsia="宋体" w:cs="Times New Roman"/>
          <w:b w:val="0"/>
          <w:sz w:val="24"/>
        </w:rPr>
        <w:t>本文将代表性接口测试结果整理为结构化表格，包含接口名称、请求方式、测试输入、预期结果和实际结果五列，并在正文中插入关键接口截图以支撑结论。</w:t>
      </w:r>
    </w:p>
    <w:p w14:paraId="4FC716F8">
      <w:pPr>
        <w:spacing w:before="120" w:after="120" w:line="360" w:lineRule="auto"/>
        <w:ind w:firstLine="0"/>
        <w:jc w:val="left"/>
        <w:outlineLvl w:val="1"/>
      </w:pPr>
      <w:r>
        <w:rPr>
          <w:rFonts w:ascii="Times New Roman" w:hAnsi="Times New Roman" w:eastAsia="黑体" w:cs="Times New Roman"/>
          <w:b/>
          <w:sz w:val="28"/>
        </w:rPr>
        <w:t>5.4 性能测试</w:t>
      </w:r>
    </w:p>
    <w:p w14:paraId="003124CD">
      <w:pPr>
        <w:spacing w:before="0" w:after="0" w:line="360" w:lineRule="auto"/>
        <w:ind w:firstLine="480"/>
      </w:pPr>
      <w:r>
        <w:rPr>
          <w:rFonts w:ascii="Times New Roman" w:hAnsi="Times New Roman" w:eastAsia="宋体" w:cs="Times New Roman"/>
          <w:b w:val="0"/>
          <w:sz w:val="24"/>
        </w:rPr>
        <w:t>性能测试围绕登录接口、预约提交接口、列表查询接口和统计接口展开，测试指标包括平均响应时间、95分位响应时间、吞吐量和成功率。基于 JMeter 并发场景（20/50/100用户）得到结果如表5-6所示。</w:t>
      </w:r>
    </w:p>
    <w:p w14:paraId="1F094583">
      <w:pPr>
        <w:spacing w:before="120" w:after="120" w:line="360" w:lineRule="auto"/>
        <w:ind w:firstLine="0"/>
        <w:jc w:val="center"/>
      </w:pPr>
      <w:r>
        <w:rPr>
          <w:rFonts w:ascii="Times New Roman" w:hAnsi="Times New Roman" w:eastAsia="宋体" w:cs="Times New Roman"/>
          <w:b w:val="0"/>
          <w:sz w:val="24"/>
        </w:rPr>
        <w:t>表5-6 核心接口性能测试结果</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29"/>
        <w:gridCol w:w="1767"/>
        <w:gridCol w:w="1775"/>
        <w:gridCol w:w="1806"/>
        <w:gridCol w:w="1788"/>
      </w:tblGrid>
      <w:tr w14:paraId="1C42EE07">
        <w:tc>
          <w:tcPr>
            <w:tcW w:w="1870" w:type="dxa"/>
          </w:tcPr>
          <w:p w14:paraId="0D96583F">
            <w:pPr>
              <w:spacing w:after="0" w:line="240" w:lineRule="auto"/>
              <w:jc w:val="center"/>
            </w:pPr>
            <w:r>
              <w:rPr>
                <w:rFonts w:ascii="Times New Roman" w:hAnsi="Times New Roman" w:eastAsia="宋体" w:cs="Times New Roman"/>
                <w:b/>
                <w:sz w:val="24"/>
              </w:rPr>
              <w:t>接口</w:t>
            </w:r>
          </w:p>
        </w:tc>
        <w:tc>
          <w:tcPr>
            <w:tcW w:w="1870" w:type="dxa"/>
          </w:tcPr>
          <w:p w14:paraId="141EC97A">
            <w:pPr>
              <w:spacing w:after="0" w:line="240" w:lineRule="auto"/>
              <w:jc w:val="center"/>
            </w:pPr>
            <w:r>
              <w:rPr>
                <w:rFonts w:ascii="Times New Roman" w:hAnsi="Times New Roman" w:eastAsia="宋体" w:cs="Times New Roman"/>
                <w:b/>
                <w:sz w:val="24"/>
              </w:rPr>
              <w:t>并发用户数</w:t>
            </w:r>
          </w:p>
        </w:tc>
        <w:tc>
          <w:tcPr>
            <w:tcW w:w="1870" w:type="dxa"/>
          </w:tcPr>
          <w:p w14:paraId="746232AB">
            <w:pPr>
              <w:spacing w:after="0" w:line="240" w:lineRule="auto"/>
              <w:jc w:val="center"/>
            </w:pPr>
            <w:r>
              <w:rPr>
                <w:rFonts w:ascii="Times New Roman" w:hAnsi="Times New Roman" w:eastAsia="宋体" w:cs="Times New Roman"/>
                <w:b/>
                <w:sz w:val="24"/>
              </w:rPr>
              <w:t>平均响应时间(ms)</w:t>
            </w:r>
          </w:p>
        </w:tc>
        <w:tc>
          <w:tcPr>
            <w:tcW w:w="1870" w:type="dxa"/>
          </w:tcPr>
          <w:p w14:paraId="502CEA71">
            <w:pPr>
              <w:spacing w:after="0" w:line="240" w:lineRule="auto"/>
              <w:jc w:val="center"/>
            </w:pPr>
            <w:r>
              <w:rPr>
                <w:rFonts w:ascii="Times New Roman" w:hAnsi="Times New Roman" w:eastAsia="宋体" w:cs="Times New Roman"/>
                <w:b/>
                <w:sz w:val="24"/>
              </w:rPr>
              <w:t>P95(ms)</w:t>
            </w:r>
          </w:p>
        </w:tc>
        <w:tc>
          <w:tcPr>
            <w:tcW w:w="1870" w:type="dxa"/>
          </w:tcPr>
          <w:p w14:paraId="5B9BF000">
            <w:pPr>
              <w:spacing w:after="0" w:line="240" w:lineRule="auto"/>
              <w:jc w:val="center"/>
            </w:pPr>
            <w:r>
              <w:rPr>
                <w:rFonts w:ascii="Times New Roman" w:hAnsi="Times New Roman" w:eastAsia="宋体" w:cs="Times New Roman"/>
                <w:b/>
                <w:sz w:val="24"/>
              </w:rPr>
              <w:t>成功率</w:t>
            </w:r>
          </w:p>
        </w:tc>
      </w:tr>
      <w:tr w14:paraId="43D95D5B">
        <w:tc>
          <w:tcPr>
            <w:tcW w:w="1870" w:type="dxa"/>
          </w:tcPr>
          <w:p w14:paraId="17B38F5D">
            <w:pPr>
              <w:spacing w:after="0" w:line="240" w:lineRule="auto"/>
              <w:jc w:val="center"/>
            </w:pPr>
            <w:r>
              <w:rPr>
                <w:rFonts w:ascii="Times New Roman" w:hAnsi="Times New Roman" w:eastAsia="宋体" w:cs="Times New Roman"/>
                <w:b w:val="0"/>
                <w:sz w:val="24"/>
              </w:rPr>
              <w:t>登录接口 /api/auth/login</w:t>
            </w:r>
          </w:p>
        </w:tc>
        <w:tc>
          <w:tcPr>
            <w:tcW w:w="1870" w:type="dxa"/>
          </w:tcPr>
          <w:p w14:paraId="1BE2745D">
            <w:pPr>
              <w:spacing w:after="0" w:line="240" w:lineRule="auto"/>
              <w:jc w:val="center"/>
            </w:pPr>
            <w:r>
              <w:rPr>
                <w:rFonts w:ascii="Times New Roman" w:hAnsi="Times New Roman" w:eastAsia="宋体" w:cs="Times New Roman"/>
                <w:b w:val="0"/>
                <w:sz w:val="24"/>
              </w:rPr>
              <w:t>100</w:t>
            </w:r>
          </w:p>
        </w:tc>
        <w:tc>
          <w:tcPr>
            <w:tcW w:w="1870" w:type="dxa"/>
          </w:tcPr>
          <w:p w14:paraId="1F674DD2">
            <w:pPr>
              <w:spacing w:after="0" w:line="240" w:lineRule="auto"/>
              <w:jc w:val="center"/>
            </w:pPr>
            <w:r>
              <w:rPr>
                <w:rFonts w:ascii="Times New Roman" w:hAnsi="Times New Roman" w:eastAsia="宋体" w:cs="Times New Roman"/>
                <w:b w:val="0"/>
                <w:sz w:val="24"/>
              </w:rPr>
              <w:t>182</w:t>
            </w:r>
          </w:p>
        </w:tc>
        <w:tc>
          <w:tcPr>
            <w:tcW w:w="1870" w:type="dxa"/>
          </w:tcPr>
          <w:p w14:paraId="39B2A698">
            <w:pPr>
              <w:spacing w:after="0" w:line="240" w:lineRule="auto"/>
              <w:jc w:val="center"/>
            </w:pPr>
            <w:r>
              <w:rPr>
                <w:rFonts w:ascii="Times New Roman" w:hAnsi="Times New Roman" w:eastAsia="宋体" w:cs="Times New Roman"/>
                <w:b w:val="0"/>
                <w:sz w:val="24"/>
              </w:rPr>
              <w:t>296</w:t>
            </w:r>
          </w:p>
        </w:tc>
        <w:tc>
          <w:tcPr>
            <w:tcW w:w="1870" w:type="dxa"/>
          </w:tcPr>
          <w:p w14:paraId="18E9E2D5">
            <w:pPr>
              <w:spacing w:after="0" w:line="240" w:lineRule="auto"/>
              <w:jc w:val="center"/>
            </w:pPr>
            <w:r>
              <w:rPr>
                <w:rFonts w:ascii="Times New Roman" w:hAnsi="Times New Roman" w:eastAsia="宋体" w:cs="Times New Roman"/>
                <w:b w:val="0"/>
                <w:sz w:val="24"/>
              </w:rPr>
              <w:t>100%</w:t>
            </w:r>
          </w:p>
        </w:tc>
      </w:tr>
      <w:tr w14:paraId="0E72D497">
        <w:tc>
          <w:tcPr>
            <w:tcW w:w="1870" w:type="dxa"/>
          </w:tcPr>
          <w:p w14:paraId="42109B99">
            <w:pPr>
              <w:spacing w:after="0" w:line="240" w:lineRule="auto"/>
              <w:jc w:val="center"/>
            </w:pPr>
            <w:r>
              <w:rPr>
                <w:rFonts w:ascii="Times New Roman" w:hAnsi="Times New Roman" w:eastAsia="宋体" w:cs="Times New Roman"/>
                <w:b w:val="0"/>
                <w:sz w:val="24"/>
              </w:rPr>
              <w:t>预约创建 /api/donations</w:t>
            </w:r>
          </w:p>
        </w:tc>
        <w:tc>
          <w:tcPr>
            <w:tcW w:w="1870" w:type="dxa"/>
          </w:tcPr>
          <w:p w14:paraId="2224B462">
            <w:pPr>
              <w:spacing w:after="0" w:line="240" w:lineRule="auto"/>
              <w:jc w:val="center"/>
            </w:pPr>
            <w:r>
              <w:rPr>
                <w:rFonts w:ascii="Times New Roman" w:hAnsi="Times New Roman" w:eastAsia="宋体" w:cs="Times New Roman"/>
                <w:b w:val="0"/>
                <w:sz w:val="24"/>
              </w:rPr>
              <w:t>100</w:t>
            </w:r>
          </w:p>
        </w:tc>
        <w:tc>
          <w:tcPr>
            <w:tcW w:w="1870" w:type="dxa"/>
          </w:tcPr>
          <w:p w14:paraId="30A19626">
            <w:pPr>
              <w:spacing w:after="0" w:line="240" w:lineRule="auto"/>
              <w:jc w:val="center"/>
            </w:pPr>
            <w:r>
              <w:rPr>
                <w:rFonts w:ascii="Times New Roman" w:hAnsi="Times New Roman" w:eastAsia="宋体" w:cs="Times New Roman"/>
                <w:b w:val="0"/>
                <w:sz w:val="24"/>
              </w:rPr>
              <w:t>238</w:t>
            </w:r>
          </w:p>
        </w:tc>
        <w:tc>
          <w:tcPr>
            <w:tcW w:w="1870" w:type="dxa"/>
          </w:tcPr>
          <w:p w14:paraId="2B31D8A5">
            <w:pPr>
              <w:spacing w:after="0" w:line="240" w:lineRule="auto"/>
              <w:jc w:val="center"/>
            </w:pPr>
            <w:r>
              <w:rPr>
                <w:rFonts w:ascii="Times New Roman" w:hAnsi="Times New Roman" w:eastAsia="宋体" w:cs="Times New Roman"/>
                <w:b w:val="0"/>
                <w:sz w:val="24"/>
              </w:rPr>
              <w:t>372</w:t>
            </w:r>
          </w:p>
        </w:tc>
        <w:tc>
          <w:tcPr>
            <w:tcW w:w="1870" w:type="dxa"/>
          </w:tcPr>
          <w:p w14:paraId="6DBE0ED8">
            <w:pPr>
              <w:spacing w:after="0" w:line="240" w:lineRule="auto"/>
              <w:jc w:val="center"/>
            </w:pPr>
            <w:r>
              <w:rPr>
                <w:rFonts w:ascii="Times New Roman" w:hAnsi="Times New Roman" w:eastAsia="宋体" w:cs="Times New Roman"/>
                <w:b w:val="0"/>
                <w:sz w:val="24"/>
              </w:rPr>
              <w:t>99.6%</w:t>
            </w:r>
          </w:p>
        </w:tc>
      </w:tr>
      <w:tr w14:paraId="2F902396">
        <w:tc>
          <w:tcPr>
            <w:tcW w:w="1870" w:type="dxa"/>
          </w:tcPr>
          <w:p w14:paraId="2BE4BF91">
            <w:pPr>
              <w:spacing w:after="0" w:line="240" w:lineRule="auto"/>
              <w:jc w:val="center"/>
            </w:pPr>
            <w:r>
              <w:rPr>
                <w:rFonts w:ascii="Times New Roman" w:hAnsi="Times New Roman" w:eastAsia="宋体" w:cs="Times New Roman"/>
                <w:b w:val="0"/>
                <w:sz w:val="24"/>
              </w:rPr>
              <w:t>预约分页 /api/donations/page</w:t>
            </w:r>
          </w:p>
        </w:tc>
        <w:tc>
          <w:tcPr>
            <w:tcW w:w="1870" w:type="dxa"/>
          </w:tcPr>
          <w:p w14:paraId="23F9F85D">
            <w:pPr>
              <w:spacing w:after="0" w:line="240" w:lineRule="auto"/>
              <w:jc w:val="center"/>
            </w:pPr>
            <w:r>
              <w:rPr>
                <w:rFonts w:ascii="Times New Roman" w:hAnsi="Times New Roman" w:eastAsia="宋体" w:cs="Times New Roman"/>
                <w:b w:val="0"/>
                <w:sz w:val="24"/>
              </w:rPr>
              <w:t>100</w:t>
            </w:r>
          </w:p>
        </w:tc>
        <w:tc>
          <w:tcPr>
            <w:tcW w:w="1870" w:type="dxa"/>
          </w:tcPr>
          <w:p w14:paraId="71E3D2F1">
            <w:pPr>
              <w:spacing w:after="0" w:line="240" w:lineRule="auto"/>
              <w:jc w:val="center"/>
            </w:pPr>
            <w:r>
              <w:rPr>
                <w:rFonts w:ascii="Times New Roman" w:hAnsi="Times New Roman" w:eastAsia="宋体" w:cs="Times New Roman"/>
                <w:b w:val="0"/>
                <w:sz w:val="24"/>
              </w:rPr>
              <w:t>156</w:t>
            </w:r>
          </w:p>
        </w:tc>
        <w:tc>
          <w:tcPr>
            <w:tcW w:w="1870" w:type="dxa"/>
          </w:tcPr>
          <w:p w14:paraId="51229A5E">
            <w:pPr>
              <w:spacing w:after="0" w:line="240" w:lineRule="auto"/>
              <w:jc w:val="center"/>
            </w:pPr>
            <w:r>
              <w:rPr>
                <w:rFonts w:ascii="Times New Roman" w:hAnsi="Times New Roman" w:eastAsia="宋体" w:cs="Times New Roman"/>
                <w:b w:val="0"/>
                <w:sz w:val="24"/>
              </w:rPr>
              <w:t>244</w:t>
            </w:r>
          </w:p>
        </w:tc>
        <w:tc>
          <w:tcPr>
            <w:tcW w:w="1870" w:type="dxa"/>
          </w:tcPr>
          <w:p w14:paraId="2F507114">
            <w:pPr>
              <w:spacing w:after="0" w:line="240" w:lineRule="auto"/>
              <w:jc w:val="center"/>
            </w:pPr>
            <w:r>
              <w:rPr>
                <w:rFonts w:ascii="Times New Roman" w:hAnsi="Times New Roman" w:eastAsia="宋体" w:cs="Times New Roman"/>
                <w:b w:val="0"/>
                <w:sz w:val="24"/>
              </w:rPr>
              <w:t>100%</w:t>
            </w:r>
          </w:p>
        </w:tc>
      </w:tr>
      <w:tr w14:paraId="2C72A22B">
        <w:tc>
          <w:tcPr>
            <w:tcW w:w="1870" w:type="dxa"/>
          </w:tcPr>
          <w:p w14:paraId="1889329D">
            <w:pPr>
              <w:spacing w:after="0" w:line="240" w:lineRule="auto"/>
              <w:jc w:val="center"/>
            </w:pPr>
            <w:r>
              <w:rPr>
                <w:rFonts w:ascii="Times New Roman" w:hAnsi="Times New Roman" w:eastAsia="宋体" w:cs="Times New Roman"/>
                <w:b w:val="0"/>
                <w:sz w:val="24"/>
              </w:rPr>
              <w:t>旧物分页 /api/items/page</w:t>
            </w:r>
          </w:p>
        </w:tc>
        <w:tc>
          <w:tcPr>
            <w:tcW w:w="1870" w:type="dxa"/>
          </w:tcPr>
          <w:p w14:paraId="602B1C7B">
            <w:pPr>
              <w:spacing w:after="0" w:line="240" w:lineRule="auto"/>
              <w:jc w:val="center"/>
            </w:pPr>
            <w:r>
              <w:rPr>
                <w:rFonts w:ascii="Times New Roman" w:hAnsi="Times New Roman" w:eastAsia="宋体" w:cs="Times New Roman"/>
                <w:b w:val="0"/>
                <w:sz w:val="24"/>
              </w:rPr>
              <w:t>100</w:t>
            </w:r>
          </w:p>
        </w:tc>
        <w:tc>
          <w:tcPr>
            <w:tcW w:w="1870" w:type="dxa"/>
          </w:tcPr>
          <w:p w14:paraId="5AC6E828">
            <w:pPr>
              <w:spacing w:after="0" w:line="240" w:lineRule="auto"/>
              <w:jc w:val="center"/>
            </w:pPr>
            <w:r>
              <w:rPr>
                <w:rFonts w:ascii="Times New Roman" w:hAnsi="Times New Roman" w:eastAsia="宋体" w:cs="Times New Roman"/>
                <w:b w:val="0"/>
                <w:sz w:val="24"/>
              </w:rPr>
              <w:t>171</w:t>
            </w:r>
          </w:p>
        </w:tc>
        <w:tc>
          <w:tcPr>
            <w:tcW w:w="1870" w:type="dxa"/>
          </w:tcPr>
          <w:p w14:paraId="2515134D">
            <w:pPr>
              <w:spacing w:after="0" w:line="240" w:lineRule="auto"/>
              <w:jc w:val="center"/>
            </w:pPr>
            <w:r>
              <w:rPr>
                <w:rFonts w:ascii="Times New Roman" w:hAnsi="Times New Roman" w:eastAsia="宋体" w:cs="Times New Roman"/>
                <w:b w:val="0"/>
                <w:sz w:val="24"/>
              </w:rPr>
              <w:t>268</w:t>
            </w:r>
          </w:p>
        </w:tc>
        <w:tc>
          <w:tcPr>
            <w:tcW w:w="1870" w:type="dxa"/>
          </w:tcPr>
          <w:p w14:paraId="7908B79D">
            <w:pPr>
              <w:spacing w:after="0" w:line="240" w:lineRule="auto"/>
              <w:jc w:val="center"/>
            </w:pPr>
            <w:r>
              <w:rPr>
                <w:rFonts w:ascii="Times New Roman" w:hAnsi="Times New Roman" w:eastAsia="宋体" w:cs="Times New Roman"/>
                <w:b w:val="0"/>
                <w:sz w:val="24"/>
              </w:rPr>
              <w:t>100%</w:t>
            </w:r>
          </w:p>
        </w:tc>
      </w:tr>
      <w:tr w14:paraId="4A83CFB3">
        <w:tc>
          <w:tcPr>
            <w:tcW w:w="1870" w:type="dxa"/>
          </w:tcPr>
          <w:p w14:paraId="58A5A17C">
            <w:pPr>
              <w:spacing w:after="0" w:line="240" w:lineRule="auto"/>
              <w:jc w:val="center"/>
            </w:pPr>
            <w:r>
              <w:rPr>
                <w:rFonts w:ascii="Times New Roman" w:hAnsi="Times New Roman" w:eastAsia="宋体" w:cs="Times New Roman"/>
                <w:b w:val="0"/>
                <w:sz w:val="24"/>
              </w:rPr>
              <w:t>统计概览 /api/statistics/overview</w:t>
            </w:r>
          </w:p>
        </w:tc>
        <w:tc>
          <w:tcPr>
            <w:tcW w:w="1870" w:type="dxa"/>
          </w:tcPr>
          <w:p w14:paraId="68E4D1DB">
            <w:pPr>
              <w:spacing w:after="0" w:line="240" w:lineRule="auto"/>
              <w:jc w:val="center"/>
            </w:pPr>
            <w:r>
              <w:rPr>
                <w:rFonts w:ascii="Times New Roman" w:hAnsi="Times New Roman" w:eastAsia="宋体" w:cs="Times New Roman"/>
                <w:b w:val="0"/>
                <w:sz w:val="24"/>
              </w:rPr>
              <w:t>100</w:t>
            </w:r>
          </w:p>
        </w:tc>
        <w:tc>
          <w:tcPr>
            <w:tcW w:w="1870" w:type="dxa"/>
          </w:tcPr>
          <w:p w14:paraId="05DC60A0">
            <w:pPr>
              <w:spacing w:after="0" w:line="240" w:lineRule="auto"/>
              <w:jc w:val="center"/>
            </w:pPr>
            <w:r>
              <w:rPr>
                <w:rFonts w:ascii="Times New Roman" w:hAnsi="Times New Roman" w:eastAsia="宋体" w:cs="Times New Roman"/>
                <w:b w:val="0"/>
                <w:sz w:val="24"/>
              </w:rPr>
              <w:t>214</w:t>
            </w:r>
          </w:p>
        </w:tc>
        <w:tc>
          <w:tcPr>
            <w:tcW w:w="1870" w:type="dxa"/>
          </w:tcPr>
          <w:p w14:paraId="4B4B4C3F">
            <w:pPr>
              <w:spacing w:after="0" w:line="240" w:lineRule="auto"/>
              <w:jc w:val="center"/>
            </w:pPr>
            <w:r>
              <w:rPr>
                <w:rFonts w:ascii="Times New Roman" w:hAnsi="Times New Roman" w:eastAsia="宋体" w:cs="Times New Roman"/>
                <w:b w:val="0"/>
                <w:sz w:val="24"/>
              </w:rPr>
              <w:t>335</w:t>
            </w:r>
          </w:p>
        </w:tc>
        <w:tc>
          <w:tcPr>
            <w:tcW w:w="1870" w:type="dxa"/>
          </w:tcPr>
          <w:p w14:paraId="60C2F714">
            <w:pPr>
              <w:spacing w:after="0" w:line="240" w:lineRule="auto"/>
              <w:jc w:val="center"/>
            </w:pPr>
            <w:r>
              <w:rPr>
                <w:rFonts w:ascii="Times New Roman" w:hAnsi="Times New Roman" w:eastAsia="宋体" w:cs="Times New Roman"/>
                <w:b w:val="0"/>
                <w:sz w:val="24"/>
              </w:rPr>
              <w:t>99.8%</w:t>
            </w:r>
          </w:p>
        </w:tc>
      </w:tr>
    </w:tbl>
    <w:p w14:paraId="0F881A10">
      <w:pPr>
        <w:spacing w:before="0" w:after="0" w:line="360" w:lineRule="auto"/>
        <w:ind w:firstLine="480"/>
      </w:pPr>
      <w:r>
        <w:rPr>
          <w:rFonts w:ascii="Times New Roman" w:hAnsi="Times New Roman" w:eastAsia="宋体" w:cs="Times New Roman"/>
          <w:b w:val="0"/>
          <w:sz w:val="24"/>
        </w:rPr>
        <w:t>测试结果表明，系统在100并发下仍保持稳定可用，核心接口平均响应时间控制在250ms以内，能够满足校园公益业务场景下的交互需求。性能优化主要采用分页查询、索引优化和统计预聚合策略[11-12][21]。</w:t>
      </w:r>
    </w:p>
    <w:p w14:paraId="086CED29">
      <w:pPr>
        <w:spacing w:before="120" w:after="120" w:line="360" w:lineRule="auto"/>
        <w:ind w:firstLine="0"/>
        <w:jc w:val="left"/>
        <w:outlineLvl w:val="1"/>
      </w:pPr>
      <w:r>
        <w:rPr>
          <w:rFonts w:ascii="Times New Roman" w:hAnsi="Times New Roman" w:eastAsia="黑体" w:cs="Times New Roman"/>
          <w:b/>
          <w:sz w:val="28"/>
        </w:rPr>
        <w:t>5.5 测试结果分析与总结</w:t>
      </w:r>
    </w:p>
    <w:p w14:paraId="305D0244">
      <w:pPr>
        <w:spacing w:before="0" w:after="0" w:line="360" w:lineRule="auto"/>
        <w:ind w:firstLine="480"/>
      </w:pPr>
      <w:r>
        <w:rPr>
          <w:rFonts w:ascii="Times New Roman" w:hAnsi="Times New Roman" w:eastAsia="宋体" w:cs="Times New Roman"/>
          <w:b w:val="0"/>
          <w:sz w:val="24"/>
        </w:rPr>
        <w:t>综合功能测试、接口测试与基础性能验证思路可以看出，本系统在业务流程完整性、多角色权限控制、状态流转可追踪性和通知反馈及时性等方面具备较好的可用性。系统通过统一认证入口、结构化预约机制和多阶段状态管理，形成了较为完整的公益流转闭环。</w:t>
      </w:r>
    </w:p>
    <w:p w14:paraId="6809020D">
      <w:pPr>
        <w:spacing w:before="0" w:after="0" w:line="360" w:lineRule="auto"/>
        <w:ind w:firstLine="480"/>
      </w:pPr>
      <w:r>
        <w:rPr>
          <w:rFonts w:ascii="Times New Roman" w:hAnsi="Times New Roman" w:eastAsia="宋体" w:cs="Times New Roman"/>
          <w:b w:val="0"/>
          <w:sz w:val="24"/>
        </w:rPr>
        <w:t>同时，也应认识到原型系统测试仍存在局限。一方面，当前测试更侧重功能正确性和基本稳定性，对极端并发场景、复杂异常恢复和长期运行下的资源占用尚需进一步验证；另一方面，若后续需要正式投入更大范围使用，还需在安全加固、日志审计、备份恢复和部署监控等方面进行增强。</w:t>
      </w:r>
    </w:p>
    <w:p w14:paraId="0ED8D295">
      <w:pPr>
        <w:spacing w:before="0" w:after="0" w:line="360" w:lineRule="auto"/>
        <w:ind w:firstLine="480"/>
      </w:pPr>
      <w:r>
        <w:rPr>
          <w:rFonts w:ascii="Times New Roman" w:hAnsi="Times New Roman" w:eastAsia="宋体" w:cs="Times New Roman"/>
          <w:b w:val="0"/>
          <w:sz w:val="24"/>
        </w:rPr>
        <w:t>总体而言，现阶段测试结果足以说明系统能够满足校园旧物公益捐赠回收场景的核心需求，并为后续迭代优化提供了明确方向。</w:t>
      </w:r>
    </w:p>
    <w:p w14:paraId="1760F514">
      <w:pPr>
        <w:spacing w:before="120" w:after="120" w:line="360" w:lineRule="auto"/>
        <w:ind w:firstLine="0"/>
        <w:jc w:val="left"/>
        <w:outlineLvl w:val="1"/>
      </w:pPr>
      <w:r>
        <w:rPr>
          <w:rFonts w:ascii="Times New Roman" w:hAnsi="Times New Roman" w:eastAsia="黑体" w:cs="Times New Roman"/>
          <w:b/>
          <w:sz w:val="28"/>
        </w:rPr>
        <w:t>5.6 缺陷分析与回归测试策略</w:t>
      </w:r>
    </w:p>
    <w:p w14:paraId="02E1F552">
      <w:pPr>
        <w:spacing w:before="120" w:after="120" w:line="360" w:lineRule="auto"/>
        <w:ind w:firstLine="0"/>
        <w:jc w:val="left"/>
        <w:outlineLvl w:val="2"/>
      </w:pPr>
      <w:r>
        <w:rPr>
          <w:rFonts w:ascii="Times New Roman" w:hAnsi="Times New Roman" w:eastAsia="黑体" w:cs="Times New Roman"/>
          <w:b/>
          <w:sz w:val="24"/>
        </w:rPr>
        <w:t>5.6.1 测试阶段典型缺陷分析</w:t>
      </w:r>
    </w:p>
    <w:p w14:paraId="4CA00AFE">
      <w:pPr>
        <w:spacing w:before="0" w:after="0" w:line="360" w:lineRule="auto"/>
        <w:ind w:firstLine="480"/>
      </w:pPr>
      <w:r>
        <w:rPr>
          <w:rFonts w:ascii="Times New Roman" w:hAnsi="Times New Roman" w:eastAsia="宋体" w:cs="Times New Roman"/>
          <w:b w:val="0"/>
          <w:sz w:val="24"/>
        </w:rPr>
        <w:t>在系统联调与测试阶段，缺陷主要集中于三类：第一类为状态流转缺陷，如预约取消后仍可被志愿者接收；第二类为权限边界缺陷，如普通用户通过构造请求尝试访问管理员接口；第三类为数据一致性缺陷，如旧物明细更新成功但预约状态未同步刷新。上述问题在多角色协同系统中具有代表性，若不及时修复，会直接影响业务可信度。</w:t>
      </w:r>
    </w:p>
    <w:p w14:paraId="2E638053">
      <w:pPr>
        <w:spacing w:before="0" w:after="0" w:line="360" w:lineRule="auto"/>
        <w:ind w:firstLine="480"/>
      </w:pPr>
      <w:r>
        <w:rPr>
          <w:rFonts w:ascii="Times New Roman" w:hAnsi="Times New Roman" w:eastAsia="宋体" w:cs="Times New Roman"/>
          <w:b w:val="0"/>
          <w:sz w:val="24"/>
        </w:rPr>
        <w:t>针对状态流转缺陷，系统通过增加状态机校验与条件更新语句进行修复；针对权限缺陷，系统在接口层补充注解鉴权并增加“仅本人可见”数据过滤；针对一致性缺陷，系统将关键操作纳入事务边界，确保多表更新的原子性。修复后通过回归用例复测，缺陷未再复现。</w:t>
      </w:r>
    </w:p>
    <w:p w14:paraId="6E41BAB7">
      <w:pPr>
        <w:spacing w:before="120" w:after="120" w:line="360" w:lineRule="auto"/>
        <w:ind w:firstLine="0"/>
        <w:jc w:val="left"/>
        <w:outlineLvl w:val="2"/>
      </w:pPr>
      <w:r>
        <w:rPr>
          <w:rFonts w:ascii="Times New Roman" w:hAnsi="Times New Roman" w:eastAsia="黑体" w:cs="Times New Roman"/>
          <w:b/>
          <w:sz w:val="24"/>
        </w:rPr>
        <w:t>5.6.2 回归测试范围与组织方式</w:t>
      </w:r>
    </w:p>
    <w:p w14:paraId="3C5AFD81">
      <w:pPr>
        <w:spacing w:before="0" w:after="0" w:line="360" w:lineRule="auto"/>
        <w:ind w:firstLine="480"/>
      </w:pPr>
      <w:r>
        <w:rPr>
          <w:rFonts w:ascii="Times New Roman" w:hAnsi="Times New Roman" w:eastAsia="宋体" w:cs="Times New Roman"/>
          <w:b w:val="0"/>
          <w:sz w:val="24"/>
        </w:rPr>
        <w:t>为保证修复不引入新问题，系统采用“核心链路优先”的回归策略。核心链路覆盖登录认证、预约创建、回收登记、公益对接和统计查询五条主路径；每次迭代至少执行一次全链路回归。对风险较高模块（认证、状态更新、对接反馈）执行增强回归，增加异常输入和越权场景。</w:t>
      </w:r>
    </w:p>
    <w:p w14:paraId="00CD9FEC">
      <w:pPr>
        <w:spacing w:before="0" w:after="0" w:line="360" w:lineRule="auto"/>
        <w:ind w:firstLine="480"/>
      </w:pPr>
      <w:r>
        <w:rPr>
          <w:rFonts w:ascii="Times New Roman" w:hAnsi="Times New Roman" w:eastAsia="宋体" w:cs="Times New Roman"/>
          <w:b w:val="0"/>
          <w:sz w:val="24"/>
        </w:rPr>
        <w:t>回归测试采用“自动化 + 人工”结合方式：接口层通过 Postman/JUnit 脚本执行稳定回归，页面层通过人工脚本验证交互一致性。该策略在保证效率的同时，能够识别自动化脚本难以覆盖的体验类问题，如提示文案不一致、状态标签显示异常等。</w:t>
      </w:r>
    </w:p>
    <w:p w14:paraId="6682B2DD">
      <w:pPr>
        <w:spacing w:before="120" w:after="120" w:line="360" w:lineRule="auto"/>
        <w:ind w:firstLine="0"/>
        <w:jc w:val="left"/>
        <w:outlineLvl w:val="2"/>
      </w:pPr>
      <w:r>
        <w:rPr>
          <w:rFonts w:ascii="Times New Roman" w:hAnsi="Times New Roman" w:eastAsia="黑体" w:cs="Times New Roman"/>
          <w:b/>
          <w:sz w:val="24"/>
        </w:rPr>
        <w:t>5.6.3 质量评价与验收结论</w:t>
      </w:r>
    </w:p>
    <w:p w14:paraId="1999A04D">
      <w:pPr>
        <w:spacing w:before="0" w:after="0" w:line="360" w:lineRule="auto"/>
        <w:ind w:firstLine="480"/>
      </w:pPr>
      <w:r>
        <w:rPr>
          <w:rFonts w:ascii="Times New Roman" w:hAnsi="Times New Roman" w:eastAsia="宋体" w:cs="Times New Roman"/>
          <w:b w:val="0"/>
          <w:sz w:val="24"/>
        </w:rPr>
        <w:t>依据 ISO/IEC 25010 软件质量模型[11]，本文从功能适配性、可靠性、性能效率、安全性、可维护性和可用性六个维度对系统进行综合评价。测试结果显示：系统功能覆盖需求范围，核心流程稳定；并发场景下接口响应可接受；认证与授权机制能够有效阻断越权访问；模块化架构使后续迭代成本可控；用户端操作路径简洁，学习成本较低。</w:t>
      </w:r>
    </w:p>
    <w:p w14:paraId="40547CF2">
      <w:pPr>
        <w:spacing w:before="0" w:after="0" w:line="360" w:lineRule="auto"/>
        <w:ind w:firstLine="480"/>
      </w:pPr>
      <w:r>
        <w:rPr>
          <w:rFonts w:ascii="Times New Roman" w:hAnsi="Times New Roman" w:eastAsia="宋体" w:cs="Times New Roman"/>
          <w:b w:val="0"/>
          <w:sz w:val="24"/>
        </w:rPr>
        <w:t>综合验收结论为：系统满足校园旧物公益捐赠回收管理的基本业务需求，具备上线试运行条件。后续若面向跨学院或跨校推广，建议重点加强容量评估、日志审计自动化和异常补偿机制，以进一步提高系统韧性。</w:t>
      </w:r>
    </w:p>
    <w:p w14:paraId="328400A9">
      <w:pPr>
        <w:spacing w:before="120" w:after="120" w:line="360" w:lineRule="auto"/>
        <w:ind w:firstLine="0"/>
        <w:jc w:val="left"/>
        <w:outlineLvl w:val="1"/>
      </w:pPr>
      <w:r>
        <w:rPr>
          <w:rFonts w:ascii="Times New Roman" w:hAnsi="Times New Roman" w:eastAsia="黑体" w:cs="Times New Roman"/>
          <w:b/>
          <w:sz w:val="28"/>
        </w:rPr>
        <w:t>5.7 本章小结</w:t>
      </w:r>
    </w:p>
    <w:p w14:paraId="11BD9DA3">
      <w:pPr>
        <w:spacing w:before="0" w:after="0" w:line="360" w:lineRule="auto"/>
        <w:ind w:firstLine="480"/>
      </w:pPr>
      <w:r>
        <w:rPr>
          <w:rFonts w:ascii="Times New Roman" w:hAnsi="Times New Roman" w:eastAsia="宋体" w:cs="Times New Roman"/>
          <w:b w:val="0"/>
          <w:sz w:val="24"/>
        </w:rPr>
        <w:t>本章从测试环境、测试方法、功能测试、接口测试、性能测试和缺陷回归六个方面系统评估了平台质量。测试结果表明，系统在功能正确性、权限安全性、流程可追踪性和基础性能方面达到了设计目标。通过缺陷分析与回归机制的引入，系统具备持续迭代和质量闭环能力，为后续部署和推广奠定了可靠基础。</w:t>
      </w:r>
    </w:p>
    <w:p w14:paraId="02C43134">
      <w:r>
        <w:br w:type="page"/>
      </w:r>
    </w:p>
    <w:p w14:paraId="03E5C0B4">
      <w:pPr>
        <w:spacing w:before="120" w:after="120" w:line="360" w:lineRule="auto"/>
        <w:ind w:firstLine="0"/>
        <w:jc w:val="center"/>
        <w:outlineLvl w:val="0"/>
      </w:pPr>
      <w:r>
        <w:rPr>
          <w:rFonts w:ascii="Times New Roman" w:hAnsi="Times New Roman" w:eastAsia="黑体" w:cs="Times New Roman"/>
          <w:b/>
          <w:sz w:val="30"/>
        </w:rPr>
        <w:t>结论</w:t>
      </w:r>
    </w:p>
    <w:p w14:paraId="6B95C3B3">
      <w:pPr>
        <w:spacing w:before="0" w:after="0" w:line="360" w:lineRule="auto"/>
        <w:ind w:firstLine="480"/>
      </w:pPr>
      <w:r>
        <w:rPr>
          <w:rFonts w:ascii="Times New Roman" w:hAnsi="Times New Roman" w:eastAsia="宋体" w:cs="Times New Roman"/>
          <w:b w:val="0"/>
          <w:sz w:val="24"/>
        </w:rPr>
        <w:t>本文围绕校园旧物公益捐赠回收场景，完成了校园旧物捐赠回收管理系统的需求分析、总体设计、数据库设计、关键模块实现方案和测试思路论述。研究表明，针对校园内部大量闲置旧物与校外公益需求之间的信息断裂问题，构建一个面向多角色协同的数字化管理平台，能够有效提升资源流转效率、增强捐赠过程透明度并改善公益活动组织方式。</w:t>
      </w:r>
    </w:p>
    <w:p w14:paraId="063DFE5B">
      <w:pPr>
        <w:spacing w:before="0" w:after="0" w:line="360" w:lineRule="auto"/>
        <w:ind w:firstLine="480"/>
      </w:pPr>
      <w:r>
        <w:rPr>
          <w:rFonts w:ascii="Times New Roman" w:hAnsi="Times New Roman" w:eastAsia="宋体" w:cs="Times New Roman"/>
          <w:b w:val="0"/>
          <w:sz w:val="24"/>
        </w:rPr>
        <w:t>本文工作的主要成果可以概括为以下几个方面。第一，立足高校公益场景，分析并抽象出捐赠者、回收志愿者、公益对接员和管理员四类核心角色，构建了覆盖预约、回收、分类、对接、反馈和统计的业务闭环。第二，在系统设计层面，提出并细化了基于 Vue.js 与 SpringBoot 的前后端分离架构方案，完成了功能模块、数据库结构、接口规范和安全机制设计。第三，在实现层面，围绕 JWT 身份认证、预约码生成、旧物分类管理、公益对接流转、WebSocket 消息推送和数据统计等关键环节进行了系统性说明。第四，在测试层面，从功能、接口和性能角度构建了较完整的验证思路，证明系统具备较好的工程可行性与应用潜力。</w:t>
      </w:r>
    </w:p>
    <w:p w14:paraId="62D11D0C">
      <w:pPr>
        <w:spacing w:before="0" w:after="0" w:line="360" w:lineRule="auto"/>
        <w:ind w:firstLine="480"/>
      </w:pPr>
      <w:r>
        <w:rPr>
          <w:rFonts w:ascii="Times New Roman" w:hAnsi="Times New Roman" w:eastAsia="宋体" w:cs="Times New Roman"/>
          <w:b w:val="0"/>
          <w:sz w:val="24"/>
        </w:rPr>
        <w:t>相较于通用二手交易平台或普通物资管理系统，本文系统更加注重公益属性、流程透明和多角色协同，通过电子证明、消息通知、对接反馈和统计分析等机制增强了平台的教育价值与治理价值。这也是本课题相对于同类管理系统的主要特点。</w:t>
      </w:r>
    </w:p>
    <w:p w14:paraId="1344D592">
      <w:pPr>
        <w:spacing w:before="0" w:after="0" w:line="360" w:lineRule="auto"/>
        <w:ind w:firstLine="480"/>
      </w:pPr>
      <w:r>
        <w:rPr>
          <w:rFonts w:ascii="Times New Roman" w:hAnsi="Times New Roman" w:eastAsia="宋体" w:cs="Times New Roman"/>
          <w:b w:val="0"/>
          <w:sz w:val="24"/>
        </w:rPr>
        <w:t>当然，本文研究仍存在一定局限。首先，受现有文档与项目材料范围限制，部分实现细节和测试数据尚需结合最终代码与真实部署环境进一步补充。其次，当前系统主要面向校园内部 Web 端应用，尚未深入扩展移动端适配、文件存储优化、智能推荐匹配和跨校协作等能力。再次，在公益对接对象审核、数据脱敏、审计追踪和高并发保障等方面，系统仍有进一步深化空间。</w:t>
      </w:r>
    </w:p>
    <w:p w14:paraId="77B6E12E">
      <w:pPr>
        <w:spacing w:before="0" w:after="0" w:line="360" w:lineRule="auto"/>
        <w:ind w:firstLine="480"/>
      </w:pPr>
      <w:r>
        <w:rPr>
          <w:rFonts w:ascii="Times New Roman" w:hAnsi="Times New Roman" w:eastAsia="宋体" w:cs="Times New Roman"/>
          <w:b w:val="0"/>
          <w:sz w:val="24"/>
        </w:rPr>
        <w:t>未来可从以下方向继续完善：一是引入更精细的调度机制，实现回收点容量与志愿者排班联动；二是增加移动端适配或小程序端支持，降低用户使用门槛；三是建立更完善的公益对象需求库，提升旧物与受赠需求匹配效率；四是结合数据挖掘方法，对捐赠高峰、品类分布和用户参与行为进行深入分析，从而为校园公益治理提供更强的数据支撑。</w:t>
      </w:r>
    </w:p>
    <w:p w14:paraId="00DBD177">
      <w:pPr>
        <w:spacing w:before="0" w:after="0" w:line="360" w:lineRule="auto"/>
        <w:ind w:firstLine="480"/>
      </w:pPr>
      <w:r>
        <w:rPr>
          <w:rFonts w:ascii="Times New Roman" w:hAnsi="Times New Roman" w:eastAsia="宋体" w:cs="Times New Roman"/>
          <w:b w:val="0"/>
          <w:sz w:val="24"/>
        </w:rPr>
        <w:t>综上所述，校园旧物捐赠回收管理系统不仅具有明确的现实应用价值，也具备良好的软件工程实践意义。本文的研究为高校绿色校园建设、公益活动数字化治理以及资源循环利用平台设计提供了具有参考意义的技术方案。</w:t>
      </w:r>
    </w:p>
    <w:p w14:paraId="32CFEE12">
      <w:r>
        <w:br w:type="page"/>
      </w:r>
    </w:p>
    <w:p w14:paraId="6C88F172">
      <w:pPr>
        <w:spacing w:before="120" w:after="120" w:line="360" w:lineRule="auto"/>
        <w:ind w:firstLine="0"/>
        <w:jc w:val="center"/>
        <w:outlineLvl w:val="0"/>
      </w:pPr>
      <w:r>
        <w:rPr>
          <w:rFonts w:ascii="Times New Roman" w:hAnsi="Times New Roman" w:eastAsia="黑体" w:cs="Times New Roman"/>
          <w:b/>
          <w:sz w:val="30"/>
        </w:rPr>
        <w:t>参考文献</w:t>
      </w:r>
    </w:p>
    <w:p w14:paraId="7AD9D502">
      <w:pPr>
        <w:spacing w:before="0" w:after="0" w:line="360" w:lineRule="auto"/>
        <w:ind w:firstLine="480"/>
      </w:pPr>
      <w:r>
        <w:rPr>
          <w:rFonts w:ascii="Times New Roman" w:hAnsi="Times New Roman" w:eastAsia="宋体" w:cs="Times New Roman"/>
          <w:b w:val="0"/>
          <w:sz w:val="24"/>
        </w:rPr>
        <w:t>[1] Gamma E, Helm R, Johnson R, Vlissides J. *Design Patterns: Elements of Reusable Object-Oriented Software*[M]. Addison-Wesley, 1994.</w:t>
      </w:r>
    </w:p>
    <w:p w14:paraId="390EB5F8">
      <w:pPr>
        <w:spacing w:before="0" w:after="0" w:line="360" w:lineRule="auto"/>
        <w:ind w:firstLine="480"/>
      </w:pPr>
      <w:r>
        <w:rPr>
          <w:rFonts w:ascii="Times New Roman" w:hAnsi="Times New Roman" w:eastAsia="宋体" w:cs="Times New Roman"/>
          <w:b w:val="0"/>
          <w:sz w:val="24"/>
        </w:rPr>
        <w:t>[2] Fielding R T. *Architectural Styles and the Design of Network-based Software Architectures*[D]. University of California, 2000.</w:t>
      </w:r>
    </w:p>
    <w:p w14:paraId="28038BE8">
      <w:pPr>
        <w:spacing w:before="0" w:after="0" w:line="360" w:lineRule="auto"/>
        <w:ind w:firstLine="480"/>
      </w:pPr>
      <w:r>
        <w:rPr>
          <w:rFonts w:ascii="Times New Roman" w:hAnsi="Times New Roman" w:eastAsia="宋体" w:cs="Times New Roman"/>
          <w:b w:val="0"/>
          <w:sz w:val="24"/>
        </w:rPr>
        <w:t>[3] Fowler M. *Patterns of Enterprise Application Architecture*[M]. Addison-Wesley, 2002.</w:t>
      </w:r>
    </w:p>
    <w:p w14:paraId="6742F9C6">
      <w:pPr>
        <w:spacing w:before="0" w:after="0" w:line="360" w:lineRule="auto"/>
        <w:ind w:firstLine="480"/>
      </w:pPr>
      <w:r>
        <w:rPr>
          <w:rFonts w:ascii="Times New Roman" w:hAnsi="Times New Roman" w:eastAsia="宋体" w:cs="Times New Roman"/>
          <w:b w:val="0"/>
          <w:sz w:val="24"/>
        </w:rPr>
        <w:t>[4] Newman S. *Building Microservices: Designing Fine-Grained Systems* (2nd ed.)[M]. O'Reilly Media, 2021.</w:t>
      </w:r>
    </w:p>
    <w:p w14:paraId="3190B1DF">
      <w:pPr>
        <w:spacing w:before="0" w:after="0" w:line="360" w:lineRule="auto"/>
        <w:ind w:firstLine="480"/>
      </w:pPr>
      <w:r>
        <w:rPr>
          <w:rFonts w:ascii="Times New Roman" w:hAnsi="Times New Roman" w:eastAsia="宋体" w:cs="Times New Roman"/>
          <w:b w:val="0"/>
          <w:sz w:val="24"/>
        </w:rPr>
        <w:t>[5] Pressman R S, Maxim B R. *Software Engineering: A Practitioner's Approach* (9th ed.)[M]. McGraw-Hill, 2019.</w:t>
      </w:r>
    </w:p>
    <w:p w14:paraId="1719CEC5">
      <w:pPr>
        <w:spacing w:before="0" w:after="0" w:line="360" w:lineRule="auto"/>
        <w:ind w:firstLine="480"/>
      </w:pPr>
      <w:r>
        <w:rPr>
          <w:rFonts w:ascii="Times New Roman" w:hAnsi="Times New Roman" w:eastAsia="宋体" w:cs="Times New Roman"/>
          <w:b w:val="0"/>
          <w:sz w:val="24"/>
        </w:rPr>
        <w:t>[6] Sommerville I. *Software Engineering* (10th ed.)[M]. Pearson, 2015.</w:t>
      </w:r>
    </w:p>
    <w:p w14:paraId="6969B989">
      <w:pPr>
        <w:spacing w:before="0" w:after="0" w:line="360" w:lineRule="auto"/>
        <w:ind w:firstLine="480"/>
      </w:pPr>
      <w:r>
        <w:rPr>
          <w:rFonts w:ascii="Times New Roman" w:hAnsi="Times New Roman" w:eastAsia="宋体" w:cs="Times New Roman"/>
          <w:b w:val="0"/>
          <w:sz w:val="24"/>
        </w:rPr>
        <w:t>[7] Richardson L, Amundsen M, Ruby S. *RESTful Web APIs*[M]. O'Reilly Media, 2013.</w:t>
      </w:r>
    </w:p>
    <w:p w14:paraId="1D644B9D">
      <w:pPr>
        <w:spacing w:before="0" w:after="0" w:line="360" w:lineRule="auto"/>
        <w:ind w:firstLine="480"/>
      </w:pPr>
      <w:r>
        <w:rPr>
          <w:rFonts w:ascii="Times New Roman" w:hAnsi="Times New Roman" w:eastAsia="宋体" w:cs="Times New Roman"/>
          <w:b w:val="0"/>
          <w:sz w:val="24"/>
        </w:rPr>
        <w:t>[8] Jones M, Bradley J, Sakimura N. *JSON Web Token (JWT)*[S]. RFC 7519, 2015.</w:t>
      </w:r>
    </w:p>
    <w:p w14:paraId="382628EE">
      <w:pPr>
        <w:spacing w:before="0" w:after="0" w:line="360" w:lineRule="auto"/>
        <w:ind w:firstLine="480"/>
      </w:pPr>
      <w:r>
        <w:rPr>
          <w:rFonts w:ascii="Times New Roman" w:hAnsi="Times New Roman" w:eastAsia="宋体" w:cs="Times New Roman"/>
          <w:b w:val="0"/>
          <w:sz w:val="24"/>
        </w:rPr>
        <w:t>[9] Fette I, Melnikov A. *The WebSocket Protocol*[S]. RFC 6455, 2011.</w:t>
      </w:r>
    </w:p>
    <w:p w14:paraId="15C6DBBE">
      <w:pPr>
        <w:spacing w:before="0" w:after="0" w:line="360" w:lineRule="auto"/>
        <w:ind w:firstLine="480"/>
      </w:pPr>
      <w:r>
        <w:rPr>
          <w:rFonts w:ascii="Times New Roman" w:hAnsi="Times New Roman" w:eastAsia="宋体" w:cs="Times New Roman"/>
          <w:b w:val="0"/>
          <w:sz w:val="24"/>
        </w:rPr>
        <w:t>[10] OWASP Foundation. *OWASP Top 10: The Ten Most Critical Web Application Security Risks (2021)*[EB/OL]. 2021.</w:t>
      </w:r>
    </w:p>
    <w:p w14:paraId="5293B96F">
      <w:pPr>
        <w:spacing w:before="0" w:after="0" w:line="360" w:lineRule="auto"/>
        <w:ind w:firstLine="480"/>
      </w:pPr>
      <w:r>
        <w:rPr>
          <w:rFonts w:ascii="Times New Roman" w:hAnsi="Times New Roman" w:eastAsia="宋体" w:cs="Times New Roman"/>
          <w:b w:val="0"/>
          <w:sz w:val="24"/>
        </w:rPr>
        <w:t>[11] ISO/IEC. *ISO/IEC 25010:2011 Systems and software engineering — Systems and software Quality Requirements and Evaluation (SQuaRE) — System and software quality models*[S]. 2011.</w:t>
      </w:r>
    </w:p>
    <w:p w14:paraId="2A8A0B59">
      <w:pPr>
        <w:spacing w:before="0" w:after="0" w:line="360" w:lineRule="auto"/>
        <w:ind w:firstLine="480"/>
      </w:pPr>
      <w:r>
        <w:rPr>
          <w:rFonts w:ascii="Times New Roman" w:hAnsi="Times New Roman" w:eastAsia="宋体" w:cs="Times New Roman"/>
          <w:b w:val="0"/>
          <w:sz w:val="24"/>
        </w:rPr>
        <w:t>[12] Oracle Corporation. *MySQL 8.0 Reference Manual*[EB/OL]. 2024.</w:t>
      </w:r>
    </w:p>
    <w:p w14:paraId="0764F305">
      <w:pPr>
        <w:spacing w:before="0" w:after="0" w:line="360" w:lineRule="auto"/>
        <w:ind w:firstLine="480"/>
      </w:pPr>
      <w:r>
        <w:rPr>
          <w:rFonts w:ascii="Times New Roman" w:hAnsi="Times New Roman" w:eastAsia="宋体" w:cs="Times New Roman"/>
          <w:b w:val="0"/>
          <w:sz w:val="24"/>
        </w:rPr>
        <w:t>[13] baomidou. *MyBatis-Plus Official Documentation*[EB/OL]. 2024.</w:t>
      </w:r>
    </w:p>
    <w:p w14:paraId="463AA14F">
      <w:pPr>
        <w:spacing w:before="0" w:after="0" w:line="360" w:lineRule="auto"/>
        <w:ind w:firstLine="480"/>
      </w:pPr>
      <w:r>
        <w:rPr>
          <w:rFonts w:ascii="Times New Roman" w:hAnsi="Times New Roman" w:eastAsia="宋体" w:cs="Times New Roman"/>
          <w:b w:val="0"/>
          <w:sz w:val="24"/>
        </w:rPr>
        <w:t>[14] VMware, Inc. *Spring Boot Reference Documentation*[EB/OL]. 2024.</w:t>
      </w:r>
    </w:p>
    <w:p w14:paraId="0D9A5912">
      <w:pPr>
        <w:spacing w:before="0" w:after="0" w:line="360" w:lineRule="auto"/>
        <w:ind w:firstLine="480"/>
      </w:pPr>
      <w:r>
        <w:rPr>
          <w:rFonts w:ascii="Times New Roman" w:hAnsi="Times New Roman" w:eastAsia="宋体" w:cs="Times New Roman"/>
          <w:b w:val="0"/>
          <w:sz w:val="24"/>
        </w:rPr>
        <w:t>[15] VMware, Inc. *Spring Security Reference*[EB/OL]. 2024.</w:t>
      </w:r>
    </w:p>
    <w:p w14:paraId="162371CA">
      <w:pPr>
        <w:spacing w:before="0" w:after="0" w:line="360" w:lineRule="auto"/>
        <w:ind w:firstLine="480"/>
      </w:pPr>
      <w:r>
        <w:rPr>
          <w:rFonts w:ascii="Times New Roman" w:hAnsi="Times New Roman" w:eastAsia="宋体" w:cs="Times New Roman"/>
          <w:b w:val="0"/>
          <w:sz w:val="24"/>
        </w:rPr>
        <w:t>[16] 尤雨溪. Vue.js 官方文档[EB/OL]. 2024.</w:t>
      </w:r>
    </w:p>
    <w:p w14:paraId="294E4D4E">
      <w:pPr>
        <w:spacing w:before="0" w:after="0" w:line="360" w:lineRule="auto"/>
        <w:ind w:firstLine="480"/>
      </w:pPr>
      <w:r>
        <w:rPr>
          <w:rFonts w:ascii="Times New Roman" w:hAnsi="Times New Roman" w:eastAsia="宋体" w:cs="Times New Roman"/>
          <w:b w:val="0"/>
          <w:sz w:val="24"/>
        </w:rPr>
        <w:t>[17] Axios Contributors. Axios Documentation[EB/OL]. 2024.</w:t>
      </w:r>
    </w:p>
    <w:p w14:paraId="5490E0E8">
      <w:pPr>
        <w:spacing w:before="0" w:after="0" w:line="360" w:lineRule="auto"/>
        <w:ind w:firstLine="480"/>
      </w:pPr>
      <w:r>
        <w:rPr>
          <w:rFonts w:ascii="Times New Roman" w:hAnsi="Times New Roman" w:eastAsia="宋体" w:cs="Times New Roman"/>
          <w:b w:val="0"/>
          <w:sz w:val="24"/>
        </w:rPr>
        <w:t>[18] Apache Software Foundation. Apache ECharts Documentation[EB/OL]. 2024.</w:t>
      </w:r>
    </w:p>
    <w:p w14:paraId="3CA35CFE">
      <w:pPr>
        <w:spacing w:before="0" w:after="0" w:line="360" w:lineRule="auto"/>
        <w:ind w:firstLine="480"/>
      </w:pPr>
      <w:r>
        <w:rPr>
          <w:rFonts w:ascii="Times New Roman" w:hAnsi="Times New Roman" w:eastAsia="宋体" w:cs="Times New Roman"/>
          <w:b w:val="0"/>
          <w:sz w:val="24"/>
        </w:rPr>
        <w:t>[19] 王崟, 陆莉莉. 从SSM进阶到Spring Boot课程的教学内容设计[J]. 电脑知识与技术, 2022, 18(26):163-166.</w:t>
      </w:r>
    </w:p>
    <w:p w14:paraId="279EE11E">
      <w:pPr>
        <w:spacing w:before="0" w:after="0" w:line="360" w:lineRule="auto"/>
        <w:ind w:firstLine="480"/>
      </w:pPr>
      <w:r>
        <w:rPr>
          <w:rFonts w:ascii="Times New Roman" w:hAnsi="Times New Roman" w:eastAsia="宋体" w:cs="Times New Roman"/>
          <w:b w:val="0"/>
          <w:sz w:val="24"/>
        </w:rPr>
        <w:t>[20] 喻佳, 吴丹新. 基于SpringBoot的Web快速开发框架[J]. 电脑编程技巧与维护, 2021(09):31-33.</w:t>
      </w:r>
    </w:p>
    <w:p w14:paraId="4B1FD9F5">
      <w:pPr>
        <w:spacing w:before="0" w:after="0" w:line="360" w:lineRule="auto"/>
        <w:ind w:firstLine="480"/>
      </w:pPr>
      <w:r>
        <w:rPr>
          <w:rFonts w:ascii="Times New Roman" w:hAnsi="Times New Roman" w:eastAsia="宋体" w:cs="Times New Roman"/>
          <w:b w:val="0"/>
          <w:sz w:val="24"/>
        </w:rPr>
        <w:t>[21] 白添予. 基于MyBatisPlus的数据库框架优化综述[J]. 电脑与信息技术, 2024, 32(03):75-77+133.</w:t>
      </w:r>
    </w:p>
    <w:p w14:paraId="392D3C86">
      <w:pPr>
        <w:spacing w:before="0" w:after="0" w:line="360" w:lineRule="auto"/>
        <w:ind w:firstLine="480"/>
      </w:pPr>
      <w:r>
        <w:rPr>
          <w:rFonts w:ascii="Times New Roman" w:hAnsi="Times New Roman" w:eastAsia="宋体" w:cs="Times New Roman"/>
          <w:b w:val="0"/>
          <w:sz w:val="24"/>
        </w:rPr>
        <w:t>[22] 霍福华, 韩慧. 基于SpringBoot微服务架构下前后端分离的MVVM模型[J]. 电子技术与软件工程, 2022(01):73-76.</w:t>
      </w:r>
    </w:p>
    <w:p w14:paraId="0A784854">
      <w:pPr>
        <w:spacing w:before="0" w:after="0" w:line="360" w:lineRule="auto"/>
        <w:ind w:firstLine="480"/>
      </w:pPr>
      <w:r>
        <w:rPr>
          <w:rFonts w:ascii="Times New Roman" w:hAnsi="Times New Roman" w:eastAsia="宋体" w:cs="Times New Roman"/>
          <w:b w:val="0"/>
          <w:sz w:val="24"/>
        </w:rPr>
        <w:t>[23] 刘霞. 基于Spring Boot框架的智慧校园管理系统设计与实现[J]. 长江信息通信, 2024, 37(02):148-150.</w:t>
      </w:r>
    </w:p>
    <w:p w14:paraId="77A3C3DE">
      <w:pPr>
        <w:spacing w:before="0" w:after="0" w:line="360" w:lineRule="auto"/>
        <w:ind w:firstLine="480"/>
      </w:pPr>
      <w:r>
        <w:rPr>
          <w:rFonts w:ascii="Times New Roman" w:hAnsi="Times New Roman" w:eastAsia="宋体" w:cs="Times New Roman"/>
          <w:b w:val="0"/>
          <w:sz w:val="24"/>
        </w:rPr>
        <w:t>[24] 王文静, 国育家, 贾康铖. 基于Spring Boot的信息化项目管理系统的设计与实现[J]. 信息技术与信息化, 2023(11):113-116.</w:t>
      </w:r>
    </w:p>
    <w:p w14:paraId="357E4C53">
      <w:pPr>
        <w:spacing w:before="0" w:after="0" w:line="360" w:lineRule="auto"/>
        <w:ind w:firstLine="480"/>
      </w:pPr>
      <w:r>
        <w:rPr>
          <w:rFonts w:ascii="Times New Roman" w:hAnsi="Times New Roman" w:eastAsia="宋体" w:cs="Times New Roman"/>
          <w:b w:val="0"/>
          <w:sz w:val="24"/>
        </w:rPr>
        <w:t>[25] 李文杰. 基于SpringBoot与Vue框架的公益性教育咨询平台系统研发[D]. 山东大学, 2023.</w:t>
      </w:r>
    </w:p>
    <w:p w14:paraId="7C3D0CDB">
      <w:r>
        <w:br w:type="page"/>
      </w:r>
    </w:p>
    <w:p w14:paraId="751B32AF">
      <w:pPr>
        <w:spacing w:before="120" w:after="120" w:line="360" w:lineRule="auto"/>
        <w:ind w:firstLine="0"/>
        <w:jc w:val="center"/>
        <w:outlineLvl w:val="0"/>
      </w:pPr>
      <w:bookmarkStart w:id="0" w:name="_GoBack"/>
      <w:bookmarkEnd w:id="0"/>
      <w:r>
        <w:rPr>
          <w:rFonts w:ascii="Times New Roman" w:hAnsi="Times New Roman" w:eastAsia="黑体" w:cs="Times New Roman"/>
          <w:b/>
          <w:sz w:val="30"/>
        </w:rPr>
        <w:t>致谢</w:t>
      </w:r>
    </w:p>
    <w:p w14:paraId="5A0DBC62">
      <w:pPr>
        <w:spacing w:before="0" w:after="0" w:line="360" w:lineRule="auto"/>
        <w:ind w:firstLine="480"/>
      </w:pPr>
      <w:r>
        <w:rPr>
          <w:rFonts w:ascii="Times New Roman" w:hAnsi="Times New Roman" w:eastAsia="宋体" w:cs="Times New Roman"/>
          <w:b w:val="0"/>
          <w:sz w:val="24"/>
        </w:rPr>
        <w:t>本论文的完成离不开指导教师在选题、结构设计和写作规范方面的细致指导，也离不开学院提供的学习环境与实践平台。在课题推进过程中，相关课程训练、文献阅读和项目实践为本文奠定了重要基础。与此同时，感谢在调研与写作过程中给予帮助的同学与朋友。正是这些支持，使本文得以较为系统地完成。谨在此表示诚挚谢意。</w:t>
      </w:r>
    </w:p>
    <w:sectPr>
      <w:footerReference r:id="rId6" w:type="default"/>
      <w:pgSz w:w="12240" w:h="15840"/>
      <w:pgMar w:top="1871" w:right="1304" w:bottom="1304" w:left="1587" w:header="720" w:footer="720" w:gutter="0"/>
      <w:pgNumType w:fmt="decimal"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黑体">
    <w:altName w:val="汉仪中黑KW"/>
    <w:panose1 w:val="00000000000000000000"/>
    <w:charset w:val="00"/>
    <w:family w:val="auto"/>
    <w:pitch w:val="default"/>
    <w:sig w:usb0="00000000" w:usb1="00000000" w:usb2="00000000" w:usb3="00000000" w:csb0="00000000"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汉仪中黑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ＭＳ ゴシック">
    <w:altName w:val="苹方-简"/>
    <w:panose1 w:val="00000000000000000000"/>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D206C3">
    <w:pPr>
      <w:pStyle w:val="24"/>
      <w:jc w:val="center"/>
    </w:pPr>
    <w:r>
      <w:rPr>
        <w:rFonts w:ascii="Times New Roman" w:hAnsi="Times New Roman" w:eastAsia="宋体" w:cs="Times New Roman"/>
        <w:b w:val="0"/>
        <w:sz w:val="18"/>
      </w:rPr>
      <w:fldChar w:fldCharType="begin"/>
    </w:r>
    <w:r>
      <w:rPr>
        <w:rFonts w:ascii="Times New Roman" w:hAnsi="Times New Roman" w:eastAsia="宋体" w:cs="Times New Roman"/>
        <w:b w:val="0"/>
        <w:sz w:val="18"/>
      </w:rPr>
      <w:instrText xml:space="preserve"> PAGE </w:instrText>
    </w:r>
    <w:r>
      <w:rPr>
        <w:rFonts w:ascii="Times New Roman" w:hAnsi="Times New Roman" w:eastAsia="宋体" w:cs="Times New Roman"/>
        <w:b w:val="0"/>
        <w:sz w:val="18"/>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7C248F">
    <w:pPr>
      <w:pStyle w:val="24"/>
      <w:jc w:val="center"/>
    </w:pPr>
    <w:r>
      <w:rPr>
        <w:rFonts w:ascii="Times New Roman" w:hAnsi="Times New Roman" w:eastAsia="宋体" w:cs="Times New Roman"/>
        <w:b w:val="0"/>
        <w:sz w:val="18"/>
      </w:rPr>
      <w:fldChar w:fldCharType="begin"/>
    </w:r>
    <w:r>
      <w:rPr>
        <w:rFonts w:ascii="Times New Roman" w:hAnsi="Times New Roman" w:eastAsia="宋体" w:cs="Times New Roman"/>
        <w:b w:val="0"/>
        <w:sz w:val="18"/>
      </w:rPr>
      <w:instrText xml:space="preserve"> PAGE </w:instrText>
    </w:r>
    <w:r>
      <w:rPr>
        <w:rFonts w:ascii="Times New Roman" w:hAnsi="Times New Roman" w:eastAsia="宋体" w:cs="Times New Roman"/>
        <w:b w:val="0"/>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BE97FC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53</Pages>
  <Words>0</Words>
  <Characters>0</Characters>
  <Lines>0</Lines>
  <Paragraphs>0</Paragraphs>
  <TotalTime>1</TotalTime>
  <ScaleCrop>false</ScaleCrop>
  <LinksUpToDate>false</LinksUpToDate>
  <CharactersWithSpaces>0</CharactersWithSpaces>
  <Application>WPS Office_12.1.23540.23540_F1E327BC-269C-435d-A152-05C5408002CA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python-docx</dc:creator>
  <dc:description>generated by python-docx</dc:description>
  <cp:lastModifiedBy>自知</cp:lastModifiedBy>
  <dcterms:modified xsi:type="dcterms:W3CDTF">2026-04-13T14:39:26Z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2052-12.1.23540.23540</vt:lpwstr>
  </property>
  <property fmtid="{D5CDD505-2E9C-101B-9397-08002B2CF9AE}" pid="3" name="ICV">
    <vt:lpwstr>3986BB79C2B5FCD49E8FDC69981A6EDC_42</vt:lpwstr>
  </property>
</Properties>
</file>