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5B4E2">
      <w:pPr>
        <w:pStyle w:val="3"/>
        <w:keepNext/>
        <w:widowControl/>
        <w:spacing w:before="100" w:beforeAutospacing="1" w:after="100" w:afterAutospacing="1" w:line="360" w:lineRule="auto"/>
        <w:rPr>
          <w:rFonts w:ascii="Times New Roman" w:hAnsi="Times New Roman" w:cs="Times New Roman"/>
          <w:sz w:val="24"/>
          <w:szCs w:val="24"/>
        </w:rPr>
      </w:pPr>
      <w:r>
        <w:rPr>
          <w:rFonts w:ascii="Times New Roman" w:hAnsi="Times New Roman"/>
          <w:b/>
          <w:i w:val="0"/>
          <w:color w:val="000000"/>
          <w:sz w:val="24"/>
          <w:u w:val="none"/>
        </w:rPr>
        <w:t>Response to Reviewer 1</w:t>
      </w:r>
    </w:p>
    <w:p w14:paraId="2CC00F98">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1:</w:t>
      </w:r>
    </w:p>
    <w:p w14:paraId="0D4B8795">
      <w:pPr>
        <w:widowControl/>
        <w:jc w:val="left"/>
        <w:rPr>
          <w:rFonts w:ascii="Times New Roman" w:hAnsi="Times New Roman" w:cs="Times New Roman"/>
          <w:szCs w:val="21"/>
        </w:rPr>
      </w:pPr>
      <w:r>
        <w:rPr>
          <w:rFonts w:ascii="Times New Roman" w:hAnsi="Times New Roman"/>
          <w:b w:val="0"/>
          <w:i w:val="0"/>
          <w:color w:val="000000"/>
          <w:sz w:val="21"/>
          <w:u w:val="none"/>
        </w:rPr>
        <w:t>The core geometric encoding used in IGGA (Euclidean distance, azimuth, and elevation angles with sine/cosine encoding) is a well-established technique in 3D point cloud processing and spatial relation reasoning (e.g., the authors cite [5]). While the application of these cues within a per-head gating mechanism is novel, the paper would benefit from a more explicit discussion of what distinguishes the proposed geometric representation from prior work. Specifically, the authors should clarify whether any learnable spatial embeddings were considered (as briefly mentioned in Section V) and why the handcrafted encoding was preferred. A comparative experiment between handcrafted geometric features and learned spatial embeddings would substantiate this design choice.</w:t>
      </w:r>
    </w:p>
    <w:p w14:paraId="5D882A1C">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752627B6">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this comment. Distance and angular encodings are established descriptors; our contribution is their instruction-conditioned, per-head use in object attention. We chose an explicit five-dimensional descriptor to provide a compact, interpretable spatial prior, while retaining a learnable compatibility projection, as formulated in Section III-B. This separates the geometric quantities from the learned way in which they influence attention.</w:t>
      </w:r>
    </w:p>
    <w:p w14:paraId="6AA3DA21">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The current experiments examine geometric routing with this descriptor, rather than comparing alternative spatial encoders. We do not claim that handcrafted features outperform learned embeddings. Such a comparison would assess a separate representation choice, which Section V identifies as future work.</w:t>
      </w:r>
    </w:p>
    <w:p w14:paraId="2188AA80"/>
    <w:p w14:paraId="0B93EFDE">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2:</w:t>
      </w:r>
    </w:p>
    <w:p w14:paraId="2FBCFB52">
      <w:pPr>
        <w:widowControl/>
        <w:jc w:val="left"/>
        <w:rPr>
          <w:rFonts w:ascii="Times New Roman" w:hAnsi="Times New Roman" w:cs="Times New Roman"/>
          <w:szCs w:val="21"/>
        </w:rPr>
      </w:pPr>
      <w:r>
        <w:rPr>
          <w:rFonts w:ascii="Times New Roman" w:hAnsi="Times New Roman"/>
          <w:b w:val="0"/>
          <w:i w:val="0"/>
          <w:color w:val="000000"/>
          <w:sz w:val="21"/>
          <w:u w:val="none"/>
        </w:rPr>
        <w:t>The entire framework relies on Mask3D-generated object proposals as input, which the authors acknowledge as a limitation in Section V. However, the paper does not provide any quantitative analysis of how proposal quality affects downstream performance. A sensitivity analysis—for instance, varying the number of proposals (currently fixed at 100) or evaluating performance under different Mask3D confidence thresholds—would help readers understand the robustness boundary of GeoAnchor3D. Furthermore, the performance on Multi3DRefer, which involves multi-object scenes, may be particularly sensitive to missed or merged proposals, and this should be discussed.</w:t>
      </w:r>
    </w:p>
    <w:p w14:paraId="77151569">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3F97EB2D">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highlighting proposal sensitivity. Our comparison asks whether geometric regulation improves downstream reasoning given the same detected objects. GeoAnchor3D therefore retains the 100 Mask3D proposals per scene used by Chat-Scene, so its gains are evaluated with predicted proposals rather than oracle objects and cannot be attributed to an improved proposal generator.</w:t>
      </w:r>
    </w:p>
    <w:p w14:paraId="779D3678">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Section V now explains that missed, severely fragmented, or merged proposals limit downstream reasoning. This is particularly relevant to Multi3DRefer, where multiple referred objects must be identified. We acknowledge this dependency; the current comparison does not measure sensitivity to proposal budgets or confidence thresholds.</w:t>
      </w:r>
    </w:p>
    <w:p w14:paraId="30A53DFC"/>
    <w:p w14:paraId="2C2B7389">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3:</w:t>
      </w:r>
    </w:p>
    <w:p w14:paraId="483C9FB1">
      <w:pPr>
        <w:widowControl/>
        <w:jc w:val="left"/>
        <w:rPr>
          <w:rFonts w:ascii="Times New Roman" w:hAnsi="Times New Roman" w:cs="Times New Roman"/>
          <w:szCs w:val="21"/>
        </w:rPr>
      </w:pPr>
      <w:r>
        <w:rPr>
          <w:rFonts w:ascii="Times New Roman" w:hAnsi="Times New Roman"/>
          <w:b w:val="0"/>
          <w:i w:val="0"/>
          <w:color w:val="000000"/>
          <w:sz w:val="21"/>
          <w:u w:val="none"/>
        </w:rPr>
        <w:t>The authors emphasize that GATH introduces no inference overhead, which is a strength. Nevertheless, the training-time cost of GATH and IGGA is not quantified. Specifically, the additional computational burden of (a) computing pairwise spatial masks in IGGA, (b) GATH's horizontal and vertical aggregation over multiple LLM layers, and (c) the gating supervision loss Lgate should be reported in terms of training time or GPU memory compared to the baseline. This information is important for practitioners who may have limited computational resources.</w:t>
      </w:r>
    </w:p>
    <w:p w14:paraId="543D04EA">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53A4E4C7">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requesting this analysis. The new efficiency comparison in Section IV-C measures both models on one NVIDIA RTX 3090 with batch size 1 and FlashAttention-2. Forward–backward time increases from 547.87 to 553.81 ms per sample (+1.08%), and peak allocated training memory increases from 14.920 to 15.164 GiB (+1.63%). These measurements exclude data transfer and optimizer updates, so they do not represent full training-step or end-to-end training time.</w:t>
      </w:r>
    </w:p>
    <w:p w14:paraId="1A2A2C2A">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The results quantify the combined cost of IGGA, GATH, and the auxiliary objectives; they do not separately profile spatial-mask computation, GATH aggregation, or L</w:t>
      </w:r>
      <w:r>
        <w:rPr>
          <w:rFonts w:ascii="Times New Roman" w:hAnsi="Times New Roman"/>
          <w:b w:val="0"/>
          <w:i w:val="0"/>
          <w:color w:val="3427E1"/>
          <w:sz w:val="21"/>
          <w:u w:val="none"/>
          <w:vertAlign w:val="subscript"/>
        </w:rPr>
        <w:t>gate</w:t>
      </w:r>
      <w:r>
        <w:rPr>
          <w:rFonts w:ascii="Times New Roman" w:hAnsi="Times New Roman"/>
          <w:b w:val="0"/>
          <w:i w:val="0"/>
          <w:color w:val="3427E1"/>
          <w:sz w:val="21"/>
          <w:u w:val="none"/>
        </w:rPr>
        <w:t xml:space="preserve">. GATH is removed at inference, whereas IGGA remains active. Please see the table entitled </w:t>
      </w:r>
      <w:r>
        <w:rPr>
          <w:rFonts w:ascii="Times New Roman" w:hAnsi="Times New Roman"/>
          <w:b w:val="0"/>
          <w:i/>
          <w:color w:val="3427E1"/>
          <w:sz w:val="21"/>
          <w:u w:val="none"/>
        </w:rPr>
        <w:t>Efficiency comparison on one NVIDIA RTX 3090</w:t>
      </w:r>
      <w:r>
        <w:rPr>
          <w:rFonts w:ascii="Times New Roman" w:hAnsi="Times New Roman"/>
          <w:b w:val="0"/>
          <w:i w:val="0"/>
          <w:color w:val="3427E1"/>
          <w:sz w:val="21"/>
          <w:u w:val="none"/>
        </w:rPr>
        <w:t>.</w:t>
      </w:r>
    </w:p>
    <w:p w14:paraId="589BC8E4"/>
    <w:p w14:paraId="148EDFBE">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4:</w:t>
      </w:r>
    </w:p>
    <w:p w14:paraId="7C344215">
      <w:pPr>
        <w:widowControl/>
        <w:jc w:val="left"/>
        <w:rPr>
          <w:rFonts w:ascii="Times New Roman" w:hAnsi="Times New Roman" w:cs="Times New Roman"/>
          <w:szCs w:val="21"/>
        </w:rPr>
      </w:pPr>
      <w:r>
        <w:rPr>
          <w:rFonts w:ascii="Times New Roman" w:hAnsi="Times New Roman"/>
          <w:b w:val="0"/>
          <w:i w:val="0"/>
          <w:color w:val="000000"/>
          <w:sz w:val="21"/>
          <w:u w:val="none"/>
        </w:rPr>
        <w:t>All experiments are conducted with Vicuna-7B-v1.5 as the sole LLM backbone. Given that the proposed modules (IGGA and GATH) are designed to be backbone-agnostic, it is important to validate their effectiveness across different LLM architectures and scales. At minimum, results with LLaMA-2-7B or LLaMA-3-8B would demonstrate generalizability. Additionally, the paper would benefit from experiments with a larger LLM (e.g., Vicuna-13B) to investigate whether the benefits of hierarchical spatial regulation persist or diminish at larger scales, as larger models may inherently exhibit different modality integration behaviors.</w:t>
      </w:r>
    </w:p>
    <w:p w14:paraId="5293AF1C">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157F279C">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testing additional LLM families and scales would establish the scope of transferability more directly. Here, we retain Chat-Scene's Vicuna-7B-v1.5 backbone to evaluate the proposed geometric regulation within the same object-centric framework, without introducing backbone changes into the comparison.</w:t>
      </w:r>
    </w:p>
    <w:p w14:paraId="672121E9">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The current results establish effectiveness in this setting, not empirical backbone independence. Section V identifies evaluation with other language-model backbones as future work, and our conclusions are restricted to the evaluated framework and benchmarks.</w:t>
      </w:r>
    </w:p>
    <w:p w14:paraId="0889BEF3"/>
    <w:p w14:paraId="241E341A">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5:</w:t>
      </w:r>
    </w:p>
    <w:p w14:paraId="2BC6F27A">
      <w:pPr>
        <w:widowControl/>
        <w:jc w:val="left"/>
        <w:rPr>
          <w:rFonts w:ascii="Times New Roman" w:hAnsi="Times New Roman" w:cs="Times New Roman"/>
          <w:szCs w:val="21"/>
        </w:rPr>
      </w:pPr>
      <w:r>
        <w:rPr>
          <w:rFonts w:ascii="Times New Roman" w:hAnsi="Times New Roman"/>
          <w:b w:val="0"/>
          <w:i w:val="0"/>
          <w:color w:val="000000"/>
          <w:sz w:val="21"/>
          <w:u w:val="none"/>
        </w:rPr>
        <w:t>The performance improvements over Chat-Scene, while consistent, are relatively modest in absolute terms (e.g., +1.0% Acc@0.25 on ScanRefer, +0.9% Acc@0.5). The paper does not report standard deviations or confidence intervals across multiple runs, making it difficult to assess whether these gains are statistically significant. Given the inherent randomness in LLM fine-tuning with LoRA, the authors should report mean and standard deviation over at least three random seeds. Furthermore, the paper should discuss whether the LoRA rank (16), learning rate schedule, and loss weights (λ</w:t>
      </w:r>
      <w:r>
        <w:rPr>
          <w:rFonts w:ascii="Times New Roman" w:hAnsi="Times New Roman"/>
          <w:b w:val="0"/>
          <w:i w:val="0"/>
          <w:color w:val="000000"/>
          <w:sz w:val="21"/>
          <w:u w:val="none"/>
          <w:vertAlign w:val="subscript"/>
        </w:rPr>
        <w:t>gate</w:t>
      </w:r>
      <w:r>
        <w:rPr>
          <w:rFonts w:ascii="Times New Roman" w:hAnsi="Times New Roman"/>
          <w:b w:val="0"/>
          <w:i w:val="0"/>
          <w:color w:val="000000"/>
          <w:sz w:val="21"/>
          <w:u w:val="none"/>
        </w:rPr>
        <w:t>=1.0, λ</w:t>
      </w:r>
      <w:r>
        <w:rPr>
          <w:rFonts w:ascii="Times New Roman" w:hAnsi="Times New Roman"/>
          <w:b w:val="0"/>
          <w:i w:val="0"/>
          <w:color w:val="000000"/>
          <w:sz w:val="21"/>
          <w:u w:val="none"/>
          <w:vertAlign w:val="subscript"/>
        </w:rPr>
        <w:t>coord</w:t>
      </w:r>
      <w:r>
        <w:rPr>
          <w:rFonts w:ascii="Times New Roman" w:hAnsi="Times New Roman"/>
          <w:b w:val="0"/>
          <w:i w:val="0"/>
          <w:color w:val="000000"/>
          <w:sz w:val="21"/>
          <w:u w:val="none"/>
        </w:rPr>
        <w:t>=0.1) were tuned, and provide sensitivity analyses for these hyperparameters.</w:t>
      </w:r>
    </w:p>
    <w:p w14:paraId="64CC4FFC">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4022E81C">
      <w:pPr>
        <w:widowControl/>
        <w:ind w:firstLine="420"/>
        <w:rPr>
          <w:rFonts w:ascii="Times New Roman" w:hAnsi="Times New Roman" w:cs="Times New Roman"/>
          <w:color w:val="3427E1"/>
          <w:szCs w:val="21"/>
        </w:rPr>
      </w:pPr>
      <w:r>
        <w:rPr>
          <w:rFonts w:ascii="Times New Roman" w:hAnsi="Times New Roman"/>
          <w:b w:val="0"/>
          <w:i/>
          <w:color w:val="3427E1"/>
          <w:sz w:val="21"/>
          <w:u w:val="none"/>
        </w:rPr>
        <w:t>[Response pending: three-seed results and the hyperparameter tuning/sensitivity analysis are not provided in the current materials. No statistical-significance claim is made.]</w:t>
      </w:r>
    </w:p>
    <w:p w14:paraId="0AFF732D">
      <w:pPr>
        <w:pStyle w:val="3"/>
        <w:keepNext/>
        <w:widowControl/>
        <w:spacing w:before="100" w:beforeAutospacing="1" w:after="100" w:afterAutospacing="1" w:line="360" w:lineRule="auto"/>
        <w:rPr>
          <w:rFonts w:ascii="Times New Roman" w:hAnsi="Times New Roman" w:cs="Times New Roman"/>
          <w:sz w:val="24"/>
          <w:szCs w:val="24"/>
        </w:rPr>
      </w:pPr>
      <w:r>
        <w:rPr>
          <w:rFonts w:ascii="Times New Roman" w:hAnsi="Times New Roman"/>
          <w:b/>
          <w:i w:val="0"/>
          <w:color w:val="000000"/>
          <w:sz w:val="24"/>
          <w:u w:val="none"/>
        </w:rPr>
        <w:t>Response to Reviewer 2</w:t>
      </w:r>
    </w:p>
    <w:p w14:paraId="470F4781">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1:</w:t>
      </w:r>
    </w:p>
    <w:p w14:paraId="746B5404">
      <w:pPr>
        <w:widowControl/>
        <w:jc w:val="left"/>
        <w:rPr>
          <w:rFonts w:ascii="Times New Roman" w:hAnsi="Times New Roman" w:cs="Times New Roman"/>
          <w:szCs w:val="21"/>
        </w:rPr>
      </w:pPr>
      <w:r>
        <w:rPr>
          <w:rFonts w:ascii="Times New Roman" w:hAnsi="Times New Roman"/>
          <w:b w:val="0"/>
          <w:i w:val="0"/>
          <w:color w:val="000000"/>
          <w:sz w:val="21"/>
          <w:u w:val="none"/>
        </w:rPr>
        <w:t xml:space="preserve">The notation for multi-head attention requires further clarification. The current formulations of </w:t>
      </w:r>
      <w:r>
        <w:rPr>
          <w:rFonts w:ascii="Times New Roman" w:hAnsi="Times New Roman"/>
          <w:b/>
          <w:i w:val="0"/>
          <w:color w:val="000000"/>
          <w:sz w:val="21"/>
          <w:u w:val="none"/>
        </w:rPr>
        <w:t>A</w:t>
      </w:r>
      <w:r>
        <w:rPr>
          <w:rFonts w:ascii="Times New Roman" w:hAnsi="Times New Roman"/>
          <w:b w:val="0"/>
          <w:i w:val="0"/>
          <w:color w:val="000000"/>
          <w:sz w:val="21"/>
          <w:u w:val="none"/>
          <w:vertAlign w:val="subscript"/>
        </w:rPr>
        <w:t>sem</w:t>
      </w:r>
      <w:r>
        <w:rPr>
          <w:rFonts w:ascii="Times New Roman" w:hAnsi="Times New Roman"/>
          <w:b w:val="0"/>
          <w:i w:val="0"/>
          <w:color w:val="000000"/>
          <w:sz w:val="21"/>
          <w:u w:val="none"/>
        </w:rPr>
        <w:t xml:space="preserve"> and </w:t>
      </w:r>
      <w:r>
        <w:rPr>
          <w:rFonts w:ascii="Times New Roman" w:hAnsi="Times New Roman"/>
          <w:b/>
          <w:i w:val="0"/>
          <w:color w:val="000000"/>
          <w:sz w:val="21"/>
          <w:u w:val="none"/>
        </w:rPr>
        <w:t>A</w:t>
      </w:r>
      <w:r>
        <w:rPr>
          <w:rFonts w:ascii="Times New Roman" w:hAnsi="Times New Roman"/>
          <w:b w:val="0"/>
          <w:i w:val="0"/>
          <w:color w:val="000000"/>
          <w:sz w:val="21"/>
          <w:u w:val="none"/>
          <w:vertAlign w:val="subscript"/>
        </w:rPr>
        <w:t>fused</w:t>
      </w:r>
      <w:r>
        <w:rPr>
          <w:rFonts w:ascii="Times New Roman" w:hAnsi="Times New Roman"/>
          <w:b w:val="0"/>
          <w:i w:val="0"/>
          <w:color w:val="000000"/>
          <w:sz w:val="21"/>
          <w:u w:val="none"/>
        </w:rPr>
        <w:t xml:space="preserve"> do not explicitly include a head dimension, whereas the gating coefficient is written as α</w:t>
      </w:r>
      <w:r>
        <w:rPr>
          <w:rFonts w:ascii="Times New Roman" w:hAnsi="Times New Roman"/>
          <w:b w:val="0"/>
          <w:i w:val="0"/>
          <w:color w:val="000000"/>
          <w:sz w:val="21"/>
          <w:u w:val="none"/>
          <w:vertAlign w:val="subscript"/>
        </w:rPr>
        <w:t>h</w:t>
      </w:r>
      <w:r>
        <w:rPr>
          <w:rFonts w:ascii="Times New Roman" w:hAnsi="Times New Roman"/>
          <w:b w:val="0"/>
          <w:i w:val="0"/>
          <w:color w:val="000000"/>
          <w:sz w:val="21"/>
          <w:u w:val="none"/>
        </w:rPr>
        <w:t xml:space="preserve">. The authors should use consistent head indices for </w:t>
      </w:r>
      <w:r>
        <w:rPr>
          <w:rFonts w:ascii="Times New Roman" w:hAnsi="Times New Roman"/>
          <w:b/>
          <w:i w:val="0"/>
          <w:color w:val="000000"/>
          <w:sz w:val="21"/>
          <w:u w:val="none"/>
        </w:rPr>
        <w:t>A</w:t>
      </w:r>
      <w:r>
        <w:rPr>
          <w:rFonts w:ascii="Times New Roman" w:hAnsi="Times New Roman"/>
          <w:b w:val="0"/>
          <w:i w:val="0"/>
          <w:color w:val="000000"/>
          <w:sz w:val="21"/>
          <w:u w:val="none"/>
          <w:vertAlign w:val="subscript"/>
        </w:rPr>
        <w:t>sem</w:t>
      </w:r>
      <w:r>
        <w:rPr>
          <w:rFonts w:ascii="Times New Roman" w:hAnsi="Times New Roman"/>
          <w:b w:val="0"/>
          <w:i w:val="0"/>
          <w:color w:val="000000"/>
          <w:sz w:val="21"/>
          <w:u w:val="none"/>
        </w:rPr>
        <w:t xml:space="preserve">, </w:t>
      </w:r>
      <w:r>
        <w:rPr>
          <w:rFonts w:ascii="Times New Roman" w:hAnsi="Times New Roman"/>
          <w:b/>
          <w:i w:val="0"/>
          <w:color w:val="000000"/>
          <w:sz w:val="21"/>
          <w:u w:val="none"/>
        </w:rPr>
        <w:t>M</w:t>
      </w:r>
      <w:r>
        <w:rPr>
          <w:rFonts w:ascii="Times New Roman" w:hAnsi="Times New Roman"/>
          <w:b w:val="0"/>
          <w:i w:val="0"/>
          <w:color w:val="000000"/>
          <w:sz w:val="21"/>
          <w:u w:val="none"/>
          <w:vertAlign w:val="subscript"/>
        </w:rPr>
        <w:t>spatial</w:t>
      </w:r>
      <w:r>
        <w:rPr>
          <w:rFonts w:ascii="Times New Roman" w:hAnsi="Times New Roman"/>
          <w:b w:val="0"/>
          <w:i w:val="0"/>
          <w:color w:val="000000"/>
          <w:sz w:val="21"/>
          <w:u w:val="none"/>
        </w:rPr>
        <w:t xml:space="preserve">, and </w:t>
      </w:r>
      <w:r>
        <w:rPr>
          <w:rFonts w:ascii="Times New Roman" w:hAnsi="Times New Roman"/>
          <w:b/>
          <w:i w:val="0"/>
          <w:color w:val="000000"/>
          <w:sz w:val="21"/>
          <w:u w:val="none"/>
        </w:rPr>
        <w:t>A</w:t>
      </w:r>
      <w:r>
        <w:rPr>
          <w:rFonts w:ascii="Times New Roman" w:hAnsi="Times New Roman"/>
          <w:b w:val="0"/>
          <w:i w:val="0"/>
          <w:color w:val="000000"/>
          <w:sz w:val="21"/>
          <w:u w:val="none"/>
          <w:vertAlign w:val="subscript"/>
        </w:rPr>
        <w:t>fused</w:t>
      </w:r>
      <w:r>
        <w:rPr>
          <w:rFonts w:ascii="Times New Roman" w:hAnsi="Times New Roman"/>
          <w:b w:val="0"/>
          <w:i w:val="0"/>
          <w:color w:val="000000"/>
          <w:sz w:val="21"/>
          <w:u w:val="none"/>
        </w:rPr>
        <w:t>, and explain the per-head computation, the aggregation of multi-head outputs, and the precise definition of Normalize(∗), so that the mathematical formulation fully corresponds to the implementation.</w:t>
      </w:r>
    </w:p>
    <w:p w14:paraId="58BF4878">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5342732D">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Thank you for identifying the ambiguity in the IGGA formulation. We have revised the notation to explicitly index the query, key, value, semantic attention, fused attention, and output representations by attention head. We now state that the geometric compatibility matrix is shared across heads, whereas its contribution is controlled by an instruction-conditioned head-specific gate. We have also made the normalization operation after geometric modulation explicit and corrected the inconsistent object indices in the descriptor definition. These revisions align the mathematical description with the implementation and make the information flow through IGGA unambiguous.</w:t>
      </w:r>
    </w:p>
    <w:p w14:paraId="3A077A61"/>
    <w:p w14:paraId="2631CAEB">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2:</w:t>
      </w:r>
    </w:p>
    <w:p w14:paraId="7F089016">
      <w:pPr>
        <w:widowControl/>
        <w:jc w:val="left"/>
        <w:rPr>
          <w:rFonts w:ascii="Times New Roman" w:hAnsi="Times New Roman" w:cs="Times New Roman"/>
          <w:szCs w:val="21"/>
        </w:rPr>
      </w:pPr>
      <w:r>
        <w:rPr>
          <w:rFonts w:ascii="Times New Roman" w:hAnsi="Times New Roman"/>
          <w:b w:val="0"/>
          <w:i w:val="0"/>
          <w:color w:val="000000"/>
          <w:sz w:val="21"/>
          <w:u w:val="none"/>
        </w:rPr>
        <w:t>The relationship between “instruction-aware” and “task-adaptive” should be clarified. The current gating supervision uses task types as priors. The authors should further explain the relationship between task-type supervision and instruction-content-driven routing.</w:t>
      </w:r>
    </w:p>
    <w:p w14:paraId="07D50223">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142DA06A">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this clarification. “Instruction-aware” describes the gate input: a pooled instruction embedding predicts the head-specific coefficients. “Task-adaptive” describes their regulation across task demands. During training, task labels supply soft gate targets, while the language modeling objective also optimizes the gates; these are complementary sources of supervision.</w:t>
      </w:r>
    </w:p>
    <w:p w14:paraId="32B4CCCF">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The new analyses in Section IV-C examine both effects. Removing L</w:t>
      </w:r>
      <w:r>
        <w:rPr>
          <w:rFonts w:ascii="Times New Roman" w:hAnsi="Times New Roman"/>
          <w:b w:val="0"/>
          <w:i w:val="0"/>
          <w:color w:val="3427E1"/>
          <w:sz w:val="21"/>
          <w:u w:val="none"/>
          <w:vertAlign w:val="subscript"/>
        </w:rPr>
        <w:t>gate</w:t>
      </w:r>
      <w:r>
        <w:rPr>
          <w:rFonts w:ascii="Times New Roman" w:hAnsi="Times New Roman"/>
          <w:b w:val="0"/>
          <w:i w:val="0"/>
          <w:color w:val="3427E1"/>
          <w:sz w:val="21"/>
          <w:u w:val="none"/>
        </w:rPr>
        <w:t xml:space="preserve"> lowers ScanRefer Acc@0.5 from 51.1% to 50.9%. Within ScanRefer, mean gates also vary with instruction content despite a shared task prior. These findings support a coarse task prior with finer within-task variation, rather than routing independent of task supervision. See </w:t>
      </w:r>
      <w:r>
        <w:rPr>
          <w:rFonts w:ascii="Times New Roman" w:hAnsi="Times New Roman"/>
          <w:b w:val="0"/>
          <w:i/>
          <w:color w:val="3427E1"/>
          <w:sz w:val="21"/>
          <w:u w:val="none"/>
        </w:rPr>
        <w:t>Gating Granularity and Supervision</w:t>
      </w:r>
      <w:r>
        <w:rPr>
          <w:rFonts w:ascii="Times New Roman" w:hAnsi="Times New Roman"/>
          <w:b w:val="0"/>
          <w:i w:val="0"/>
          <w:color w:val="3427E1"/>
          <w:sz w:val="21"/>
          <w:u w:val="none"/>
        </w:rPr>
        <w:t xml:space="preserve"> and </w:t>
      </w:r>
      <w:r>
        <w:rPr>
          <w:rFonts w:ascii="Times New Roman" w:hAnsi="Times New Roman"/>
          <w:b w:val="0"/>
          <w:i/>
          <w:color w:val="3427E1"/>
          <w:sz w:val="21"/>
          <w:u w:val="none"/>
        </w:rPr>
        <w:t>Within-Task Gate Variation</w:t>
      </w:r>
      <w:r>
        <w:rPr>
          <w:rFonts w:ascii="Times New Roman" w:hAnsi="Times New Roman"/>
          <w:b w:val="0"/>
          <w:i w:val="0"/>
          <w:color w:val="3427E1"/>
          <w:sz w:val="21"/>
          <w:u w:val="none"/>
        </w:rPr>
        <w:t>.</w:t>
      </w:r>
    </w:p>
    <w:p w14:paraId="3DDD2DC3"/>
    <w:p w14:paraId="78AACBF4">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3:</w:t>
      </w:r>
    </w:p>
    <w:p w14:paraId="4EF43690">
      <w:pPr>
        <w:widowControl/>
        <w:jc w:val="left"/>
        <w:rPr>
          <w:rFonts w:ascii="Times New Roman" w:hAnsi="Times New Roman" w:cs="Times New Roman"/>
          <w:szCs w:val="21"/>
        </w:rPr>
      </w:pPr>
      <w:r>
        <w:rPr>
          <w:rFonts w:ascii="Times New Roman" w:hAnsi="Times New Roman"/>
          <w:b w:val="0"/>
          <w:i w:val="0"/>
          <w:color w:val="000000"/>
          <w:sz w:val="21"/>
          <w:u w:val="none"/>
        </w:rPr>
        <w:t>The advantage of the per-head design could be explained more clearly. Table 3 shows that learnable gating outperforms fixed gating, but it does not isolate the contribution of per-head gating from that of a shared scalar gate.</w:t>
      </w:r>
    </w:p>
    <w:p w14:paraId="360C67FE">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2F0D046A">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this suggestion. We added a learnable instruction-conditioned scalar shared by all heads, retaining GATH and the same four-dataset training protocol for all variants. Per-head gating raises ScanRefer Acc@0.5 from 50.6% to 51.1%, Multi3DRefer F1@0.5 from 54.1% to 54.6%, and ScanQA CIDEr from 88.6 to 89.9; Scan2Cap CIDEr@0.5 remains 77.2. Since both gates are learnable and instruction-conditioned, this comparison directly tests head granularity.</w:t>
      </w:r>
    </w:p>
    <w:p w14:paraId="7ECD7FFC">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 xml:space="preserve">The original gating-design ablation was trained on ScanRefer and ScanQA only. The new controlled ablation uses all four datasets jointly, explaining the different reference scores across the two tables. The relevant comparisons are between variants within each training setting. See </w:t>
      </w:r>
      <w:r>
        <w:rPr>
          <w:rFonts w:ascii="Times New Roman" w:hAnsi="Times New Roman"/>
          <w:b w:val="0"/>
          <w:i/>
          <w:color w:val="3427E1"/>
          <w:sz w:val="21"/>
          <w:u w:val="none"/>
        </w:rPr>
        <w:t>Controlled ablation of gating granularity and gate supervision</w:t>
      </w:r>
      <w:r>
        <w:rPr>
          <w:rFonts w:ascii="Times New Roman" w:hAnsi="Times New Roman"/>
          <w:b w:val="0"/>
          <w:i w:val="0"/>
          <w:color w:val="3427E1"/>
          <w:sz w:val="21"/>
          <w:u w:val="none"/>
        </w:rPr>
        <w:t xml:space="preserve"> in Section IV-C.</w:t>
      </w:r>
    </w:p>
    <w:p w14:paraId="40A7EB05"/>
    <w:p w14:paraId="4BE0BD8A">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4:</w:t>
      </w:r>
    </w:p>
    <w:p w14:paraId="5225BFFE">
      <w:pPr>
        <w:widowControl/>
        <w:jc w:val="left"/>
        <w:rPr>
          <w:rFonts w:ascii="Times New Roman" w:hAnsi="Times New Roman" w:cs="Times New Roman"/>
          <w:szCs w:val="21"/>
        </w:rPr>
      </w:pPr>
      <w:r>
        <w:rPr>
          <w:rFonts w:ascii="Times New Roman" w:hAnsi="Times New Roman"/>
          <w:b w:val="0"/>
          <w:i w:val="0"/>
          <w:color w:val="000000"/>
          <w:sz w:val="21"/>
          <w:u w:val="none"/>
        </w:rPr>
        <w:t>The relationship with the underlying framework should be stated more explicitly. The authors should clarify that GeoAnchor3D is built upon a Chat-Scene-style object-level representation framework and more clearly distinguish the proposed method from static fusion approaches.</w:t>
      </w:r>
    </w:p>
    <w:p w14:paraId="2891EB2C">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77D19F66">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this comment. Section III-A now explicitly identifies the inherited Chat-Scene components: object-centric preprocessing, Mask3D proposals, object identifiers, Uni3D and DINOv2 features, and the language-model interface. IGGA adds instruction-conditioned geometric modulation to object–object attention, while GATH adds coordinate supervision to intermediate LLM representations during training. Unlike fixed fusion, IGGA adjusts geometric modulation by instruction and attention head. The contribution is thus defined within the retained object-centric framework.</w:t>
      </w:r>
    </w:p>
    <w:p w14:paraId="4327C665"/>
    <w:p w14:paraId="237C894B">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5:</w:t>
      </w:r>
    </w:p>
    <w:p w14:paraId="3C61B0D9">
      <w:pPr>
        <w:widowControl/>
        <w:jc w:val="left"/>
        <w:rPr>
          <w:rFonts w:ascii="Times New Roman" w:hAnsi="Times New Roman" w:cs="Times New Roman"/>
          <w:szCs w:val="21"/>
        </w:rPr>
      </w:pPr>
      <w:r>
        <w:rPr>
          <w:rFonts w:ascii="Times New Roman" w:hAnsi="Times New Roman"/>
          <w:b w:val="0"/>
          <w:i w:val="0"/>
          <w:color w:val="000000"/>
          <w:sz w:val="21"/>
          <w:u w:val="none"/>
        </w:rPr>
        <w:t>The scope of the conclusions should be appropriately limited. The current evaluation mainly focuses on ScanNet-based indoor scenes and related tasks. The authors should avoid directly extending the conclusions to open-world settings, dynamic environments, or different 3D backbones.</w:t>
      </w:r>
    </w:p>
    <w:p w14:paraId="7C444961">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019EE384">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the conclusions must match the evaluation scope. The revised Introduction and Conclusion restrict the empirical findings to the evaluated ScanNet-based indoor benchmarks. Section V explicitly distinguishes within-domain multi-task adaptation from unseen-task and cross-domain generalization, and lists outdoor environments, dynamic scenes, and different 3D backbones as untested directions.</w:t>
      </w:r>
    </w:p>
    <w:p w14:paraId="0B571219">
      <w:pPr>
        <w:pStyle w:val="3"/>
        <w:keepNext/>
        <w:widowControl/>
        <w:spacing w:before="100" w:beforeAutospacing="1" w:after="100" w:afterAutospacing="1" w:line="360" w:lineRule="auto"/>
        <w:rPr>
          <w:rFonts w:ascii="Times New Roman" w:hAnsi="Times New Roman" w:cs="Times New Roman"/>
          <w:sz w:val="24"/>
          <w:szCs w:val="24"/>
        </w:rPr>
      </w:pPr>
      <w:r>
        <w:rPr>
          <w:rFonts w:ascii="Times New Roman" w:hAnsi="Times New Roman"/>
          <w:b/>
          <w:i w:val="0"/>
          <w:color w:val="000000"/>
          <w:sz w:val="24"/>
          <w:u w:val="none"/>
        </w:rPr>
        <w:t>Response to Reviewer 3</w:t>
      </w:r>
    </w:p>
    <w:p w14:paraId="50A20139">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1:</w:t>
      </w:r>
    </w:p>
    <w:p w14:paraId="28E2F513">
      <w:pPr>
        <w:widowControl/>
        <w:jc w:val="left"/>
        <w:rPr>
          <w:rFonts w:ascii="Times New Roman" w:hAnsi="Times New Roman" w:cs="Times New Roman"/>
          <w:szCs w:val="21"/>
        </w:rPr>
      </w:pPr>
      <w:r>
        <w:rPr>
          <w:rFonts w:ascii="Times New Roman" w:hAnsi="Times New Roman"/>
          <w:b w:val="0"/>
          <w:i w:val="0"/>
          <w:color w:val="000000"/>
          <w:sz w:val="21"/>
          <w:u w:val="none"/>
        </w:rPr>
        <w:t xml:space="preserve">The distinction between “instruction-aware” routing and task-type supervision should be clarified more carefully.The paper emphasizes that IGGA adaptively regulates geometric information according to individual instructions. However, during training, the gating coefficients are explicitly encouraged toward for grounding tasks and for question answering and captioning tasks. </w:t>
      </w:r>
      <w:bookmarkStart w:id="0" w:name="_GoBack"/>
      <w:bookmarkEnd w:id="0"/>
      <w:r>
        <w:rPr>
          <w:rFonts w:ascii="Times New Roman" w:hAnsi="Times New Roman"/>
          <w:b w:val="0"/>
          <w:i w:val="0"/>
          <w:color w:val="000000"/>
          <w:sz w:val="21"/>
          <w:u w:val="none"/>
        </w:rPr>
        <w:t>This raises the question of whether IGGA truly learns fine-grained instruction-level routing, or mainly behaves as an implicit task classifier. The authors are encouraged to include an ablation without L, as well as a finer-grained analysis within the same task category according to instruction spatial complexity.</w:t>
      </w:r>
    </w:p>
    <w:p w14:paraId="17A8C295">
      <w:pPr>
        <w:widowControl/>
        <w:jc w:val="left"/>
        <w:rPr>
          <w:rFonts w:ascii="Times New Roman" w:hAnsi="Times New Roman" w:cs="Times New Roman"/>
          <w:szCs w:val="21"/>
        </w:rPr>
      </w:pPr>
      <w:r>
        <w:rPr>
          <w:rFonts w:ascii="Times New Roman" w:hAnsi="Times New Roman"/>
          <w:b w:val="0"/>
          <w:i/>
          <w:color w:val="000000"/>
          <w:sz w:val="21"/>
          <w:u w:val="none"/>
        </w:rPr>
        <w:t>[Source note: the supplied reviewer comment omits the numerical gate targets and the loss subscript. Check the original review before submission; the missing symbols have not been reconstructed.]</w:t>
      </w:r>
    </w:p>
    <w:p w14:paraId="553C2E97">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596B1FE4">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proposing these two tests. Section IV-C now reports an ablation without L</w:t>
      </w:r>
      <w:r>
        <w:rPr>
          <w:rFonts w:ascii="Times New Roman" w:hAnsi="Times New Roman"/>
          <w:b w:val="0"/>
          <w:i w:val="0"/>
          <w:color w:val="3427E1"/>
          <w:sz w:val="21"/>
          <w:u w:val="none"/>
          <w:vertAlign w:val="subscript"/>
        </w:rPr>
        <w:t>gate</w:t>
      </w:r>
      <w:r>
        <w:rPr>
          <w:rFonts w:ascii="Times New Roman" w:hAnsi="Times New Roman"/>
          <w:b w:val="0"/>
          <w:i w:val="0"/>
          <w:color w:val="3427E1"/>
          <w:sz w:val="21"/>
          <w:u w:val="none"/>
        </w:rPr>
        <w:t xml:space="preserve"> and a within-task analysis grouped by the number of explicit spatial relations.</w:t>
      </w:r>
    </w:p>
    <w:p w14:paraId="739BA2FC">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Without the gate prior, ScanRefer Acc@0.5 and Multi3DRefer F1@0.5 decrease from 51.1%/54.6% to 50.9%/54.4%. ScanQA results are mixed: BLEU-4 increases from 14.2 to 14.3, while CIDEr decreases from 89.9 to 89.7. Thus, the prior provides modest benefits in this comparison, but is not necessary for learning useful gates.</w:t>
      </w:r>
    </w:p>
    <w:p w14:paraId="55AE4138">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Holding the task fixed on ScanRefer, mean gates are 0.8972, 0.8938, and 0.8846 for zero, one, and at least two explicit relations, respectively. This variation rules out a strictly constant task-level gate, but does not by itself prove fine-grained spatial understanding. Gates remain strongly influenced by the grounding prior, and their decrease with relation count should not be interpreted as reduced need for geometry. Retaining more unrestricted semantic attention is a possible explanation, rather than an established causal result.</w:t>
      </w:r>
    </w:p>
    <w:p w14:paraId="185B351E"/>
    <w:p w14:paraId="316A95A9">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2:</w:t>
      </w:r>
    </w:p>
    <w:p w14:paraId="207828F0">
      <w:pPr>
        <w:widowControl/>
        <w:jc w:val="left"/>
        <w:rPr>
          <w:rFonts w:ascii="Times New Roman" w:hAnsi="Times New Roman" w:cs="Times New Roman"/>
          <w:szCs w:val="21"/>
        </w:rPr>
      </w:pPr>
      <w:r>
        <w:rPr>
          <w:rFonts w:ascii="Times New Roman" w:hAnsi="Times New Roman"/>
          <w:b w:val="0"/>
          <w:i w:val="0"/>
          <w:color w:val="000000"/>
          <w:sz w:val="21"/>
          <w:u w:val="none"/>
        </w:rPr>
        <w:t>The ablation of the gating mechanism is insufficient to justify the necessity of per-head gating.Table III mainly compares a fixed (α</w:t>
      </w:r>
      <w:r>
        <w:rPr>
          <w:rFonts w:ascii="Times New Roman" w:hAnsi="Times New Roman"/>
          <w:b w:val="0"/>
          <w:i w:val="0"/>
          <w:color w:val="000000"/>
          <w:sz w:val="21"/>
          <w:u w:val="none"/>
          <w:vertAlign w:val="subscript"/>
        </w:rPr>
        <w:t>h</w:t>
      </w:r>
      <w:r>
        <w:rPr>
          <w:rFonts w:ascii="Times New Roman" w:hAnsi="Times New Roman"/>
          <w:b w:val="0"/>
          <w:i w:val="0"/>
          <w:color w:val="000000"/>
          <w:sz w:val="21"/>
          <w:u w:val="none"/>
        </w:rPr>
        <w:t>=0.5) strategy with learnable gating. However, one of the key methodological claims is that per-head instruction-conditioned gating is superior to coarse or scalar routing. It would therefore be more convincing to compare scalar instruction-conditioned gating, layer-wise gating, and per-head gating under otherwise identical settings. Such experiments would better isolate whether the gain comes from learnability itself or specifically from the proposed per-head design.</w:t>
      </w:r>
    </w:p>
    <w:p w14:paraId="74119A49">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4FD89E3E">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learnability and head granularity should be separated. The new ablation in Section IV-C retains GATH and jointly trains all variants on the four datasets. Per-head gating improves ten of eleven metrics over a dynamic shared scalar and ties Scan2Cap CIDEr@0.5. Both ScanRefer Acc@0.5 and Multi3DRefer F1@0.5 improve by 0.5 percentage points. Unlike this joint-training experiment, the original fixed-versus-learnable gating comparison used only ScanRefer and ScanQA for training; its scores are therefore not directly comparable across tables.</w:t>
      </w:r>
    </w:p>
    <w:p w14:paraId="57D61F14">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The scalar control tests granularity at IGGA's existing pre-LLM insertion point. Layer-wise gating would additionally change the insertion points and architecture, so it is not included in this controlled comparison. Our conclusion concerns per-head versus shared-scalar gating at the same location.</w:t>
      </w:r>
    </w:p>
    <w:p w14:paraId="31E50972"/>
    <w:p w14:paraId="416EF29C">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3:</w:t>
      </w:r>
    </w:p>
    <w:p w14:paraId="10E8A5DE">
      <w:pPr>
        <w:widowControl/>
        <w:jc w:val="left"/>
        <w:rPr>
          <w:rFonts w:ascii="Times New Roman" w:hAnsi="Times New Roman" w:cs="Times New Roman"/>
          <w:szCs w:val="21"/>
        </w:rPr>
      </w:pPr>
      <w:r>
        <w:rPr>
          <w:rFonts w:ascii="Times New Roman" w:hAnsi="Times New Roman"/>
          <w:b w:val="0"/>
          <w:i w:val="0"/>
          <w:color w:val="000000"/>
          <w:sz w:val="21"/>
          <w:u w:val="none"/>
        </w:rPr>
        <w:t>The central motivation of “deep-layer geometric forgetting” lacks sufficiently direct quantitative evidence.The manuscript treats progressive geometric degradation in deeper LLM layers as one of its two major motivating problems, and GATH is explicitly designed to address this issue. However, the current evidence is largely conceptual or indirect. The paper would benefit substantially from layer-wise probing experiments, for example predicting object coordinates, relative positions, or spatial relations from hidden states at different depths. A comparison between the baseline and GeoAnchor3D could directly demonstrate whether geometric information indeed decays with depth and whether GATH alleviates this degradation.</w:t>
      </w:r>
    </w:p>
    <w:p w14:paraId="08A22503">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2474E046">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requesting direct evidence. We added independent linear probes for scene-centered object coordinates at layers 4, 8, 12, 16, 20, 24, 28, and 32 of the frozen models, using the same split of 76 training scenes and 24 held-out test scenes.</w:t>
      </w:r>
    </w:p>
    <w:p w14:paraId="4AC54C74">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GeoAnchor3D obtains lower RMSE and higher mean R</w:t>
      </w:r>
      <w:r>
        <w:rPr>
          <w:rFonts w:ascii="Times New Roman" w:hAnsi="Times New Roman"/>
          <w:b w:val="0"/>
          <w:i w:val="0"/>
          <w:color w:val="3427E1"/>
          <w:sz w:val="21"/>
          <w:u w:val="none"/>
          <w:vertAlign w:val="superscript"/>
        </w:rPr>
        <w:t>2</w:t>
      </w:r>
      <w:r>
        <w:rPr>
          <w:rFonts w:ascii="Times New Roman" w:hAnsi="Times New Roman"/>
          <w:b w:val="0"/>
          <w:i w:val="0"/>
          <w:color w:val="3427E1"/>
          <w:sz w:val="21"/>
          <w:u w:val="none"/>
        </w:rPr>
        <w:t xml:space="preserve"> at all eight depths. Average RMSE decreases from 1.3352 to 1.0609 (20.55%), and mean R</w:t>
      </w:r>
      <w:r>
        <w:rPr>
          <w:rFonts w:ascii="Times New Roman" w:hAnsi="Times New Roman"/>
          <w:b w:val="0"/>
          <w:i w:val="0"/>
          <w:color w:val="3427E1"/>
          <w:sz w:val="21"/>
          <w:u w:val="none"/>
          <w:vertAlign w:val="superscript"/>
        </w:rPr>
        <w:t>2</w:t>
      </w:r>
      <w:r>
        <w:rPr>
          <w:rFonts w:ascii="Times New Roman" w:hAnsi="Times New Roman"/>
          <w:b w:val="0"/>
          <w:i w:val="0"/>
          <w:color w:val="3427E1"/>
          <w:sz w:val="21"/>
          <w:u w:val="none"/>
        </w:rPr>
        <w:t xml:space="preserve"> increases from -0.0066 to 0.2540. At layer 32, R</w:t>
      </w:r>
      <w:r>
        <w:rPr>
          <w:rFonts w:ascii="Times New Roman" w:hAnsi="Times New Roman"/>
          <w:b w:val="0"/>
          <w:i w:val="0"/>
          <w:color w:val="3427E1"/>
          <w:sz w:val="21"/>
          <w:u w:val="none"/>
          <w:vertAlign w:val="superscript"/>
        </w:rPr>
        <w:t>2</w:t>
      </w:r>
      <w:r>
        <w:rPr>
          <w:rFonts w:ascii="Times New Roman" w:hAnsi="Times New Roman"/>
          <w:b w:val="0"/>
          <w:i w:val="0"/>
          <w:color w:val="3427E1"/>
          <w:sz w:val="21"/>
          <w:u w:val="none"/>
        </w:rPr>
        <w:t xml:space="preserve"> is 0.1876 versus -0.0489 for Chat-Scene. These results quantify stronger coordinate recoverability throughout the evaluated hierarchy, including deep layers.</w:t>
      </w:r>
    </w:p>
    <w:p w14:paraId="15DBA109">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The component ablation separately supports GATH's contribution to task performance. The probing experiment evaluates the complete framework and does not isolate GATH or establish strictly monotonic decay. Together, these analyses provide evidence of task benefits and framework-level geometric retention. Both are reported in Section IV-C.</w:t>
      </w:r>
    </w:p>
    <w:p w14:paraId="601B7F94"/>
    <w:p w14:paraId="634B034D">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4:</w:t>
      </w:r>
    </w:p>
    <w:p w14:paraId="259C285A">
      <w:pPr>
        <w:widowControl/>
        <w:jc w:val="left"/>
        <w:rPr>
          <w:rFonts w:ascii="Times New Roman" w:hAnsi="Times New Roman" w:cs="Times New Roman"/>
          <w:szCs w:val="21"/>
        </w:rPr>
      </w:pPr>
      <w:r>
        <w:rPr>
          <w:rFonts w:ascii="Times New Roman" w:hAnsi="Times New Roman"/>
          <w:b w:val="0"/>
          <w:i w:val="0"/>
          <w:color w:val="000000"/>
          <w:sz w:val="21"/>
          <w:u w:val="none"/>
        </w:rPr>
        <w:t>The justification for selecting intermediate layers for GATH should be strengthened.Table IV suggests that layers 17–24 achieve the best overall performance, but the numerical differences among different layer intervals are relatively small. Without variance estimates, it is difficult to determine whether the claimed inverted-U trend is statistically meaningful or simply caused by training fluctuations. Reporting mean and standard deviation over multiple runs, or validating the same phenomenon with another backbone, would provide stronger support for the argument that intermediate layers offer the optimal balance between geometric fidelity and semantic abstraction.</w:t>
      </w:r>
    </w:p>
    <w:p w14:paraId="7B1685DA">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692D071E">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the differences among layer intervals are modest. In Section IV-C, we have replaced the description of an inverted-U trend with the statement that performance varies across the selected layer intervals. Layers 17–24 achieve the highest ScanRefer Acc@0.5 (50.7%) and ScanQA CIDEr (87.9), although not the highest BLEU-4. These results support the selected interval under the evaluated setting.</w:t>
      </w:r>
    </w:p>
    <w:p w14:paraId="3EB37775"/>
    <w:p w14:paraId="02500DAF">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5:</w:t>
      </w:r>
    </w:p>
    <w:p w14:paraId="1B5AEF1F">
      <w:pPr>
        <w:widowControl/>
        <w:jc w:val="left"/>
        <w:rPr>
          <w:rFonts w:ascii="Times New Roman" w:hAnsi="Times New Roman" w:cs="Times New Roman"/>
          <w:szCs w:val="21"/>
        </w:rPr>
      </w:pPr>
      <w:r>
        <w:rPr>
          <w:rFonts w:ascii="Times New Roman" w:hAnsi="Times New Roman"/>
          <w:b w:val="0"/>
          <w:i w:val="0"/>
          <w:color w:val="000000"/>
          <w:sz w:val="21"/>
          <w:u w:val="none"/>
        </w:rPr>
        <w:t>The relatively modest improvements over strong baselines warrant statistical stability analysis.For example, GeoAnchor3D improves ScanRefer Acc@0.5 from 50.2 to 51.1 compared with Chat-Scene, while the ScanQA CIDEr score increases from 87.7 to 89.9. At the same time, BLEU-4 is slightly lower on both ScanQA and Scan2Cap. Given the relatively small margins on several metrics, reporting results over multiple random seeds with mean and standard deviation would help establish whether the improvements consistently exceed normal optimization variance.</w:t>
      </w:r>
    </w:p>
    <w:p w14:paraId="78EE864B">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1216C888">
      <w:pPr>
        <w:widowControl/>
        <w:ind w:firstLine="420"/>
        <w:rPr>
          <w:rFonts w:ascii="Times New Roman" w:hAnsi="Times New Roman" w:cs="Times New Roman"/>
          <w:color w:val="3427E1"/>
          <w:szCs w:val="21"/>
        </w:rPr>
      </w:pPr>
      <w:r>
        <w:rPr>
          <w:rFonts w:ascii="Times New Roman" w:hAnsi="Times New Roman"/>
          <w:b w:val="0"/>
          <w:i/>
          <w:color w:val="3427E1"/>
          <w:sz w:val="21"/>
          <w:u w:val="none"/>
        </w:rPr>
        <w:t>[Response pending: results over multiple random seeds are not provided in the current materials. The final response should report mean and standard deviation and retain the lower BLEU-4 results on ScanQA and Scan2Cap.]</w:t>
      </w:r>
    </w:p>
    <w:p w14:paraId="07725C21"/>
    <w:p w14:paraId="5CA0D702">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6:</w:t>
      </w:r>
    </w:p>
    <w:p w14:paraId="0F70167F">
      <w:pPr>
        <w:widowControl/>
        <w:jc w:val="left"/>
        <w:rPr>
          <w:rFonts w:ascii="Times New Roman" w:hAnsi="Times New Roman" w:cs="Times New Roman"/>
          <w:szCs w:val="21"/>
        </w:rPr>
      </w:pPr>
      <w:r>
        <w:rPr>
          <w:rFonts w:ascii="Times New Roman" w:hAnsi="Times New Roman"/>
          <w:b w:val="0"/>
          <w:i w:val="0"/>
          <w:color w:val="000000"/>
          <w:sz w:val="21"/>
          <w:u w:val="none"/>
        </w:rPr>
        <w:t>The claim of task-adaptive generalization is stronger than what is currently demonstrated.The evaluation covers grounding, question answering, and dense captioning, which is certainly broader than a single-task setting. However, these task categories are also included during training, so the experiments mainly demonstrate multi-task adaptation rather than genuine unseen-task generalization. A held-out-task experiment, where one task type is excluded during training and evaluated only at test time, would more directly support the claimed cross-task generalization ability.</w:t>
      </w:r>
    </w:p>
    <w:p w14:paraId="2E865936">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2EA500B8">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evaluating task families included in training does not establish unseen-task generalization. No held-out-task experiment is included in this revision. Section V now explicitly characterizes the results as within-domain multi-task adaptation and identifies held-out-task evaluation as future work. The Conclusion likewise excludes generalization to unseen task families from the supported claims.</w:t>
      </w:r>
    </w:p>
    <w:p w14:paraId="69B32610"/>
    <w:p w14:paraId="09856247">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7:</w:t>
      </w:r>
    </w:p>
    <w:p w14:paraId="3B4D2FE3">
      <w:pPr>
        <w:widowControl/>
        <w:jc w:val="left"/>
        <w:rPr>
          <w:rFonts w:ascii="Times New Roman" w:hAnsi="Times New Roman" w:cs="Times New Roman"/>
          <w:szCs w:val="21"/>
        </w:rPr>
      </w:pPr>
      <w:r>
        <w:rPr>
          <w:rFonts w:ascii="Times New Roman" w:hAnsi="Times New Roman"/>
          <w:b w:val="0"/>
          <w:i w:val="0"/>
          <w:color w:val="000000"/>
          <w:sz w:val="21"/>
          <w:u w:val="none"/>
        </w:rPr>
        <w:t>Domain generalization emains insufficiently evaluated because all four benchmarks are ScanNet-based.The manuscript evaluates ScanRefer, Multi3DRefer, ScanQA, and Scan2Cap, all of which are built upon ScanNet. Although these datasets represent different tasks, they do not provide strong evidence of scene-domain generalization. Since the proposed method explicitly relies on geometric relationships, evaluation on at least one dataset from a different 3D scene distribution would significantly strengthen the generalization claim. Otherwise, the manuscript should narrow its wording to multi-task generalization within the ScanNet domain.</w:t>
      </w:r>
    </w:p>
    <w:p w14:paraId="5D544C40">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0DB6DFD3">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task diversity and scene-domain diversity are different. The Datasets paragraph in Section IV-A now states that all four benchmarks share the ScanNet indoor-scene distribution. Accordingly, the Introduction and Conclusion limit the findings to this domain, and Section V identifies cross-domain evaluation as future work. No experiment on a different scene distribution is included in the current revision.</w:t>
      </w:r>
    </w:p>
    <w:p w14:paraId="5CDDA6F3"/>
    <w:p w14:paraId="0FC202E5">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8:</w:t>
      </w:r>
    </w:p>
    <w:p w14:paraId="24125345">
      <w:pPr>
        <w:widowControl/>
        <w:jc w:val="left"/>
        <w:rPr>
          <w:rFonts w:ascii="Times New Roman" w:hAnsi="Times New Roman" w:cs="Times New Roman"/>
          <w:szCs w:val="21"/>
        </w:rPr>
      </w:pPr>
      <w:r>
        <w:rPr>
          <w:rFonts w:ascii="Times New Roman" w:hAnsi="Times New Roman"/>
          <w:b w:val="0"/>
          <w:i w:val="0"/>
          <w:color w:val="000000"/>
          <w:sz w:val="21"/>
          <w:u w:val="none"/>
        </w:rPr>
        <w:t>The statement regarding “no additional inference overhead” should be made more precise.It is correct that GATH is used only during training and therefore introduces no inference-time cost. However, IGGA remains active during inference and involves the gating network, pairwise spatial masks, and additional attention-based fusion. Therefore, the manuscript should distinguish between “GATH introduces no inference overhead” and “GeoAnchor3D introduces no inference overhead.” The authors should ideally report parameter count, FLOPs, latency, GPU memory usage, or throughput to quantify the actual computational cost of IGGA.</w:t>
      </w:r>
    </w:p>
    <w:p w14:paraId="64BFF9C0">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0CC17E05">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the zero-inference-overhead statement applies specifically to GATH, which is discarded at inference; IGGA remains active. Section IV-C reports 14.71M additional parameters (+0.216%) for the framework and peak allocated inference memory of 14.145 GiB versus 14.090 GiB for Chat-Scene (+0.39%).</w:t>
      </w:r>
    </w:p>
    <w:p w14:paraId="66285BD6">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Both models are benchmarked with the same inputs and inference configuration: one RTX 3090, batch size 1, FlashAttention-2, and greedy generation of exactly 32 tokens. Measured latency is 1993.78 ms for GeoAnchor3D and 2491.18 ms for Chat-Scene. We report this as a measured result under the controlled benchmark, not an inherent acceleration property of IGGA. Thus, the framework incurs additional parameters and memory, while no latency penalty is observed in this setting.</w:t>
      </w:r>
    </w:p>
    <w:p w14:paraId="3AEDFACA"/>
    <w:p w14:paraId="22B95787">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9:</w:t>
      </w:r>
    </w:p>
    <w:p w14:paraId="47A5AB52">
      <w:pPr>
        <w:widowControl/>
        <w:jc w:val="left"/>
        <w:rPr>
          <w:rFonts w:ascii="Times New Roman" w:hAnsi="Times New Roman" w:cs="Times New Roman"/>
          <w:szCs w:val="21"/>
        </w:rPr>
      </w:pPr>
      <w:r>
        <w:rPr>
          <w:rFonts w:ascii="Times New Roman" w:hAnsi="Times New Roman"/>
          <w:b w:val="0"/>
          <w:i w:val="0"/>
          <w:color w:val="000000"/>
          <w:sz w:val="21"/>
          <w:u w:val="none"/>
        </w:rPr>
        <w:t>The dependence on Mask3D proposals deserves more systematic robustness analysis.The entire framework relies on 100 object proposals extracted by Mask3D, followed by Uni3D and DINOv2 feature encoding. The authors also acknowledge that proposal quality may become a bottleneck in cluttered, occluded, or open-world environments. It would be useful to evaluate the method under different proposal qualities, for example using ground-truth proposals, alternative proposal generators, or artificially perturbed bounding boxes. Such experiments would reveal whether the gains of IGGA and GATH remain robust when the upstream detector is imperfect.</w:t>
      </w:r>
    </w:p>
    <w:p w14:paraId="670097C5">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2159BDE4">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these suggestions. The experiments retain Chat-Scene's predicted Mask3D proposals so that the comparison evaluates the proposed reasoning modules under a fixed upstream detector. This tests whether IGGA and GATH provide benefits with the same imperfect object inputs, without confounding those benefits with changes in proposal generation.</w:t>
      </w:r>
    </w:p>
    <w:p w14:paraId="41B3D8C6">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It does not establish robustness across detector qualities. Section V explicitly acknowledges missed, severely fragmented, and merged proposals as limitations of downstream reasoning. Oracle proposals, alternative detectors, and box perturbations would characterize this separate robustness dimension; these experiments are not included, and our claims remain confined to the shared Mask3D setting.</w:t>
      </w:r>
    </w:p>
    <w:p w14:paraId="108BC84C"/>
    <w:p w14:paraId="7A81C2EA">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10:</w:t>
      </w:r>
    </w:p>
    <w:p w14:paraId="3F965EE8">
      <w:pPr>
        <w:widowControl/>
        <w:jc w:val="left"/>
        <w:rPr>
          <w:rFonts w:ascii="Times New Roman" w:hAnsi="Times New Roman" w:cs="Times New Roman"/>
          <w:szCs w:val="21"/>
        </w:rPr>
      </w:pPr>
      <w:r>
        <w:rPr>
          <w:rFonts w:ascii="Times New Roman" w:hAnsi="Times New Roman"/>
          <w:b w:val="0"/>
          <w:i w:val="0"/>
          <w:color w:val="000000"/>
          <w:sz w:val="21"/>
          <w:u w:val="none"/>
        </w:rPr>
        <w:t>The evidence for topology preservation in GATH should not rely primarily on t-SNE visualization.Figure 8 shows that intermediate-layer representations exhibit clustering patterns related to physical X-axis positions, and this is used as evidence that GATH preserves spatial topology. However, t-SNE is designed mainly for visualization and does not reliably preserve global distances. Quantitative measurements would make this claim much stronger, such as the Spearman correlation between hidden-space distances and physical 3D distances, neighborhood-preservation metrics, relative-position probing accuracy, or linear-probe comparisons between the baseline and GATH-enabled models.</w:t>
      </w:r>
    </w:p>
    <w:p w14:paraId="6D83B8DF">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68BC72D2">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t-SNE should serve as qualitative support rather than a quantitative test of topology preservation. Section IV-C now provides linear coordinate probes: GeoAnchor3D improves RMSE and mean R</w:t>
      </w:r>
      <w:r>
        <w:rPr>
          <w:rFonts w:ascii="Times New Roman" w:hAnsi="Times New Roman"/>
          <w:b w:val="0"/>
          <w:i w:val="0"/>
          <w:color w:val="3427E1"/>
          <w:sz w:val="21"/>
          <w:u w:val="none"/>
          <w:vertAlign w:val="superscript"/>
        </w:rPr>
        <w:t>2</w:t>
      </w:r>
      <w:r>
        <w:rPr>
          <w:rFonts w:ascii="Times New Roman" w:hAnsi="Times New Roman"/>
          <w:b w:val="0"/>
          <w:i w:val="0"/>
          <w:color w:val="3427E1"/>
          <w:sz w:val="21"/>
          <w:u w:val="none"/>
        </w:rPr>
        <w:t xml:space="preserve"> at every evaluated depth, with average R</w:t>
      </w:r>
      <w:r>
        <w:rPr>
          <w:rFonts w:ascii="Times New Roman" w:hAnsi="Times New Roman"/>
          <w:b w:val="0"/>
          <w:i w:val="0"/>
          <w:color w:val="3427E1"/>
          <w:sz w:val="21"/>
          <w:u w:val="none"/>
          <w:vertAlign w:val="superscript"/>
        </w:rPr>
        <w:t>2</w:t>
      </w:r>
      <w:r>
        <w:rPr>
          <w:rFonts w:ascii="Times New Roman" w:hAnsi="Times New Roman"/>
          <w:b w:val="0"/>
          <w:i w:val="0"/>
          <w:color w:val="3427E1"/>
          <w:sz w:val="21"/>
          <w:u w:val="none"/>
        </w:rPr>
        <w:t xml:space="preserve"> increasing from -0.0066 to 0.2540. This directly measures coordinate recoverability. The component ablation addresses GATH's task contribution separately; neither analysis is presented as an isolated test of GATH's global-distance preservation.</w:t>
      </w:r>
    </w:p>
    <w:p w14:paraId="3005D576">
      <w:pPr>
        <w:widowControl/>
        <w:ind w:firstLine="420"/>
        <w:rPr>
          <w:rFonts w:ascii="Times New Roman" w:hAnsi="Times New Roman" w:cs="Times New Roman"/>
          <w:color w:val="3427E1"/>
          <w:szCs w:val="21"/>
        </w:rPr>
      </w:pPr>
      <w:r>
        <w:rPr>
          <w:rFonts w:ascii="Times New Roman" w:hAnsi="Times New Roman"/>
          <w:b w:val="0"/>
          <w:i/>
          <w:color w:val="3427E1"/>
          <w:sz w:val="21"/>
          <w:u w:val="none"/>
        </w:rPr>
        <w:t>[Manuscript alignment pending: describe the t-SNE pattern in Section IV-D as a qualitative association with physical coordinates and refer to the probes for quantitative framework-level evidence.]</w:t>
      </w:r>
    </w:p>
    <w:p w14:paraId="2B4867B7"/>
    <w:p w14:paraId="60B7BD00">
      <w:pPr>
        <w:keepNext/>
        <w:widowControl/>
        <w:rPr>
          <w:rFonts w:ascii="Times New Roman" w:hAnsi="Times New Roman" w:cs="Times New Roman"/>
          <w:color w:val="000000" w:themeColor="text1"/>
          <w:szCs w:val="21"/>
          <w14:textFill>
            <w14:solidFill>
              <w14:schemeClr w14:val="tx1"/>
            </w14:solidFill>
          </w14:textFill>
        </w:rPr>
      </w:pPr>
      <w:r>
        <w:rPr>
          <w:rFonts w:ascii="Times New Roman" w:hAnsi="Times New Roman"/>
          <w:b/>
          <w:i w:val="0"/>
          <w:color w:val="000000"/>
          <w:sz w:val="21"/>
          <w:u w:val="single"/>
        </w:rPr>
        <w:t>Comment 11:</w:t>
      </w:r>
    </w:p>
    <w:p w14:paraId="656B8816">
      <w:pPr>
        <w:widowControl/>
        <w:jc w:val="left"/>
        <w:rPr>
          <w:rFonts w:ascii="Times New Roman" w:hAnsi="Times New Roman" w:cs="Times New Roman"/>
          <w:szCs w:val="21"/>
        </w:rPr>
      </w:pPr>
      <w:r>
        <w:rPr>
          <w:rFonts w:ascii="Times New Roman" w:hAnsi="Times New Roman"/>
          <w:b w:val="0"/>
          <w:i w:val="0"/>
          <w:color w:val="000000"/>
          <w:sz w:val="21"/>
          <w:u w:val="none"/>
        </w:rPr>
        <w:t>The current references are authoritative; however, the proportion of recent literature is relatively low. It is recommended to incorporate more up-to-date studies published in 2025–2026, particularly from leading conferences and journals such as TGRS, ISPRS. For example: https://doi.org/10.1016/j.jag.2026.105251 ; https://doi.org/10.1016/j.isprsjprs.2026.06.041; https://doi.org/10.1016/j.isprsjprs.2026.06.023.</w:t>
      </w:r>
    </w:p>
    <w:p w14:paraId="447F54A2">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14:paraId="65200C63">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these recommendations. The three suggested studies have been added to Section II-A, extending the discussion of spatial structure to terrain matching, cross-sensor correspondence, and DEM reconstruction. They provide broader geometric context; GeoAnchor3D focuses on instruction-conditioned object interaction for indoor multimodal scene understanding.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593"/>
    <w:rsid w:val="00000BF9"/>
    <w:rsid w:val="00003383"/>
    <w:rsid w:val="00007CDA"/>
    <w:rsid w:val="00022563"/>
    <w:rsid w:val="00024416"/>
    <w:rsid w:val="000273EF"/>
    <w:rsid w:val="0002752A"/>
    <w:rsid w:val="00027789"/>
    <w:rsid w:val="00031E26"/>
    <w:rsid w:val="00034747"/>
    <w:rsid w:val="000364C0"/>
    <w:rsid w:val="00042978"/>
    <w:rsid w:val="00053160"/>
    <w:rsid w:val="00054D3B"/>
    <w:rsid w:val="00055C1D"/>
    <w:rsid w:val="00060A06"/>
    <w:rsid w:val="00067EDB"/>
    <w:rsid w:val="000731A7"/>
    <w:rsid w:val="00075A78"/>
    <w:rsid w:val="00077B82"/>
    <w:rsid w:val="00095EEB"/>
    <w:rsid w:val="000A38FB"/>
    <w:rsid w:val="000A669D"/>
    <w:rsid w:val="000B35F9"/>
    <w:rsid w:val="000C652B"/>
    <w:rsid w:val="000D3CA6"/>
    <w:rsid w:val="000D67AE"/>
    <w:rsid w:val="000D77F2"/>
    <w:rsid w:val="000D7E96"/>
    <w:rsid w:val="000E06F8"/>
    <w:rsid w:val="000F6BB5"/>
    <w:rsid w:val="001006D5"/>
    <w:rsid w:val="00101308"/>
    <w:rsid w:val="001102F9"/>
    <w:rsid w:val="00111971"/>
    <w:rsid w:val="00113652"/>
    <w:rsid w:val="00122A7C"/>
    <w:rsid w:val="00124EB3"/>
    <w:rsid w:val="00127A36"/>
    <w:rsid w:val="00130396"/>
    <w:rsid w:val="00137652"/>
    <w:rsid w:val="00140728"/>
    <w:rsid w:val="00140F37"/>
    <w:rsid w:val="00141657"/>
    <w:rsid w:val="00142BFD"/>
    <w:rsid w:val="00150999"/>
    <w:rsid w:val="001522F5"/>
    <w:rsid w:val="00152624"/>
    <w:rsid w:val="0015286B"/>
    <w:rsid w:val="00155F59"/>
    <w:rsid w:val="001572F5"/>
    <w:rsid w:val="00157E12"/>
    <w:rsid w:val="0016436E"/>
    <w:rsid w:val="001721E6"/>
    <w:rsid w:val="0017377E"/>
    <w:rsid w:val="00180BCA"/>
    <w:rsid w:val="001876A0"/>
    <w:rsid w:val="001947AF"/>
    <w:rsid w:val="001968A1"/>
    <w:rsid w:val="0019720E"/>
    <w:rsid w:val="001A62E3"/>
    <w:rsid w:val="001B1BF9"/>
    <w:rsid w:val="001B7258"/>
    <w:rsid w:val="001C5530"/>
    <w:rsid w:val="001C6E50"/>
    <w:rsid w:val="001D48C4"/>
    <w:rsid w:val="001E0011"/>
    <w:rsid w:val="001E1CFA"/>
    <w:rsid w:val="001E3CCA"/>
    <w:rsid w:val="001F0047"/>
    <w:rsid w:val="001F1DD2"/>
    <w:rsid w:val="001F4DEB"/>
    <w:rsid w:val="00200F15"/>
    <w:rsid w:val="00202047"/>
    <w:rsid w:val="002067E8"/>
    <w:rsid w:val="00211C47"/>
    <w:rsid w:val="002167E4"/>
    <w:rsid w:val="00222C14"/>
    <w:rsid w:val="0022599F"/>
    <w:rsid w:val="00225BF0"/>
    <w:rsid w:val="002348E8"/>
    <w:rsid w:val="00243730"/>
    <w:rsid w:val="002446BE"/>
    <w:rsid w:val="00244D1C"/>
    <w:rsid w:val="00245757"/>
    <w:rsid w:val="002531E2"/>
    <w:rsid w:val="00263AFA"/>
    <w:rsid w:val="0028252E"/>
    <w:rsid w:val="0028345E"/>
    <w:rsid w:val="00292C4C"/>
    <w:rsid w:val="00292E9C"/>
    <w:rsid w:val="00296BEC"/>
    <w:rsid w:val="0029716B"/>
    <w:rsid w:val="002A6436"/>
    <w:rsid w:val="002A6D2D"/>
    <w:rsid w:val="002B18A6"/>
    <w:rsid w:val="002B404C"/>
    <w:rsid w:val="002B7C9F"/>
    <w:rsid w:val="002D2566"/>
    <w:rsid w:val="002D65E9"/>
    <w:rsid w:val="002E4623"/>
    <w:rsid w:val="002E542E"/>
    <w:rsid w:val="002F0529"/>
    <w:rsid w:val="002F205C"/>
    <w:rsid w:val="002F5F5D"/>
    <w:rsid w:val="00303F55"/>
    <w:rsid w:val="0030731B"/>
    <w:rsid w:val="003109E0"/>
    <w:rsid w:val="00314B91"/>
    <w:rsid w:val="00316BEA"/>
    <w:rsid w:val="003173F1"/>
    <w:rsid w:val="00322019"/>
    <w:rsid w:val="003268B6"/>
    <w:rsid w:val="0034038C"/>
    <w:rsid w:val="00341A8A"/>
    <w:rsid w:val="00341AEE"/>
    <w:rsid w:val="003422BB"/>
    <w:rsid w:val="00342BB0"/>
    <w:rsid w:val="00357BE1"/>
    <w:rsid w:val="003630CA"/>
    <w:rsid w:val="00363C85"/>
    <w:rsid w:val="00364C2A"/>
    <w:rsid w:val="003676BA"/>
    <w:rsid w:val="003719CD"/>
    <w:rsid w:val="00374A91"/>
    <w:rsid w:val="00375A9C"/>
    <w:rsid w:val="00392FD7"/>
    <w:rsid w:val="00394AB1"/>
    <w:rsid w:val="003977E8"/>
    <w:rsid w:val="003B042C"/>
    <w:rsid w:val="003C02DB"/>
    <w:rsid w:val="003C1B77"/>
    <w:rsid w:val="003D0824"/>
    <w:rsid w:val="003D10BA"/>
    <w:rsid w:val="003D119E"/>
    <w:rsid w:val="003D173A"/>
    <w:rsid w:val="003D7B29"/>
    <w:rsid w:val="003E2392"/>
    <w:rsid w:val="003E5E40"/>
    <w:rsid w:val="003F156B"/>
    <w:rsid w:val="00406050"/>
    <w:rsid w:val="004072F2"/>
    <w:rsid w:val="00407460"/>
    <w:rsid w:val="004075C7"/>
    <w:rsid w:val="004124A9"/>
    <w:rsid w:val="0042422C"/>
    <w:rsid w:val="00433943"/>
    <w:rsid w:val="004341E7"/>
    <w:rsid w:val="0044697E"/>
    <w:rsid w:val="004477F1"/>
    <w:rsid w:val="00450D9E"/>
    <w:rsid w:val="004528A3"/>
    <w:rsid w:val="00455399"/>
    <w:rsid w:val="00475800"/>
    <w:rsid w:val="00476A54"/>
    <w:rsid w:val="00481B32"/>
    <w:rsid w:val="00484205"/>
    <w:rsid w:val="00486622"/>
    <w:rsid w:val="004A286D"/>
    <w:rsid w:val="004A4676"/>
    <w:rsid w:val="004B7AA3"/>
    <w:rsid w:val="004C5DF6"/>
    <w:rsid w:val="004D2BE5"/>
    <w:rsid w:val="004D3A56"/>
    <w:rsid w:val="004D414B"/>
    <w:rsid w:val="004D5867"/>
    <w:rsid w:val="004E3EFA"/>
    <w:rsid w:val="004F39FF"/>
    <w:rsid w:val="004F4645"/>
    <w:rsid w:val="004F4C23"/>
    <w:rsid w:val="004F66E1"/>
    <w:rsid w:val="004F681E"/>
    <w:rsid w:val="004F7D08"/>
    <w:rsid w:val="00503627"/>
    <w:rsid w:val="00534F54"/>
    <w:rsid w:val="00552463"/>
    <w:rsid w:val="00555629"/>
    <w:rsid w:val="0055641E"/>
    <w:rsid w:val="00560928"/>
    <w:rsid w:val="005721C3"/>
    <w:rsid w:val="00574231"/>
    <w:rsid w:val="005812C9"/>
    <w:rsid w:val="00581466"/>
    <w:rsid w:val="00581AC5"/>
    <w:rsid w:val="00582BB6"/>
    <w:rsid w:val="00586B7F"/>
    <w:rsid w:val="00590283"/>
    <w:rsid w:val="00592402"/>
    <w:rsid w:val="0059344E"/>
    <w:rsid w:val="0059387A"/>
    <w:rsid w:val="005A393A"/>
    <w:rsid w:val="005A6678"/>
    <w:rsid w:val="005C7425"/>
    <w:rsid w:val="005E29B0"/>
    <w:rsid w:val="005E7B5E"/>
    <w:rsid w:val="005F1788"/>
    <w:rsid w:val="005F188F"/>
    <w:rsid w:val="0060786C"/>
    <w:rsid w:val="00610A0F"/>
    <w:rsid w:val="00614807"/>
    <w:rsid w:val="00621D71"/>
    <w:rsid w:val="00622425"/>
    <w:rsid w:val="00625E8B"/>
    <w:rsid w:val="00627304"/>
    <w:rsid w:val="00633466"/>
    <w:rsid w:val="00633A01"/>
    <w:rsid w:val="0063495C"/>
    <w:rsid w:val="006412FD"/>
    <w:rsid w:val="00641EAC"/>
    <w:rsid w:val="00643DFC"/>
    <w:rsid w:val="00644BBC"/>
    <w:rsid w:val="006547A3"/>
    <w:rsid w:val="00654F42"/>
    <w:rsid w:val="006726E4"/>
    <w:rsid w:val="006727DC"/>
    <w:rsid w:val="00672F7F"/>
    <w:rsid w:val="00675233"/>
    <w:rsid w:val="006758E2"/>
    <w:rsid w:val="00676D8C"/>
    <w:rsid w:val="00681BC4"/>
    <w:rsid w:val="006872DC"/>
    <w:rsid w:val="00696980"/>
    <w:rsid w:val="006A5B96"/>
    <w:rsid w:val="006B0455"/>
    <w:rsid w:val="006B5B96"/>
    <w:rsid w:val="006B659D"/>
    <w:rsid w:val="006B7E02"/>
    <w:rsid w:val="006C3728"/>
    <w:rsid w:val="006C445F"/>
    <w:rsid w:val="006C5AA7"/>
    <w:rsid w:val="006C6AFD"/>
    <w:rsid w:val="006D0BC6"/>
    <w:rsid w:val="006D2F46"/>
    <w:rsid w:val="006D68C2"/>
    <w:rsid w:val="006E3431"/>
    <w:rsid w:val="006F4D59"/>
    <w:rsid w:val="006F5598"/>
    <w:rsid w:val="006F69E7"/>
    <w:rsid w:val="007021BF"/>
    <w:rsid w:val="00702F20"/>
    <w:rsid w:val="00707593"/>
    <w:rsid w:val="00711943"/>
    <w:rsid w:val="00715946"/>
    <w:rsid w:val="00715C76"/>
    <w:rsid w:val="007206AA"/>
    <w:rsid w:val="00720C7C"/>
    <w:rsid w:val="007247F1"/>
    <w:rsid w:val="0073418F"/>
    <w:rsid w:val="00744FB3"/>
    <w:rsid w:val="007456A3"/>
    <w:rsid w:val="007458D7"/>
    <w:rsid w:val="007511FF"/>
    <w:rsid w:val="00751271"/>
    <w:rsid w:val="00756E8B"/>
    <w:rsid w:val="007618BB"/>
    <w:rsid w:val="00764F54"/>
    <w:rsid w:val="00772BC1"/>
    <w:rsid w:val="007770E6"/>
    <w:rsid w:val="00782097"/>
    <w:rsid w:val="00782CD7"/>
    <w:rsid w:val="007855AD"/>
    <w:rsid w:val="00786EC7"/>
    <w:rsid w:val="007A06AE"/>
    <w:rsid w:val="007A3D93"/>
    <w:rsid w:val="007A4789"/>
    <w:rsid w:val="007B03B0"/>
    <w:rsid w:val="007B0D32"/>
    <w:rsid w:val="007B1399"/>
    <w:rsid w:val="007B19A4"/>
    <w:rsid w:val="007B4DC1"/>
    <w:rsid w:val="007C0FB1"/>
    <w:rsid w:val="007C1913"/>
    <w:rsid w:val="007C7848"/>
    <w:rsid w:val="007D008A"/>
    <w:rsid w:val="007D46B4"/>
    <w:rsid w:val="007E5776"/>
    <w:rsid w:val="007F3927"/>
    <w:rsid w:val="007F3BD3"/>
    <w:rsid w:val="007F54D7"/>
    <w:rsid w:val="007F7F34"/>
    <w:rsid w:val="00802E25"/>
    <w:rsid w:val="00803DDC"/>
    <w:rsid w:val="0080518C"/>
    <w:rsid w:val="00811308"/>
    <w:rsid w:val="00811DB0"/>
    <w:rsid w:val="0081741E"/>
    <w:rsid w:val="008328E2"/>
    <w:rsid w:val="00832B22"/>
    <w:rsid w:val="0084606D"/>
    <w:rsid w:val="00846364"/>
    <w:rsid w:val="00853128"/>
    <w:rsid w:val="0085572D"/>
    <w:rsid w:val="00863826"/>
    <w:rsid w:val="0086662E"/>
    <w:rsid w:val="00871DAF"/>
    <w:rsid w:val="00872E38"/>
    <w:rsid w:val="008838D0"/>
    <w:rsid w:val="00886F2C"/>
    <w:rsid w:val="008936F2"/>
    <w:rsid w:val="008941FB"/>
    <w:rsid w:val="008A31A7"/>
    <w:rsid w:val="008A35B1"/>
    <w:rsid w:val="008A54D8"/>
    <w:rsid w:val="008B2728"/>
    <w:rsid w:val="008B27A8"/>
    <w:rsid w:val="008B5999"/>
    <w:rsid w:val="008B6960"/>
    <w:rsid w:val="008B702F"/>
    <w:rsid w:val="008C0098"/>
    <w:rsid w:val="008C0964"/>
    <w:rsid w:val="008C227A"/>
    <w:rsid w:val="008C36EA"/>
    <w:rsid w:val="008D3BE0"/>
    <w:rsid w:val="008E08DD"/>
    <w:rsid w:val="008F1B81"/>
    <w:rsid w:val="008F2D89"/>
    <w:rsid w:val="008F5E02"/>
    <w:rsid w:val="008F7677"/>
    <w:rsid w:val="0090690B"/>
    <w:rsid w:val="00910002"/>
    <w:rsid w:val="00910224"/>
    <w:rsid w:val="00911741"/>
    <w:rsid w:val="00915D84"/>
    <w:rsid w:val="00920211"/>
    <w:rsid w:val="00923864"/>
    <w:rsid w:val="00927336"/>
    <w:rsid w:val="00927AF5"/>
    <w:rsid w:val="00934A70"/>
    <w:rsid w:val="00935B7E"/>
    <w:rsid w:val="00936722"/>
    <w:rsid w:val="009379A9"/>
    <w:rsid w:val="00940AB6"/>
    <w:rsid w:val="0094218D"/>
    <w:rsid w:val="00950E12"/>
    <w:rsid w:val="0095720B"/>
    <w:rsid w:val="0095738B"/>
    <w:rsid w:val="00962A6C"/>
    <w:rsid w:val="00964F4E"/>
    <w:rsid w:val="00972C15"/>
    <w:rsid w:val="00974026"/>
    <w:rsid w:val="009773DF"/>
    <w:rsid w:val="0097760B"/>
    <w:rsid w:val="009A1D2B"/>
    <w:rsid w:val="009A63E8"/>
    <w:rsid w:val="009B12B0"/>
    <w:rsid w:val="009B2CBA"/>
    <w:rsid w:val="009C3C72"/>
    <w:rsid w:val="009D1DB2"/>
    <w:rsid w:val="009D5931"/>
    <w:rsid w:val="009E0020"/>
    <w:rsid w:val="009E18B8"/>
    <w:rsid w:val="009E2A66"/>
    <w:rsid w:val="009E2A6B"/>
    <w:rsid w:val="009E39A7"/>
    <w:rsid w:val="009E527D"/>
    <w:rsid w:val="009E688C"/>
    <w:rsid w:val="009E7B70"/>
    <w:rsid w:val="009F5EA7"/>
    <w:rsid w:val="009F6025"/>
    <w:rsid w:val="00A156F6"/>
    <w:rsid w:val="00A17C72"/>
    <w:rsid w:val="00A2363B"/>
    <w:rsid w:val="00A25369"/>
    <w:rsid w:val="00A32EE5"/>
    <w:rsid w:val="00A37AC8"/>
    <w:rsid w:val="00A4004B"/>
    <w:rsid w:val="00A4213E"/>
    <w:rsid w:val="00A42536"/>
    <w:rsid w:val="00A44BAB"/>
    <w:rsid w:val="00A51AB9"/>
    <w:rsid w:val="00A6321C"/>
    <w:rsid w:val="00A707A7"/>
    <w:rsid w:val="00A72C57"/>
    <w:rsid w:val="00A73FEA"/>
    <w:rsid w:val="00A803CF"/>
    <w:rsid w:val="00A8412F"/>
    <w:rsid w:val="00A85645"/>
    <w:rsid w:val="00A870A2"/>
    <w:rsid w:val="00A9352C"/>
    <w:rsid w:val="00A95023"/>
    <w:rsid w:val="00AA4E0A"/>
    <w:rsid w:val="00AA56ED"/>
    <w:rsid w:val="00AA5B42"/>
    <w:rsid w:val="00AA70CB"/>
    <w:rsid w:val="00AB0385"/>
    <w:rsid w:val="00AB0428"/>
    <w:rsid w:val="00AB0E4A"/>
    <w:rsid w:val="00AB2054"/>
    <w:rsid w:val="00AB76B8"/>
    <w:rsid w:val="00AC47E8"/>
    <w:rsid w:val="00AC7D72"/>
    <w:rsid w:val="00AD0218"/>
    <w:rsid w:val="00AD0E8A"/>
    <w:rsid w:val="00AD2037"/>
    <w:rsid w:val="00AD2098"/>
    <w:rsid w:val="00AE1C45"/>
    <w:rsid w:val="00AE77D1"/>
    <w:rsid w:val="00AF0761"/>
    <w:rsid w:val="00AF6E6B"/>
    <w:rsid w:val="00B03E54"/>
    <w:rsid w:val="00B10D66"/>
    <w:rsid w:val="00B13B4D"/>
    <w:rsid w:val="00B146C3"/>
    <w:rsid w:val="00B15FA0"/>
    <w:rsid w:val="00B16872"/>
    <w:rsid w:val="00B16F42"/>
    <w:rsid w:val="00B226B8"/>
    <w:rsid w:val="00B30BC0"/>
    <w:rsid w:val="00B322AF"/>
    <w:rsid w:val="00B33462"/>
    <w:rsid w:val="00B35045"/>
    <w:rsid w:val="00B4047C"/>
    <w:rsid w:val="00B40DA8"/>
    <w:rsid w:val="00B5010C"/>
    <w:rsid w:val="00B5682A"/>
    <w:rsid w:val="00B56BC0"/>
    <w:rsid w:val="00B57F11"/>
    <w:rsid w:val="00B64AC7"/>
    <w:rsid w:val="00B66024"/>
    <w:rsid w:val="00B679BC"/>
    <w:rsid w:val="00B70168"/>
    <w:rsid w:val="00B70603"/>
    <w:rsid w:val="00B71303"/>
    <w:rsid w:val="00B7403E"/>
    <w:rsid w:val="00B77906"/>
    <w:rsid w:val="00B822DE"/>
    <w:rsid w:val="00B8328C"/>
    <w:rsid w:val="00B83768"/>
    <w:rsid w:val="00B83DFB"/>
    <w:rsid w:val="00B851FB"/>
    <w:rsid w:val="00B900AC"/>
    <w:rsid w:val="00B94106"/>
    <w:rsid w:val="00B94B9A"/>
    <w:rsid w:val="00B966A5"/>
    <w:rsid w:val="00BA3CCA"/>
    <w:rsid w:val="00BA3EC4"/>
    <w:rsid w:val="00BA57E9"/>
    <w:rsid w:val="00BD0A23"/>
    <w:rsid w:val="00BD79C6"/>
    <w:rsid w:val="00BE187B"/>
    <w:rsid w:val="00BE3737"/>
    <w:rsid w:val="00BF1378"/>
    <w:rsid w:val="00C031E7"/>
    <w:rsid w:val="00C102D6"/>
    <w:rsid w:val="00C1444E"/>
    <w:rsid w:val="00C217DB"/>
    <w:rsid w:val="00C25BD2"/>
    <w:rsid w:val="00C301B0"/>
    <w:rsid w:val="00C33F61"/>
    <w:rsid w:val="00C4232E"/>
    <w:rsid w:val="00C43A48"/>
    <w:rsid w:val="00C52298"/>
    <w:rsid w:val="00C52DE0"/>
    <w:rsid w:val="00C54D4C"/>
    <w:rsid w:val="00C54E19"/>
    <w:rsid w:val="00C55ABF"/>
    <w:rsid w:val="00C60F2B"/>
    <w:rsid w:val="00C713A6"/>
    <w:rsid w:val="00C7357A"/>
    <w:rsid w:val="00C77C18"/>
    <w:rsid w:val="00C909ED"/>
    <w:rsid w:val="00C935A6"/>
    <w:rsid w:val="00C9773C"/>
    <w:rsid w:val="00CA268A"/>
    <w:rsid w:val="00CA44A3"/>
    <w:rsid w:val="00CB6774"/>
    <w:rsid w:val="00CC213B"/>
    <w:rsid w:val="00CC29A9"/>
    <w:rsid w:val="00CC731C"/>
    <w:rsid w:val="00CC7EAE"/>
    <w:rsid w:val="00CD100A"/>
    <w:rsid w:val="00CD4E9B"/>
    <w:rsid w:val="00CE27BE"/>
    <w:rsid w:val="00CE50E4"/>
    <w:rsid w:val="00CE5EC6"/>
    <w:rsid w:val="00CE66E4"/>
    <w:rsid w:val="00CE6C71"/>
    <w:rsid w:val="00CF2E32"/>
    <w:rsid w:val="00CF30F7"/>
    <w:rsid w:val="00CF71F8"/>
    <w:rsid w:val="00D02B05"/>
    <w:rsid w:val="00D12BCA"/>
    <w:rsid w:val="00D17823"/>
    <w:rsid w:val="00D22D96"/>
    <w:rsid w:val="00D257FE"/>
    <w:rsid w:val="00D32560"/>
    <w:rsid w:val="00D3561F"/>
    <w:rsid w:val="00D43E52"/>
    <w:rsid w:val="00D45C13"/>
    <w:rsid w:val="00D472DC"/>
    <w:rsid w:val="00D5179B"/>
    <w:rsid w:val="00D540D5"/>
    <w:rsid w:val="00D548D1"/>
    <w:rsid w:val="00D57D7C"/>
    <w:rsid w:val="00D62084"/>
    <w:rsid w:val="00D66B2E"/>
    <w:rsid w:val="00D67B85"/>
    <w:rsid w:val="00D707FB"/>
    <w:rsid w:val="00D726D3"/>
    <w:rsid w:val="00D73E04"/>
    <w:rsid w:val="00D74982"/>
    <w:rsid w:val="00D75B3F"/>
    <w:rsid w:val="00D77BC0"/>
    <w:rsid w:val="00D8369D"/>
    <w:rsid w:val="00D90F7B"/>
    <w:rsid w:val="00DA0E0B"/>
    <w:rsid w:val="00DA73B1"/>
    <w:rsid w:val="00DB0447"/>
    <w:rsid w:val="00DB1B19"/>
    <w:rsid w:val="00DB33A7"/>
    <w:rsid w:val="00DB41EE"/>
    <w:rsid w:val="00DB773B"/>
    <w:rsid w:val="00DD0142"/>
    <w:rsid w:val="00DD22CD"/>
    <w:rsid w:val="00DD4C56"/>
    <w:rsid w:val="00DD7591"/>
    <w:rsid w:val="00DE1A1E"/>
    <w:rsid w:val="00DE357C"/>
    <w:rsid w:val="00DF1D00"/>
    <w:rsid w:val="00DF304C"/>
    <w:rsid w:val="00DF6414"/>
    <w:rsid w:val="00DF690C"/>
    <w:rsid w:val="00DF7FC6"/>
    <w:rsid w:val="00E114B4"/>
    <w:rsid w:val="00E140D3"/>
    <w:rsid w:val="00E15F2D"/>
    <w:rsid w:val="00E17F4F"/>
    <w:rsid w:val="00E206C2"/>
    <w:rsid w:val="00E21563"/>
    <w:rsid w:val="00E360A8"/>
    <w:rsid w:val="00E41213"/>
    <w:rsid w:val="00E51C93"/>
    <w:rsid w:val="00E57C4C"/>
    <w:rsid w:val="00E73064"/>
    <w:rsid w:val="00E8315D"/>
    <w:rsid w:val="00E8648D"/>
    <w:rsid w:val="00E91DB0"/>
    <w:rsid w:val="00E94A5D"/>
    <w:rsid w:val="00E9608C"/>
    <w:rsid w:val="00E96993"/>
    <w:rsid w:val="00EA1C73"/>
    <w:rsid w:val="00EA22EB"/>
    <w:rsid w:val="00EA24C3"/>
    <w:rsid w:val="00EA2D22"/>
    <w:rsid w:val="00EA31BF"/>
    <w:rsid w:val="00EB121F"/>
    <w:rsid w:val="00EB1403"/>
    <w:rsid w:val="00EC0E25"/>
    <w:rsid w:val="00EC3CCD"/>
    <w:rsid w:val="00EC4250"/>
    <w:rsid w:val="00ED1436"/>
    <w:rsid w:val="00ED17E5"/>
    <w:rsid w:val="00EE2F9B"/>
    <w:rsid w:val="00EF26E9"/>
    <w:rsid w:val="00EF43BD"/>
    <w:rsid w:val="00EF60ED"/>
    <w:rsid w:val="00F0403E"/>
    <w:rsid w:val="00F135FE"/>
    <w:rsid w:val="00F21BCE"/>
    <w:rsid w:val="00F255AE"/>
    <w:rsid w:val="00F267CE"/>
    <w:rsid w:val="00F329E1"/>
    <w:rsid w:val="00F34C32"/>
    <w:rsid w:val="00F40737"/>
    <w:rsid w:val="00F50EEA"/>
    <w:rsid w:val="00F5216D"/>
    <w:rsid w:val="00F53314"/>
    <w:rsid w:val="00F5442E"/>
    <w:rsid w:val="00F54E77"/>
    <w:rsid w:val="00F56FBA"/>
    <w:rsid w:val="00F57383"/>
    <w:rsid w:val="00F65861"/>
    <w:rsid w:val="00F67D52"/>
    <w:rsid w:val="00F70E25"/>
    <w:rsid w:val="00F75218"/>
    <w:rsid w:val="00F77A6E"/>
    <w:rsid w:val="00F80540"/>
    <w:rsid w:val="00F82BCF"/>
    <w:rsid w:val="00FA4E5C"/>
    <w:rsid w:val="00FB737A"/>
    <w:rsid w:val="00FC0F3E"/>
    <w:rsid w:val="00FC1C96"/>
    <w:rsid w:val="00FC6EEB"/>
    <w:rsid w:val="00FD048F"/>
    <w:rsid w:val="00FE625E"/>
    <w:rsid w:val="00FF2B22"/>
    <w:rsid w:val="00FF7FAD"/>
    <w:rsid w:val="084B10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7"/>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29"/>
    <w:unhideWhenUsed/>
    <w:qFormat/>
    <w:uiPriority w:val="99"/>
    <w:pPr>
      <w:jc w:val="left"/>
    </w:pPr>
  </w:style>
  <w:style w:type="paragraph" w:styleId="6">
    <w:name w:val="footer"/>
    <w:basedOn w:val="1"/>
    <w:link w:val="21"/>
    <w:unhideWhenUsed/>
    <w:qFormat/>
    <w:uiPriority w:val="99"/>
    <w:pPr>
      <w:tabs>
        <w:tab w:val="center" w:pos="4153"/>
        <w:tab w:val="right" w:pos="8306"/>
      </w:tabs>
      <w:snapToGrid w:val="0"/>
      <w:jc w:val="left"/>
    </w:pPr>
    <w:rPr>
      <w:sz w:val="18"/>
      <w:szCs w:val="18"/>
    </w:rPr>
  </w:style>
  <w:style w:type="paragraph" w:styleId="7">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link w:val="3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9">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0">
    <w:name w:val="annotation subject"/>
    <w:basedOn w:val="5"/>
    <w:next w:val="5"/>
    <w:link w:val="30"/>
    <w:semiHidden/>
    <w:unhideWhenUsed/>
    <w:qFormat/>
    <w:uiPriority w:val="99"/>
    <w:rPr>
      <w:b/>
      <w:bCs/>
    </w:rPr>
  </w:style>
  <w:style w:type="character" w:styleId="13">
    <w:name w:val="Strong"/>
    <w:basedOn w:val="12"/>
    <w:qFormat/>
    <w:uiPriority w:val="22"/>
    <w:rPr>
      <w:b/>
      <w:bCs/>
    </w:rPr>
  </w:style>
  <w:style w:type="character" w:styleId="14">
    <w:name w:val="Emphasis"/>
    <w:basedOn w:val="12"/>
    <w:qFormat/>
    <w:uiPriority w:val="20"/>
    <w:rPr>
      <w:i/>
      <w:iCs/>
    </w:rPr>
  </w:style>
  <w:style w:type="character" w:styleId="15">
    <w:name w:val="annotation reference"/>
    <w:basedOn w:val="12"/>
    <w:semiHidden/>
    <w:unhideWhenUsed/>
    <w:qFormat/>
    <w:uiPriority w:val="99"/>
    <w:rPr>
      <w:sz w:val="21"/>
      <w:szCs w:val="21"/>
    </w:rPr>
  </w:style>
  <w:style w:type="character" w:customStyle="1" w:styleId="16">
    <w:name w:val="标题 1 字符"/>
    <w:basedOn w:val="12"/>
    <w:link w:val="2"/>
    <w:qFormat/>
    <w:uiPriority w:val="9"/>
    <w:rPr>
      <w:b/>
      <w:bCs/>
      <w:kern w:val="44"/>
      <w:sz w:val="44"/>
      <w:szCs w:val="44"/>
    </w:rPr>
  </w:style>
  <w:style w:type="character" w:customStyle="1" w:styleId="17">
    <w:name w:val="标题 3 字符"/>
    <w:basedOn w:val="12"/>
    <w:link w:val="4"/>
    <w:uiPriority w:val="9"/>
    <w:rPr>
      <w:b/>
      <w:bCs/>
      <w:sz w:val="32"/>
      <w:szCs w:val="32"/>
    </w:rPr>
  </w:style>
  <w:style w:type="character" w:customStyle="1" w:styleId="18">
    <w:name w:val="标题 2 字符"/>
    <w:basedOn w:val="12"/>
    <w:link w:val="3"/>
    <w:qFormat/>
    <w:uiPriority w:val="9"/>
    <w:rPr>
      <w:rFonts w:asciiTheme="majorHAnsi" w:hAnsiTheme="majorHAnsi" w:eastAsiaTheme="majorEastAsia" w:cstheme="majorBidi"/>
      <w:b/>
      <w:bCs/>
      <w:sz w:val="32"/>
      <w:szCs w:val="32"/>
    </w:rPr>
  </w:style>
  <w:style w:type="paragraph" w:styleId="19">
    <w:name w:val="List Paragraph"/>
    <w:basedOn w:val="1"/>
    <w:qFormat/>
    <w:uiPriority w:val="34"/>
    <w:pPr>
      <w:ind w:firstLine="420" w:firstLineChars="200"/>
    </w:pPr>
  </w:style>
  <w:style w:type="character" w:customStyle="1" w:styleId="20">
    <w:name w:val="页眉 字符"/>
    <w:basedOn w:val="12"/>
    <w:link w:val="7"/>
    <w:qFormat/>
    <w:uiPriority w:val="99"/>
    <w:rPr>
      <w:sz w:val="18"/>
      <w:szCs w:val="18"/>
    </w:rPr>
  </w:style>
  <w:style w:type="character" w:customStyle="1" w:styleId="21">
    <w:name w:val="页脚 字符"/>
    <w:basedOn w:val="12"/>
    <w:link w:val="6"/>
    <w:qFormat/>
    <w:uiPriority w:val="99"/>
    <w:rPr>
      <w:sz w:val="18"/>
      <w:szCs w:val="18"/>
    </w:rPr>
  </w:style>
  <w:style w:type="character" w:customStyle="1" w:styleId="22">
    <w:name w:val="katex-mathml"/>
    <w:basedOn w:val="12"/>
    <w:qFormat/>
    <w:uiPriority w:val="0"/>
  </w:style>
  <w:style w:type="character" w:customStyle="1" w:styleId="23">
    <w:name w:val="mord"/>
    <w:basedOn w:val="12"/>
    <w:qFormat/>
    <w:uiPriority w:val="0"/>
  </w:style>
  <w:style w:type="character" w:customStyle="1" w:styleId="24">
    <w:name w:val="vlist-s"/>
    <w:basedOn w:val="12"/>
    <w:qFormat/>
    <w:uiPriority w:val="0"/>
  </w:style>
  <w:style w:type="character" w:customStyle="1" w:styleId="25">
    <w:name w:val="mrel"/>
    <w:basedOn w:val="12"/>
    <w:qFormat/>
    <w:uiPriority w:val="0"/>
  </w:style>
  <w:style w:type="character" w:customStyle="1" w:styleId="26">
    <w:name w:val="mbin"/>
    <w:basedOn w:val="12"/>
    <w:qFormat/>
    <w:uiPriority w:val="0"/>
  </w:style>
  <w:style w:type="character" w:customStyle="1" w:styleId="27">
    <w:name w:val="mopen"/>
    <w:basedOn w:val="12"/>
    <w:qFormat/>
    <w:uiPriority w:val="0"/>
  </w:style>
  <w:style w:type="character" w:customStyle="1" w:styleId="28">
    <w:name w:val="mclose"/>
    <w:basedOn w:val="12"/>
    <w:qFormat/>
    <w:uiPriority w:val="0"/>
  </w:style>
  <w:style w:type="character" w:customStyle="1" w:styleId="29">
    <w:name w:val="批注文字 字符"/>
    <w:basedOn w:val="12"/>
    <w:link w:val="5"/>
    <w:qFormat/>
    <w:uiPriority w:val="99"/>
  </w:style>
  <w:style w:type="character" w:customStyle="1" w:styleId="30">
    <w:name w:val="批注主题 字符"/>
    <w:basedOn w:val="29"/>
    <w:link w:val="10"/>
    <w:semiHidden/>
    <w:qFormat/>
    <w:uiPriority w:val="99"/>
    <w:rPr>
      <w:b/>
      <w:bCs/>
    </w:rPr>
  </w:style>
  <w:style w:type="character" w:customStyle="1" w:styleId="31">
    <w:name w:val="HTML 预设格式 字符"/>
    <w:basedOn w:val="12"/>
    <w:link w:val="8"/>
    <w:semiHidden/>
    <w:qFormat/>
    <w:uiPriority w:val="99"/>
    <w:rPr>
      <w:rFonts w:ascii="宋体" w:hAnsi="宋体" w:eastAsia="宋体" w:cs="宋体"/>
      <w:kern w:val="0"/>
      <w:sz w:val="24"/>
      <w:szCs w:val="24"/>
    </w:rPr>
  </w:style>
  <w:style w:type="paragraph" w:customStyle="1" w:styleId="32">
    <w:name w:val="ds-markdown-paragraph"/>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3491</Words>
  <Characters>22089</Characters>
  <Lines>167</Lines>
  <Paragraphs>47</Paragraphs>
  <TotalTime>3288</TotalTime>
  <ScaleCrop>false</ScaleCrop>
  <LinksUpToDate>false</LinksUpToDate>
  <CharactersWithSpaces>25478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2025-11-11T09:58:00Z</dcterms:created>
  <dc:creator>刘辰旭</dc:creator>
  <cp:lastModifiedBy>刘辰旭</cp:lastModifiedBy>
  <dcterms:modified xsi:type="dcterms:W3CDTF">2026-09-12T00:55:37Z</dcterms:modified>
  <dc:title>GeoAnchor3D: Responses to Reviewers</dc:title>
  <cp:revision>555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eyJoZGlkIjoiNWMzNmRiYjAxY2E2ZDA5NDBlMGQ5NTcxY2MyMzA2YjMiLCJ1c2VySWQiOiIxODk0MTc1NzUzIn0=</vt:lpwstr>
  </property>
  <property fmtid="{D5CDD505-2E9C-101B-9397-08002B2CF9AE}" pid="3" name="KSOProductBuildVer">
    <vt:lpwstr>2052-12.1.0.28043</vt:lpwstr>
  </property>
  <property fmtid="{D5CDD505-2E9C-101B-9397-08002B2CF9AE}" pid="4" name="ICV">
    <vt:lpwstr>025E8CCB8665470888B2F99E45C65B32_12</vt:lpwstr>
  </property>
</Properties>
</file>