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2"/>
        <w:keepNext/>
        <w:widowControl/>
        <w:spacing w:before="100" w:beforeAutospacing="1" w:after="100" w:afterAutospacing="1" w:line="360" w:lineRule="auto"/>
        <w:rPr>
          <w:rFonts w:ascii="Times New Roman" w:hAnsi="Times New Roman" w:cs="Times New Roman"/>
          <w:sz w:val="24"/>
          <w:szCs w:val="24"/>
        </w:rPr>
      </w:pPr>
      <w:r>
        <w:rPr>
          <w:rFonts w:ascii="Times New Roman" w:hAnsi="Times New Roman"/>
          <w:b/>
          <w:i w:val="0"/>
          <w:color w:val="000000"/>
          <w:sz w:val="24"/>
          <w:u w:val="none"/>
        </w:rPr>
        <w:t>Response to Reviewer 1</w:t>
      </w:r>
    </w:p>
    <w:p>
      <w:pPr>
        <w:keepNext/>
        <w:widowControl/>
        <w:rPr>
          <w:rFonts w:ascii="Times New Roman" w:hAnsi="Times New Roman" w:cs="Times New Roman"/>
          <w:color w:val="000000" w:themeColor="text1"/>
          <w:szCs w:val="21"/>
        </w:rPr>
      </w:pPr>
      <w:r>
        <w:rPr>
          <w:rFonts w:ascii="Times New Roman" w:hAnsi="Times New Roman"/>
          <w:b/>
          <w:i w:val="0"/>
          <w:color w:val="000000"/>
          <w:sz w:val="21"/>
          <w:u w:val="single"/>
        </w:rPr>
        <w:t>Comment 1:</w:t>
      </w:r>
    </w:p>
    <w:p>
      <w:pPr>
        <w:widowControl/>
        <w:jc w:val="left"/>
        <w:rPr>
          <w:rFonts w:ascii="Times New Roman" w:hAnsi="Times New Roman" w:cs="Times New Roman"/>
          <w:szCs w:val="21"/>
        </w:rPr>
      </w:pPr>
      <w:r>
        <w:rPr>
          <w:rFonts w:ascii="Times New Roman" w:hAnsi="Times New Roman"/>
          <w:b w:val="0"/>
          <w:i w:val="0"/>
          <w:color w:val="000000"/>
          <w:sz w:val="21"/>
          <w:u w:val="none"/>
        </w:rPr>
        <w:t>The core geometric encoding used in IGGA (Euclidean distance, azimuth, and elevation angles with sine/cosine encoding) is a well-established technique in 3D point cloud processing and spatial relation reasoning (e.g., the authors cite [5]). While the application of these cues within a per-head gating mechanism is novel, the paper would benefit from a more explicit discussion of what distinguishes the proposed geometric representation from prior work. Specifically, the authors should clarify whether any learnable spatial embeddings were considered (as briefly mentioned in Section V) and why the handcrafted encoding was preferred. A comparative experiment between handcrafted geometric features and learned spatial embeddings would substantiate this design choice.</w:t>
      </w:r>
    </w:p>
    <w:p>
      <w:pPr>
        <w:keepNext/>
        <w:widowControl/>
        <w:rPr>
          <w:rFonts w:ascii="Times New Roman" w:hAnsi="Times New Roman" w:cs="Times New Roman"/>
          <w:b/>
          <w:bCs/>
          <w:color w:val="3427E1"/>
          <w:szCs w:val="21"/>
          <w:u w:val="single"/>
        </w:rPr>
      </w:pPr>
      <w:r>
        <w:rPr>
          <w:rFonts w:ascii="Times New Roman" w:hAnsi="Times New Roman"/>
          <w:b/>
          <w:i w:val="0"/>
          <w:color w:val="3427E1"/>
          <w:sz w:val="21"/>
          <w:u w:val="single"/>
        </w:rPr>
        <w:t>REPLY:</w:t>
      </w:r>
    </w:p>
    <w:p>
      <w:pPr>
        <w:widowControl/>
        <w:ind w:firstLine="420"/>
        <w:rPr>
          <w:rFonts w:ascii="Times New Roman" w:hAnsi="Times New Roman" w:cs="Times New Roman"/>
          <w:color w:val="3427E1"/>
          <w:szCs w:val="21"/>
        </w:rPr>
      </w:pPr>
      <w:r>
        <w:rPr>
          <w:rFonts w:ascii="Times New Roman" w:hAnsi="Times New Roman"/>
          <w:b w:val="0"/>
          <w:i w:val="0"/>
          <w:color w:val="3427E1"/>
          <w:sz w:val="21"/>
          <w:u w:val="none"/>
        </w:rPr>
        <w:t>We thank the reviewer for this comment. Distance and angular encodings are established descriptors; our contribution is their instruction-conditioned, per-head use in object attention. We chose an explicit five-dimensional descriptor to provide a compact, interpretable spatial prior, while retaining a learnable compatibility projection, as formulated in Section III-B. This separates the geometric quantities from the learned way in which they influence attention.</w:t>
      </w:r>
    </w:p>
    <w:p>
      <w:pPr>
        <w:widowControl/>
        <w:ind w:firstLine="420"/>
        <w:rPr>
          <w:rFonts w:ascii="Times New Roman" w:hAnsi="Times New Roman" w:cs="Times New Roman"/>
          <w:color w:val="3427E1"/>
          <w:szCs w:val="21"/>
        </w:rPr>
      </w:pPr>
      <w:r>
        <w:rPr>
          <w:rFonts w:ascii="Times New Roman" w:hAnsi="Times New Roman"/>
          <w:b w:val="0"/>
          <w:i w:val="0"/>
          <w:color w:val="3427E1"/>
          <w:sz w:val="21"/>
          <w:u w:val="none"/>
        </w:rPr>
        <w:t>The current experiments examine geometric routing with this descriptor, rather than comparing alternative spatial encoders. We do not claim that handcrafted features outperform learned embeddings. Such a comparison would assess a separate representation choice, which Section V identifies as future work.</w:t>
      </w:r>
    </w:p>
    <w:p>
      <w:pPr>
        <w:keepNext/>
        <w:widowControl/>
        <w:ind w:firstLine="0"/>
        <w:rPr>
          <w:rFonts w:ascii="Times New Roman" w:hAnsi="Times New Roman" w:cs="Times New Roman"/>
          <w:color w:val="3427E1"/>
          <w:szCs w:val="21"/>
        </w:rPr>
      </w:pPr>
      <w:r>
        <w:rPr>
          <w:rFonts w:ascii="Times New Roman" w:hAnsi="Times New Roman" w:eastAsia="宋体"/>
          <w:b w:val="0"/>
          <w:i w:val="0"/>
          <w:color w:val="3427E1"/>
          <w:sz w:val="21"/>
          <w:u w:val="none"/>
        </w:rPr>
        <w:t xml:space="preserve">The relevant formulation and the discussion of alternative spatial representations are reproduced below. </w:t>
      </w:r>
      <w:r>
        <w:rPr>
          <w:rFonts w:ascii="Times New Roman" w:hAnsi="Times New Roman"/>
          <w:color w:val="C45911"/>
          <w:sz w:val="21"/>
          <w:u w:val="single"/>
        </w:rPr>
        <w:t>[Sections III-B and V]</w:t>
      </w:r>
    </w:p>
    <w:p>
      <w:pPr>
        <w:keepNext w:val="0"/>
        <w:widowControl/>
        <w:ind w:firstLine="0"/>
        <w:rPr>
          <w:rFonts w:ascii="Times New Roman" w:hAnsi="Times New Roman" w:cs="Times New Roman"/>
          <w:color w:val="3427E1"/>
          <w:szCs w:val="21"/>
        </w:rPr>
      </w:pPr>
      <w:r>
        <w:rPr>
          <w:rFonts w:ascii="Times New Roman" w:hAnsi="Times New Roman" w:eastAsia="宋体"/>
          <w:b w:val="0"/>
          <w:i w:val="0"/>
          <w:color w:val="C45911"/>
          <w:sz w:val="21"/>
          <w:u w:val="none"/>
        </w:rPr>
        <w:t>【截图位置 R1-C1：图 A：III-B 从 “To ensure angular continuity” 至 “shared across all attention heads”，包含五维描述符、空间掩码公式及可学习矩阵说明（tex 198–212 行）。图 B：V 中从 “In addition, IGGA relies on handcrafted geometric cues” 到 “richer relational reasoning capabilities”（811 行中的两句）。前者是相关公式，并非声称全部为新增内容。 插图后删除本标注。】</w:t>
      </w:r>
    </w:p>
    <w:p/>
    <w:p>
      <w:pPr>
        <w:keepNext/>
        <w:widowControl/>
        <w:rPr>
          <w:rFonts w:ascii="Times New Roman" w:hAnsi="Times New Roman" w:cs="Times New Roman"/>
          <w:color w:val="000000" w:themeColor="text1"/>
          <w:szCs w:val="21"/>
        </w:rPr>
      </w:pPr>
      <w:r>
        <w:rPr>
          <w:rFonts w:ascii="Times New Roman" w:hAnsi="Times New Roman"/>
          <w:b/>
          <w:i w:val="0"/>
          <w:color w:val="000000"/>
          <w:sz w:val="21"/>
          <w:u w:val="single"/>
        </w:rPr>
        <w:t>Comment 2:</w:t>
      </w:r>
    </w:p>
    <w:p>
      <w:pPr>
        <w:widowControl/>
        <w:jc w:val="left"/>
        <w:rPr>
          <w:rFonts w:ascii="Times New Roman" w:hAnsi="Times New Roman" w:cs="Times New Roman"/>
          <w:szCs w:val="21"/>
        </w:rPr>
      </w:pPr>
      <w:r>
        <w:rPr>
          <w:rFonts w:ascii="Times New Roman" w:hAnsi="Times New Roman"/>
          <w:b w:val="0"/>
          <w:i w:val="0"/>
          <w:color w:val="000000"/>
          <w:sz w:val="21"/>
          <w:u w:val="none"/>
        </w:rPr>
        <w:t>The entire framework relies on Mask3D-generated object proposals as input, which the authors acknowledge as a limitation in Section V. However, the paper does not provide any quantitative analysis of how proposal quality affects downstream performance. A sensitivity analysis—for instance, varying the number of proposals (currently fixed at 100) or evaluating performance under different Mask3D confidence thresholds—would help readers understand the robustness boundary of GeoAnchor3D. Furthermore, the performance on Multi3DRefer, which involves multi-object scenes, may be particularly sensitive to missed or merged proposals, and this should be discussed.</w:t>
      </w:r>
    </w:p>
    <w:p>
      <w:pPr>
        <w:keepNext/>
        <w:widowControl/>
        <w:rPr>
          <w:rFonts w:ascii="Times New Roman" w:hAnsi="Times New Roman" w:cs="Times New Roman"/>
          <w:b/>
          <w:bCs/>
          <w:color w:val="3427E1"/>
          <w:szCs w:val="21"/>
          <w:u w:val="single"/>
        </w:rPr>
      </w:pPr>
      <w:r>
        <w:rPr>
          <w:rFonts w:ascii="Times New Roman" w:hAnsi="Times New Roman"/>
          <w:b/>
          <w:i w:val="0"/>
          <w:color w:val="3427E1"/>
          <w:sz w:val="21"/>
          <w:u w:val="single"/>
        </w:rPr>
        <w:t>REPLY:</w:t>
      </w:r>
    </w:p>
    <w:p>
      <w:pPr>
        <w:widowControl/>
        <w:ind w:firstLine="420"/>
        <w:rPr>
          <w:rFonts w:ascii="Times New Roman" w:hAnsi="Times New Roman" w:cs="Times New Roman"/>
          <w:color w:val="3427E1"/>
          <w:szCs w:val="21"/>
        </w:rPr>
      </w:pPr>
      <w:r>
        <w:rPr>
          <w:rFonts w:ascii="Times New Roman" w:hAnsi="Times New Roman"/>
          <w:b w:val="0"/>
          <w:i w:val="0"/>
          <w:color w:val="3427E1"/>
          <w:sz w:val="21"/>
          <w:u w:val="none"/>
        </w:rPr>
        <w:t>We thank the reviewer for highlighting proposal sensitivity. Our comparison asks whether geometric regulation improves downstream reasoning given the same detected objects. GeoAnchor3D therefore retains the 100 Mask3D proposals per scene used by Chat-Scene, so its gains are evaluated with predicted proposals rather than oracle objects and cannot be attributed to an improved proposal generator.</w:t>
      </w:r>
    </w:p>
    <w:p>
      <w:pPr>
        <w:widowControl/>
        <w:ind w:firstLine="420"/>
        <w:rPr>
          <w:rFonts w:ascii="Times New Roman" w:hAnsi="Times New Roman" w:cs="Times New Roman"/>
          <w:color w:val="3427E1"/>
          <w:szCs w:val="21"/>
        </w:rPr>
      </w:pPr>
      <w:r>
        <w:rPr>
          <w:rFonts w:ascii="Times New Roman" w:hAnsi="Times New Roman"/>
          <w:b w:val="0"/>
          <w:i w:val="0"/>
          <w:color w:val="3427E1"/>
          <w:sz w:val="21"/>
          <w:u w:val="none"/>
        </w:rPr>
        <w:t>Section V now explains that missed, severely fragmented, or merged proposals limit downstream reasoning. This is particularly relevant to Multi3DRefer, where multiple referred objects must be identified. We acknowledge this dependency; the current comparison does not measure sensitivity to proposal budgets or confidence thresholds.</w:t>
      </w:r>
    </w:p>
    <w:p>
      <w:pPr>
        <w:keepNext/>
        <w:widowControl/>
        <w:ind w:firstLine="0"/>
        <w:rPr>
          <w:rFonts w:ascii="Times New Roman" w:hAnsi="Times New Roman" w:cs="Times New Roman"/>
          <w:color w:val="3427E1"/>
          <w:szCs w:val="21"/>
        </w:rPr>
      </w:pPr>
      <w:r>
        <w:rPr>
          <w:rFonts w:ascii="Times New Roman" w:hAnsi="Times New Roman" w:eastAsia="宋体"/>
          <w:b w:val="0"/>
          <w:i w:val="0"/>
          <w:color w:val="3427E1"/>
          <w:sz w:val="21"/>
          <w:u w:val="none"/>
        </w:rPr>
        <w:t xml:space="preserve">The revised discussion of proposal limitations is provided below. </w:t>
      </w:r>
      <w:r>
        <w:rPr>
          <w:rFonts w:ascii="Times New Roman" w:hAnsi="Times New Roman"/>
          <w:color w:val="C45911"/>
          <w:sz w:val="21"/>
          <w:u w:val="single"/>
        </w:rPr>
        <w:t>[Section V, Limitations and Future Work]</w:t>
      </w:r>
    </w:p>
    <w:p>
      <w:pPr>
        <w:keepNext w:val="0"/>
        <w:widowControl/>
        <w:ind w:firstLine="0"/>
        <w:rPr>
          <w:rFonts w:ascii="Times New Roman" w:hAnsi="Times New Roman" w:cs="Times New Roman"/>
          <w:color w:val="3427E1"/>
          <w:szCs w:val="21"/>
        </w:rPr>
      </w:pPr>
      <w:r>
        <w:rPr>
          <w:rFonts w:ascii="Times New Roman" w:hAnsi="Times New Roman" w:eastAsia="宋体"/>
          <w:b w:val="0"/>
          <w:i w:val="0"/>
          <w:color w:val="C45911"/>
          <w:sz w:val="21"/>
          <w:u w:val="none"/>
        </w:rPr>
        <w:t>【截图位置 R1-C2：截取 V 开头，从 “The performance of GeoAnchor3D still depends” 到 “dynamic proposal generation or open-vocabulary detection”（tex 811 行前半部分）。保留 missed、fragmented、merged 三种情况。 插图后删除本标注。】</w:t>
      </w:r>
    </w:p>
    <w:p/>
    <w:p>
      <w:pPr>
        <w:keepNext/>
        <w:widowControl/>
        <w:rPr>
          <w:rFonts w:ascii="Times New Roman" w:hAnsi="Times New Roman" w:cs="Times New Roman"/>
          <w:color w:val="000000" w:themeColor="text1"/>
          <w:szCs w:val="21"/>
        </w:rPr>
      </w:pPr>
      <w:r>
        <w:rPr>
          <w:rFonts w:ascii="Times New Roman" w:hAnsi="Times New Roman"/>
          <w:b/>
          <w:i w:val="0"/>
          <w:color w:val="000000"/>
          <w:sz w:val="21"/>
          <w:u w:val="single"/>
        </w:rPr>
        <w:t>Comment 3:</w:t>
      </w:r>
    </w:p>
    <w:p>
      <w:pPr>
        <w:widowControl/>
        <w:jc w:val="left"/>
        <w:rPr>
          <w:rFonts w:ascii="Times New Roman" w:hAnsi="Times New Roman" w:cs="Times New Roman"/>
          <w:szCs w:val="21"/>
        </w:rPr>
      </w:pPr>
      <w:r>
        <w:rPr>
          <w:rFonts w:ascii="Times New Roman" w:hAnsi="Times New Roman"/>
          <w:b w:val="0"/>
          <w:i w:val="0"/>
          <w:color w:val="000000"/>
          <w:sz w:val="21"/>
          <w:u w:val="none"/>
        </w:rPr>
        <w:t>The authors emphasize that GATH introduces no inference overhead, which is a strength. Nevertheless, the training-time cost of GATH and IGGA is not quantified. Specifically, the additional computational burden of (a) computing pairwise spatial masks in IGGA, (b) GATH's horizontal and vertical aggregation over multiple LLM layers, and (c) the gating supervision loss Lgate should be reported in terms of training time or GPU memory compared to the baseline. This information is important for practitioners who may have limited computational resources.</w:t>
      </w:r>
    </w:p>
    <w:p>
      <w:pPr>
        <w:keepNext/>
        <w:widowControl/>
        <w:rPr>
          <w:rFonts w:ascii="Times New Roman" w:hAnsi="Times New Roman" w:cs="Times New Roman"/>
          <w:b/>
          <w:bCs/>
          <w:color w:val="3427E1"/>
          <w:szCs w:val="21"/>
          <w:u w:val="single"/>
        </w:rPr>
      </w:pPr>
      <w:r>
        <w:rPr>
          <w:rFonts w:ascii="Times New Roman" w:hAnsi="Times New Roman"/>
          <w:b/>
          <w:i w:val="0"/>
          <w:color w:val="3427E1"/>
          <w:sz w:val="21"/>
          <w:u w:val="single"/>
        </w:rPr>
        <w:t>REPLY:</w:t>
      </w:r>
    </w:p>
    <w:p>
      <w:pPr>
        <w:widowControl/>
        <w:ind w:firstLine="420"/>
        <w:rPr>
          <w:rFonts w:ascii="Times New Roman" w:hAnsi="Times New Roman" w:cs="Times New Roman"/>
          <w:color w:val="3427E1"/>
          <w:szCs w:val="21"/>
        </w:rPr>
      </w:pPr>
      <w:r>
        <w:rPr>
          <w:rFonts w:ascii="Times New Roman" w:hAnsi="Times New Roman"/>
          <w:b w:val="0"/>
          <w:i w:val="0"/>
          <w:color w:val="3427E1"/>
          <w:sz w:val="21"/>
          <w:u w:val="none"/>
        </w:rPr>
        <w:t>We thank the reviewer for requesting this analysis. The new efficiency comparison in Section IV-C measures both models on one NVIDIA RTX 3090 with batch size 1 and FlashAttention-2. Forward–backward time increases from 547.87 to 553.81 ms per sample (+1.08</w:t>
      </w:r>
      <w:r>
        <w:rPr>
          <w:rFonts w:ascii="Times New Roman" w:hAnsi="Times New Roman"/>
          <w:b w:val="0"/>
          <w:i w:val="0"/>
          <w:color w:val="3427E1"/>
          <w:sz w:val="21"/>
          <w:u w:val="none"/>
        </w:rPr>
        <w:t>%</w:t>
      </w:r>
      <w:r>
        <w:rPr>
          <w:rFonts w:ascii="Times New Roman" w:hAnsi="Times New Roman"/>
          <w:b w:val="0"/>
          <w:i w:val="0"/>
          <w:color w:val="3427E1"/>
          <w:sz w:val="21"/>
          <w:u w:val="none"/>
        </w:rPr>
        <w:t>), and peak allocated training memory increases from 14.920 to 15.164 GiB (+1.63</w:t>
      </w:r>
      <w:r>
        <w:rPr>
          <w:rFonts w:ascii="Times New Roman" w:hAnsi="Times New Roman"/>
          <w:b w:val="0"/>
          <w:i w:val="0"/>
          <w:color w:val="3427E1"/>
          <w:sz w:val="21"/>
          <w:u w:val="none"/>
        </w:rPr>
        <w:t>%</w:t>
      </w:r>
      <w:r>
        <w:rPr>
          <w:rFonts w:ascii="Times New Roman" w:hAnsi="Times New Roman"/>
          <w:b w:val="0"/>
          <w:i w:val="0"/>
          <w:color w:val="3427E1"/>
          <w:sz w:val="21"/>
          <w:u w:val="none"/>
        </w:rPr>
        <w:t>). These measurements exclude data transfer and optimizer updates, so they do not represent full training-step or end-to-end training time.</w:t>
      </w:r>
    </w:p>
    <w:p>
      <w:pPr>
        <w:widowControl/>
        <w:ind w:firstLine="420"/>
        <w:rPr>
          <w:rFonts w:ascii="Times New Roman" w:hAnsi="Times New Roman" w:cs="Times New Roman"/>
          <w:color w:val="3427E1"/>
          <w:szCs w:val="21"/>
        </w:rPr>
      </w:pPr>
      <w:r>
        <w:rPr>
          <w:rFonts w:ascii="Times New Roman" w:hAnsi="Times New Roman"/>
          <w:b w:val="0"/>
          <w:i w:val="0"/>
          <w:color w:val="3427E1"/>
          <w:sz w:val="21"/>
          <w:u w:val="none"/>
        </w:rPr>
        <w:t xml:space="preserve">The results quantify the combined cost of IGGA, GATH, and the auxiliary objectives; they do not separately profile spatial-mask computation, GATH aggregation, or </w:t>
      </w:r>
      <w:r>
        <w:rPr>
          <w:rFonts w:ascii="Times New Roman" w:hAnsi="Times New Roman"/>
          <w:b w:val="0"/>
          <w:i w:val="0"/>
          <w:color w:val="3427E1"/>
          <w:sz w:val="21"/>
          <w:u w:val="none"/>
        </w:rPr>
        <w:t>L</w:t>
      </w:r>
      <w:r>
        <w:rPr>
          <w:rFonts w:ascii="Times New Roman" w:hAnsi="Times New Roman"/>
          <w:b w:val="0"/>
          <w:i w:val="0"/>
          <w:color w:val="3427E1"/>
          <w:sz w:val="21"/>
          <w:u w:val="none"/>
          <w:vertAlign w:val="subscript"/>
        </w:rPr>
        <w:t>gate</w:t>
      </w:r>
      <w:r>
        <w:rPr>
          <w:rFonts w:ascii="Times New Roman" w:hAnsi="Times New Roman"/>
          <w:b w:val="0"/>
          <w:i w:val="0"/>
          <w:color w:val="3427E1"/>
          <w:sz w:val="21"/>
          <w:u w:val="none"/>
        </w:rPr>
        <w:t xml:space="preserve">. GATH is removed at inference, whereas IGGA remains active. Please see the table entitled </w:t>
      </w:r>
      <w:r>
        <w:rPr>
          <w:rFonts w:ascii="Times New Roman" w:hAnsi="Times New Roman"/>
          <w:b w:val="0"/>
          <w:i/>
          <w:color w:val="3427E1"/>
          <w:sz w:val="21"/>
          <w:u w:val="none"/>
        </w:rPr>
        <w:t>Efficiency comparison on one NVIDIA RTX 3090</w:t>
      </w:r>
      <w:r>
        <w:rPr>
          <w:rFonts w:ascii="Times New Roman" w:hAnsi="Times New Roman"/>
          <w:b w:val="0"/>
          <w:i w:val="0"/>
          <w:color w:val="3427E1"/>
          <w:sz w:val="21"/>
          <w:u w:val="none"/>
        </w:rPr>
        <w:t>.</w:t>
      </w:r>
    </w:p>
    <w:p>
      <w:pPr>
        <w:keepNext/>
        <w:widowControl/>
        <w:ind w:firstLine="0"/>
        <w:rPr>
          <w:rFonts w:ascii="Times New Roman" w:hAnsi="Times New Roman" w:cs="Times New Roman"/>
          <w:color w:val="3427E1"/>
          <w:szCs w:val="21"/>
        </w:rPr>
      </w:pPr>
      <w:r>
        <w:rPr>
          <w:rFonts w:ascii="Times New Roman" w:hAnsi="Times New Roman" w:eastAsia="宋体"/>
          <w:b w:val="0"/>
          <w:i w:val="0"/>
          <w:color w:val="3427E1"/>
          <w:sz w:val="21"/>
          <w:u w:val="none"/>
        </w:rPr>
        <w:t xml:space="preserve">The efficiency comparison and the accompanying discussion are reproduced below. </w:t>
      </w:r>
      <w:r>
        <w:rPr>
          <w:rFonts w:ascii="Times New Roman" w:hAnsi="Times New Roman"/>
          <w:color w:val="C45911"/>
          <w:sz w:val="21"/>
          <w:u w:val="single"/>
        </w:rPr>
        <w:t>[Section IV-C, Computational Efficiency]</w:t>
      </w:r>
    </w:p>
    <w:p>
      <w:pPr>
        <w:keepNext w:val="0"/>
        <w:widowControl/>
        <w:ind w:firstLine="0"/>
        <w:rPr>
          <w:rFonts w:ascii="Times New Roman" w:hAnsi="Times New Roman" w:cs="Times New Roman"/>
          <w:color w:val="3427E1"/>
          <w:szCs w:val="21"/>
        </w:rPr>
      </w:pPr>
      <w:r>
        <w:rPr>
          <w:rFonts w:ascii="Times New Roman" w:hAnsi="Times New Roman" w:eastAsia="宋体"/>
          <w:b w:val="0"/>
          <w:i w:val="0"/>
          <w:color w:val="C45911"/>
          <w:sz w:val="21"/>
          <w:u w:val="none"/>
        </w:rPr>
        <w:t>【截图位置 R1-C3：图 A：完整效率表及表题 “Efficiency comparison on one NVIDIA RTX 3090”，包含训练和推理设置说明（tab:efficiency，tex 717–748 行）。图 B：Computational Efficiency 两段正文（750–753 行）。 插图后删除本标注。】</w:t>
      </w:r>
    </w:p>
    <w:p/>
    <w:p>
      <w:pPr>
        <w:keepNext/>
        <w:widowControl/>
        <w:rPr>
          <w:rFonts w:ascii="Times New Roman" w:hAnsi="Times New Roman" w:cs="Times New Roman"/>
          <w:color w:val="000000" w:themeColor="text1"/>
          <w:szCs w:val="21"/>
        </w:rPr>
      </w:pPr>
      <w:r>
        <w:rPr>
          <w:rFonts w:ascii="Times New Roman" w:hAnsi="Times New Roman"/>
          <w:b/>
          <w:i w:val="0"/>
          <w:color w:val="000000"/>
          <w:sz w:val="21"/>
          <w:u w:val="single"/>
        </w:rPr>
        <w:t>Comment 4:</w:t>
      </w:r>
    </w:p>
    <w:p>
      <w:pPr>
        <w:widowControl/>
        <w:jc w:val="left"/>
        <w:rPr>
          <w:rFonts w:ascii="Times New Roman" w:hAnsi="Times New Roman" w:cs="Times New Roman"/>
          <w:szCs w:val="21"/>
        </w:rPr>
      </w:pPr>
      <w:r>
        <w:rPr>
          <w:rFonts w:ascii="Times New Roman" w:hAnsi="Times New Roman"/>
          <w:b w:val="0"/>
          <w:i w:val="0"/>
          <w:color w:val="000000"/>
          <w:sz w:val="21"/>
          <w:u w:val="none"/>
        </w:rPr>
        <w:t>All experiments are conducted with Vicuna-7B-v1.5 as the sole LLM backbone. Given that the proposed modules (IGGA and GATH) are designed to be backbone-agnostic, it is important to validate their effectiveness across different LLM architectures and scales. At minimum, results with LLaMA-2-7B or LLaMA-3-8B would demonstrate generalizability. Additionally, the paper would benefit from experiments with a larger LLM (e.g., Vicuna-13B) to investigate whether the benefits of hierarchical spatial regulation persist or diminish at larger scales, as larger models may inherently exhibit different modality integration behaviors.</w:t>
      </w:r>
    </w:p>
    <w:p>
      <w:pPr>
        <w:keepNext/>
        <w:widowControl/>
        <w:rPr>
          <w:rFonts w:ascii="Times New Roman" w:hAnsi="Times New Roman" w:cs="Times New Roman"/>
          <w:b/>
          <w:bCs/>
          <w:color w:val="3427E1"/>
          <w:szCs w:val="21"/>
          <w:u w:val="single"/>
        </w:rPr>
      </w:pPr>
      <w:r>
        <w:rPr>
          <w:rFonts w:ascii="Times New Roman" w:hAnsi="Times New Roman"/>
          <w:b/>
          <w:i w:val="0"/>
          <w:color w:val="3427E1"/>
          <w:sz w:val="21"/>
          <w:u w:val="single"/>
        </w:rPr>
        <w:t>REPLY:</w:t>
      </w:r>
    </w:p>
    <w:p>
      <w:pPr>
        <w:widowControl/>
        <w:ind w:firstLine="420"/>
        <w:rPr>
          <w:rFonts w:ascii="Times New Roman" w:hAnsi="Times New Roman" w:cs="Times New Roman"/>
          <w:color w:val="3427E1"/>
          <w:szCs w:val="21"/>
        </w:rPr>
      </w:pPr>
      <w:r>
        <w:rPr>
          <w:rFonts w:ascii="Times New Roman" w:hAnsi="Times New Roman"/>
          <w:b w:val="0"/>
          <w:i w:val="0"/>
          <w:color w:val="3427E1"/>
          <w:sz w:val="21"/>
          <w:u w:val="none"/>
        </w:rPr>
        <w:t>We agree that testing additional LLM families and scales would establish the scope of transferability more directly. Here, we retain Chat-Scene's Vicuna-7B-v1.5 backbone to evaluate the proposed geometric regulation within the same object-centric framework, without introducing backbone changes into the comparison.</w:t>
      </w:r>
    </w:p>
    <w:p>
      <w:pPr>
        <w:widowControl/>
        <w:ind w:firstLine="420"/>
        <w:rPr>
          <w:rFonts w:ascii="Times New Roman" w:hAnsi="Times New Roman" w:cs="Times New Roman"/>
          <w:color w:val="3427E1"/>
          <w:szCs w:val="21"/>
        </w:rPr>
      </w:pPr>
      <w:r>
        <w:rPr>
          <w:rFonts w:ascii="Times New Roman" w:hAnsi="Times New Roman"/>
          <w:b w:val="0"/>
          <w:i w:val="0"/>
          <w:color w:val="3427E1"/>
          <w:sz w:val="21"/>
          <w:u w:val="none"/>
        </w:rPr>
        <w:t>The current results establish effectiveness in this setting, not empirical backbone independence. Section V identifies evaluation with other language-model backbones as future work, and our conclusions are restricted to the evaluated framework and benchmarks.</w:t>
      </w:r>
    </w:p>
    <w:p>
      <w:pPr>
        <w:keepNext/>
        <w:widowControl/>
        <w:ind w:firstLine="0"/>
        <w:rPr>
          <w:rFonts w:ascii="Times New Roman" w:hAnsi="Times New Roman" w:cs="Times New Roman"/>
          <w:color w:val="3427E1"/>
          <w:szCs w:val="21"/>
        </w:rPr>
      </w:pPr>
      <w:r>
        <w:rPr>
          <w:rFonts w:ascii="Times New Roman" w:hAnsi="Times New Roman" w:eastAsia="宋体"/>
          <w:b w:val="0"/>
          <w:i w:val="0"/>
          <w:color w:val="3427E1"/>
          <w:sz w:val="21"/>
          <w:u w:val="none"/>
        </w:rPr>
        <w:t xml:space="preserve">The corresponding discussion of backbone transferability is reproduced below. </w:t>
      </w:r>
      <w:r>
        <w:rPr>
          <w:rFonts w:ascii="Times New Roman" w:hAnsi="Times New Roman"/>
          <w:color w:val="C45911"/>
          <w:sz w:val="21"/>
          <w:u w:val="single"/>
        </w:rPr>
        <w:t>[Section V, Limitations and Future Work]</w:t>
      </w:r>
    </w:p>
    <w:p>
      <w:pPr>
        <w:keepNext w:val="0"/>
        <w:widowControl/>
        <w:ind w:firstLine="0"/>
        <w:rPr>
          <w:rFonts w:ascii="Times New Roman" w:hAnsi="Times New Roman" w:cs="Times New Roman"/>
          <w:color w:val="3427E1"/>
          <w:szCs w:val="21"/>
        </w:rPr>
      </w:pPr>
      <w:r>
        <w:rPr>
          <w:rFonts w:ascii="Times New Roman" w:hAnsi="Times New Roman" w:eastAsia="宋体"/>
          <w:b w:val="0"/>
          <w:i w:val="0"/>
          <w:color w:val="C45911"/>
          <w:sz w:val="21"/>
          <w:u w:val="none"/>
        </w:rPr>
        <w:t>【截图位置 R1-C4：截取 V 中 “In GATH, the selection of intermediate supervision layers is currently predefined” 及紧随的 “Evaluating adaptive layer selection strategies with different language-model backbones…”（tex 811 行中部两句）。 插图后删除本标注。】</w:t>
      </w:r>
    </w:p>
    <w:p/>
    <w:p>
      <w:pPr>
        <w:keepNext/>
        <w:widowControl/>
        <w:rPr>
          <w:rFonts w:ascii="Times New Roman" w:hAnsi="Times New Roman" w:cs="Times New Roman"/>
          <w:color w:val="000000" w:themeColor="text1"/>
          <w:szCs w:val="21"/>
        </w:rPr>
      </w:pPr>
      <w:r>
        <w:rPr>
          <w:rFonts w:ascii="Times New Roman" w:hAnsi="Times New Roman"/>
          <w:b/>
          <w:i w:val="0"/>
          <w:color w:val="000000"/>
          <w:sz w:val="21"/>
          <w:u w:val="single"/>
        </w:rPr>
        <w:t>Comment 5:</w:t>
      </w:r>
    </w:p>
    <w:p>
      <w:pPr>
        <w:widowControl/>
        <w:jc w:val="left"/>
        <w:rPr>
          <w:rFonts w:ascii="Times New Roman" w:hAnsi="Times New Roman" w:cs="Times New Roman"/>
          <w:szCs w:val="21"/>
        </w:rPr>
      </w:pPr>
      <w:r>
        <w:rPr>
          <w:rFonts w:ascii="Times New Roman" w:hAnsi="Times New Roman"/>
          <w:b w:val="0"/>
          <w:i w:val="0"/>
          <w:color w:val="000000"/>
          <w:sz w:val="21"/>
          <w:u w:val="none"/>
        </w:rPr>
        <w:t>The performance improvements over Chat-Scene, while consistent, are relatively modest in absolute terms (e.g., +1.0</w:t>
      </w:r>
      <w:r>
        <w:rPr>
          <w:rFonts w:ascii="Times New Roman" w:hAnsi="Times New Roman"/>
          <w:b w:val="0"/>
          <w:i w:val="0"/>
          <w:color w:val="000000"/>
          <w:sz w:val="21"/>
          <w:u w:val="none"/>
        </w:rPr>
        <w:t>%</w:t>
      </w:r>
      <w:r>
        <w:rPr>
          <w:rFonts w:ascii="Times New Roman" w:hAnsi="Times New Roman"/>
          <w:b w:val="0"/>
          <w:i w:val="0"/>
          <w:color w:val="000000"/>
          <w:sz w:val="21"/>
          <w:u w:val="none"/>
        </w:rPr>
        <w:t xml:space="preserve"> Acc@0.25 on ScanRefer, +0.9</w:t>
      </w:r>
      <w:r>
        <w:rPr>
          <w:rFonts w:ascii="Times New Roman" w:hAnsi="Times New Roman"/>
          <w:b w:val="0"/>
          <w:i w:val="0"/>
          <w:color w:val="000000"/>
          <w:sz w:val="21"/>
          <w:u w:val="none"/>
        </w:rPr>
        <w:t>%</w:t>
      </w:r>
      <w:r>
        <w:rPr>
          <w:rFonts w:ascii="Times New Roman" w:hAnsi="Times New Roman"/>
          <w:b w:val="0"/>
          <w:i w:val="0"/>
          <w:color w:val="000000"/>
          <w:sz w:val="21"/>
          <w:u w:val="none"/>
        </w:rPr>
        <w:t xml:space="preserve"> Acc@0.5). The paper does not report standard deviations or confidence intervals across multiple runs, making it difficult to assess whether these gains are statistically significant. Given the inherent randomness in LLM fine-tuning with LoRA, the authors should report mean and standard deviation over at least three random seeds. Furthermore, the paper should discuss whether the LoRA rank (16), learning rate schedule, and loss weights (</w:t>
      </w:r>
      <w:r>
        <w:rPr>
          <w:rFonts w:ascii="Times New Roman" w:hAnsi="Times New Roman"/>
          <w:b w:val="0"/>
          <w:i w:val="0"/>
          <w:color w:val="000000"/>
          <w:sz w:val="21"/>
          <w:u w:val="none"/>
        </w:rPr>
        <w:t>λ</w:t>
      </w:r>
      <w:r>
        <w:rPr>
          <w:rFonts w:ascii="Times New Roman" w:hAnsi="Times New Roman"/>
          <w:b w:val="0"/>
          <w:i w:val="0"/>
          <w:color w:val="000000"/>
          <w:sz w:val="21"/>
          <w:u w:val="none"/>
          <w:vertAlign w:val="subscript"/>
        </w:rPr>
        <w:t>gate</w:t>
      </w:r>
      <w:r>
        <w:rPr>
          <w:rFonts w:ascii="Times New Roman" w:hAnsi="Times New Roman"/>
          <w:b w:val="0"/>
          <w:i w:val="0"/>
          <w:color w:val="000000"/>
          <w:sz w:val="21"/>
          <w:u w:val="none"/>
        </w:rPr>
        <w:t xml:space="preserve">=1.0, </w:t>
      </w:r>
      <w:r>
        <w:rPr>
          <w:rFonts w:ascii="Times New Roman" w:hAnsi="Times New Roman"/>
          <w:b w:val="0"/>
          <w:i w:val="0"/>
          <w:color w:val="000000"/>
          <w:sz w:val="21"/>
          <w:u w:val="none"/>
        </w:rPr>
        <w:t>λ</w:t>
      </w:r>
      <w:r>
        <w:rPr>
          <w:rFonts w:ascii="Times New Roman" w:hAnsi="Times New Roman"/>
          <w:b w:val="0"/>
          <w:i w:val="0"/>
          <w:color w:val="000000"/>
          <w:sz w:val="21"/>
          <w:u w:val="none"/>
          <w:vertAlign w:val="subscript"/>
        </w:rPr>
        <w:t>coord</w:t>
      </w:r>
      <w:r>
        <w:rPr>
          <w:rFonts w:ascii="Times New Roman" w:hAnsi="Times New Roman"/>
          <w:b w:val="0"/>
          <w:i w:val="0"/>
          <w:color w:val="000000"/>
          <w:sz w:val="21"/>
          <w:u w:val="none"/>
        </w:rPr>
        <w:t>=0.1) were tuned, and provide sensitivity analyses for these hyperparameters.</w:t>
      </w:r>
    </w:p>
    <w:p>
      <w:pPr>
        <w:keepNext/>
        <w:widowControl/>
        <w:rPr>
          <w:rFonts w:ascii="Times New Roman" w:hAnsi="Times New Roman" w:cs="Times New Roman"/>
          <w:b/>
          <w:bCs/>
          <w:color w:val="3427E1"/>
          <w:szCs w:val="21"/>
          <w:u w:val="single"/>
        </w:rPr>
      </w:pPr>
      <w:r>
        <w:rPr>
          <w:rFonts w:ascii="Times New Roman" w:hAnsi="Times New Roman"/>
          <w:b/>
          <w:i w:val="0"/>
          <w:color w:val="3427E1"/>
          <w:sz w:val="21"/>
          <w:u w:val="single"/>
        </w:rPr>
        <w:t>REPLY:</w:t>
      </w:r>
    </w:p>
    <w:p>
      <w:pPr>
        <w:widowControl/>
        <w:ind w:firstLine="420"/>
        <w:rPr>
          <w:rFonts w:ascii="Times New Roman" w:hAnsi="Times New Roman" w:cs="Times New Roman"/>
          <w:color w:val="3427E1"/>
          <w:szCs w:val="21"/>
        </w:rPr>
      </w:pPr>
      <w:r>
        <w:rPr>
          <w:rFonts w:ascii="Times New Roman" w:hAnsi="Times New Roman"/>
          <w:i w:val="0"/>
          <w:color w:val="3427E1"/>
          <w:sz w:val="21"/>
        </w:rPr>
        <w:t>Thank you for emphasizing optimization stability. We evaluated the complete GeoAnchor3D configuration using random seeds 42, 2025, and 3407 under the same three-epoch training protocol. The initialization checkpoint, datasets, hyperparameters, checkpoint-selection rule, and evaluation protocol were held fixed. The table below reports the mean and sample standard deviation across the three runs.</w:t>
      </w:r>
    </w:p>
    <w:p>
      <w:pPr>
        <w:keepNext/>
        <w:widowControl/>
        <w:ind w:firstLine="0"/>
        <w:rPr>
          <w:rFonts w:ascii="Times New Roman" w:hAnsi="Times New Roman" w:cs="Times New Roman"/>
          <w:color w:val="3427E1"/>
          <w:szCs w:val="21"/>
        </w:rPr>
      </w:pPr>
      <w:r>
        <w:rPr>
          <w:rFonts w:ascii="Times New Roman" w:hAnsi="Times New Roman"/>
          <w:i w:val="0"/>
          <w:color w:val="3427E1"/>
          <w:sz w:val="21"/>
        </w:rPr>
        <w:t>Three-seed results for the complete GeoAnchor3D model (mean ± sample standard deviation).</w:t>
      </w:r>
    </w:p>
    <w:tbl>
      <w:tblPr>
        <w:tblW w:type="auto" w:w="0"/>
        <w:tblLayout w:type="fixed"/>
        <w:tblLook w:firstColumn="1" w:firstRow="1" w:lastColumn="0" w:lastRow="0" w:noHBand="0" w:noVBand="1" w:val="04A0"/>
      </w:tblPr>
      <w:tblGrid>
        <w:gridCol w:w="2769"/>
        <w:gridCol w:w="2769"/>
        <w:gridCol w:w="2769"/>
      </w:tblGrid>
      <w:tr>
        <w:trPr>
          <w:tblHeader/>
        </w:trPr>
        <w:tc>
          <w:tcPr>
            <w:tcW w:type="dxa" w:w="2592"/>
            <w:tcBorders>
              <w:top w:val="single" w:sz="4" w:color="D9D9D9"/>
              <w:left w:val="single" w:sz="4" w:color="D9D9D9"/>
              <w:bottom w:val="single" w:sz="4" w:color="D9D9D9"/>
              <w:right w:val="single" w:sz="4" w:color="D9D9D9"/>
            </w:tcBorders>
            <w:shd w:fill="F2F2F2"/>
          </w:tcPr>
          <w:p>
            <w:pPr>
              <w:spacing w:after="60" w:before="60"/>
            </w:pPr>
            <w:r>
              <w:rPr>
                <w:rFonts w:ascii="Times New Roman" w:hAnsi="Times New Roman"/>
                <w:b/>
                <w:i w:val="0"/>
                <w:color w:val="3427E1"/>
                <w:sz w:val="21"/>
              </w:rPr>
              <w:t>Dataset</w:t>
            </w:r>
          </w:p>
        </w:tc>
        <w:tc>
          <w:tcPr>
            <w:tcW w:type="dxa" w:w="2592"/>
            <w:tcBorders>
              <w:top w:val="single" w:sz="4" w:color="D9D9D9"/>
              <w:left w:val="single" w:sz="4" w:color="D9D9D9"/>
              <w:bottom w:val="single" w:sz="4" w:color="D9D9D9"/>
              <w:right w:val="single" w:sz="4" w:color="D9D9D9"/>
            </w:tcBorders>
            <w:shd w:fill="F2F2F2"/>
          </w:tcPr>
          <w:p>
            <w:pPr>
              <w:spacing w:after="60" w:before="60"/>
            </w:pPr>
            <w:r>
              <w:rPr>
                <w:rFonts w:ascii="Times New Roman" w:hAnsi="Times New Roman"/>
                <w:b/>
                <w:i w:val="0"/>
                <w:color w:val="3427E1"/>
                <w:sz w:val="21"/>
              </w:rPr>
              <w:t>Metric</w:t>
            </w:r>
          </w:p>
        </w:tc>
        <w:tc>
          <w:tcPr>
            <w:tcW w:type="dxa" w:w="3024"/>
            <w:tcBorders>
              <w:top w:val="single" w:sz="4" w:color="D9D9D9"/>
              <w:left w:val="single" w:sz="4" w:color="D9D9D9"/>
              <w:bottom w:val="single" w:sz="4" w:color="D9D9D9"/>
              <w:right w:val="single" w:sz="4" w:color="D9D9D9"/>
            </w:tcBorders>
            <w:shd w:fill="F2F2F2"/>
          </w:tcPr>
          <w:p>
            <w:pPr>
              <w:spacing w:after="60" w:before="60"/>
            </w:pPr>
            <w:r>
              <w:rPr>
                <w:rFonts w:ascii="Times New Roman" w:hAnsi="Times New Roman"/>
                <w:b/>
                <w:i w:val="0"/>
                <w:color w:val="3427E1"/>
                <w:sz w:val="21"/>
              </w:rPr>
              <w:t>Mean ± Std.</w:t>
            </w:r>
          </w:p>
        </w:tc>
      </w:tr>
      <w:tr>
        <w:tc>
          <w:tcPr>
            <w:tcW w:type="dxa" w:w="2592"/>
            <w:tcBorders>
              <w:top w:val="single" w:sz="4" w:color="D9D9D9"/>
              <w:left w:val="single" w:sz="4" w:color="D9D9D9"/>
              <w:bottom w:val="single" w:sz="4" w:color="D9D9D9"/>
              <w:right w:val="single" w:sz="4" w:color="D9D9D9"/>
            </w:tcBorders>
          </w:tcPr>
          <w:p>
            <w:pPr>
              <w:spacing w:after="60" w:before="60"/>
            </w:pPr>
            <w:r>
              <w:rPr>
                <w:rFonts w:ascii="Times New Roman" w:hAnsi="Times New Roman"/>
                <w:i w:val="0"/>
                <w:color w:val="3427E1"/>
                <w:sz w:val="21"/>
              </w:rPr>
              <w:t>ScanRefer</w:t>
            </w:r>
          </w:p>
        </w:tc>
        <w:tc>
          <w:tcPr>
            <w:tcW w:type="dxa" w:w="2592"/>
            <w:tcBorders>
              <w:top w:val="single" w:sz="4" w:color="D9D9D9"/>
              <w:left w:val="single" w:sz="4" w:color="D9D9D9"/>
              <w:bottom w:val="single" w:sz="4" w:color="D9D9D9"/>
              <w:right w:val="single" w:sz="4" w:color="D9D9D9"/>
            </w:tcBorders>
          </w:tcPr>
          <w:p>
            <w:pPr>
              <w:spacing w:after="60" w:before="60"/>
            </w:pPr>
            <w:r>
              <w:rPr>
                <w:rFonts w:ascii="Times New Roman" w:hAnsi="Times New Roman"/>
                <w:i w:val="0"/>
                <w:color w:val="3427E1"/>
                <w:sz w:val="21"/>
              </w:rPr>
              <w:t>Acc@0.25</w:t>
            </w:r>
          </w:p>
        </w:tc>
        <w:tc>
          <w:tcPr>
            <w:tcW w:type="dxa" w:w="3024"/>
            <w:tcBorders>
              <w:top w:val="single" w:sz="4" w:color="D9D9D9"/>
              <w:left w:val="single" w:sz="4" w:color="D9D9D9"/>
              <w:bottom w:val="single" w:sz="4" w:color="D9D9D9"/>
              <w:right w:val="single" w:sz="4" w:color="D9D9D9"/>
            </w:tcBorders>
          </w:tcPr>
          <w:p>
            <w:pPr>
              <w:spacing w:after="60" w:before="60"/>
            </w:pPr>
            <w:r>
              <w:rPr>
                <w:rFonts w:ascii="Times New Roman" w:hAnsi="Times New Roman"/>
                <w:i w:val="0"/>
                <w:color w:val="3427E1"/>
                <w:sz w:val="21"/>
              </w:rPr>
              <w:t>56.57 ± 0.21</w:t>
            </w:r>
          </w:p>
        </w:tc>
      </w:tr>
      <w:tr>
        <w:tc>
          <w:tcPr>
            <w:tcW w:type="dxa" w:w="2592"/>
            <w:tcBorders>
              <w:top w:val="single" w:sz="4" w:color="D9D9D9"/>
              <w:left w:val="single" w:sz="4" w:color="D9D9D9"/>
              <w:bottom w:val="single" w:sz="4" w:color="D9D9D9"/>
              <w:right w:val="single" w:sz="4" w:color="D9D9D9"/>
            </w:tcBorders>
          </w:tcPr>
          <w:p>
            <w:pPr>
              <w:spacing w:after="60" w:before="60"/>
            </w:pPr>
            <w:r>
              <w:rPr>
                <w:rFonts w:ascii="Times New Roman" w:hAnsi="Times New Roman"/>
                <w:i w:val="0"/>
                <w:color w:val="3427E1"/>
                <w:sz w:val="21"/>
              </w:rPr>
              <w:t>ScanRefer</w:t>
            </w:r>
          </w:p>
        </w:tc>
        <w:tc>
          <w:tcPr>
            <w:tcW w:type="dxa" w:w="2592"/>
            <w:tcBorders>
              <w:top w:val="single" w:sz="4" w:color="D9D9D9"/>
              <w:left w:val="single" w:sz="4" w:color="D9D9D9"/>
              <w:bottom w:val="single" w:sz="4" w:color="D9D9D9"/>
              <w:right w:val="single" w:sz="4" w:color="D9D9D9"/>
            </w:tcBorders>
          </w:tcPr>
          <w:p>
            <w:pPr>
              <w:spacing w:after="60" w:before="60"/>
            </w:pPr>
            <w:r>
              <w:rPr>
                <w:rFonts w:ascii="Times New Roman" w:hAnsi="Times New Roman"/>
                <w:i w:val="0"/>
                <w:color w:val="3427E1"/>
                <w:sz w:val="21"/>
              </w:rPr>
              <w:t>Acc@0.5</w:t>
            </w:r>
          </w:p>
        </w:tc>
        <w:tc>
          <w:tcPr>
            <w:tcW w:type="dxa" w:w="3024"/>
            <w:tcBorders>
              <w:top w:val="single" w:sz="4" w:color="D9D9D9"/>
              <w:left w:val="single" w:sz="4" w:color="D9D9D9"/>
              <w:bottom w:val="single" w:sz="4" w:color="D9D9D9"/>
              <w:right w:val="single" w:sz="4" w:color="D9D9D9"/>
            </w:tcBorders>
          </w:tcPr>
          <w:p>
            <w:pPr>
              <w:spacing w:after="60" w:before="60"/>
            </w:pPr>
            <w:r>
              <w:rPr>
                <w:rFonts w:ascii="Times New Roman" w:hAnsi="Times New Roman"/>
                <w:i w:val="0"/>
                <w:color w:val="3427E1"/>
                <w:sz w:val="21"/>
              </w:rPr>
              <w:t>51.10 ± 0.20</w:t>
            </w:r>
          </w:p>
        </w:tc>
      </w:tr>
      <w:tr>
        <w:tc>
          <w:tcPr>
            <w:tcW w:type="dxa" w:w="2592"/>
            <w:tcBorders>
              <w:top w:val="single" w:sz="4" w:color="D9D9D9"/>
              <w:left w:val="single" w:sz="4" w:color="D9D9D9"/>
              <w:bottom w:val="single" w:sz="4" w:color="D9D9D9"/>
              <w:right w:val="single" w:sz="4" w:color="D9D9D9"/>
            </w:tcBorders>
          </w:tcPr>
          <w:p>
            <w:pPr>
              <w:spacing w:after="60" w:before="60"/>
            </w:pPr>
            <w:r>
              <w:rPr>
                <w:rFonts w:ascii="Times New Roman" w:hAnsi="Times New Roman"/>
                <w:i w:val="0"/>
                <w:color w:val="3427E1"/>
                <w:sz w:val="21"/>
              </w:rPr>
              <w:t>Multi3DRefer</w:t>
            </w:r>
          </w:p>
        </w:tc>
        <w:tc>
          <w:tcPr>
            <w:tcW w:type="dxa" w:w="2592"/>
            <w:tcBorders>
              <w:top w:val="single" w:sz="4" w:color="D9D9D9"/>
              <w:left w:val="single" w:sz="4" w:color="D9D9D9"/>
              <w:bottom w:val="single" w:sz="4" w:color="D9D9D9"/>
              <w:right w:val="single" w:sz="4" w:color="D9D9D9"/>
            </w:tcBorders>
          </w:tcPr>
          <w:p>
            <w:pPr>
              <w:spacing w:after="60" w:before="60"/>
            </w:pPr>
            <w:r>
              <w:rPr>
                <w:rFonts w:ascii="Times New Roman" w:hAnsi="Times New Roman"/>
                <w:i w:val="0"/>
                <w:color w:val="3427E1"/>
                <w:sz w:val="21"/>
              </w:rPr>
              <w:t>F1@0.25</w:t>
            </w:r>
          </w:p>
        </w:tc>
        <w:tc>
          <w:tcPr>
            <w:tcW w:type="dxa" w:w="3024"/>
            <w:tcBorders>
              <w:top w:val="single" w:sz="4" w:color="D9D9D9"/>
              <w:left w:val="single" w:sz="4" w:color="D9D9D9"/>
              <w:bottom w:val="single" w:sz="4" w:color="D9D9D9"/>
              <w:right w:val="single" w:sz="4" w:color="D9D9D9"/>
            </w:tcBorders>
          </w:tcPr>
          <w:p>
            <w:pPr>
              <w:spacing w:after="60" w:before="60"/>
            </w:pPr>
            <w:r>
              <w:rPr>
                <w:rFonts w:ascii="Times New Roman" w:hAnsi="Times New Roman"/>
                <w:i w:val="0"/>
                <w:color w:val="3427E1"/>
                <w:sz w:val="21"/>
              </w:rPr>
              <w:t>59.00 ± 0.17</w:t>
            </w:r>
          </w:p>
        </w:tc>
      </w:tr>
      <w:tr>
        <w:tc>
          <w:tcPr>
            <w:tcW w:type="dxa" w:w="2592"/>
            <w:tcBorders>
              <w:top w:val="single" w:sz="4" w:color="D9D9D9"/>
              <w:left w:val="single" w:sz="4" w:color="D9D9D9"/>
              <w:bottom w:val="single" w:sz="4" w:color="D9D9D9"/>
              <w:right w:val="single" w:sz="4" w:color="D9D9D9"/>
            </w:tcBorders>
          </w:tcPr>
          <w:p>
            <w:pPr>
              <w:spacing w:after="60" w:before="60"/>
            </w:pPr>
            <w:r>
              <w:rPr>
                <w:rFonts w:ascii="Times New Roman" w:hAnsi="Times New Roman"/>
                <w:i w:val="0"/>
                <w:color w:val="3427E1"/>
                <w:sz w:val="21"/>
              </w:rPr>
              <w:t>Multi3DRefer</w:t>
            </w:r>
          </w:p>
        </w:tc>
        <w:tc>
          <w:tcPr>
            <w:tcW w:type="dxa" w:w="2592"/>
            <w:tcBorders>
              <w:top w:val="single" w:sz="4" w:color="D9D9D9"/>
              <w:left w:val="single" w:sz="4" w:color="D9D9D9"/>
              <w:bottom w:val="single" w:sz="4" w:color="D9D9D9"/>
              <w:right w:val="single" w:sz="4" w:color="D9D9D9"/>
            </w:tcBorders>
          </w:tcPr>
          <w:p>
            <w:pPr>
              <w:spacing w:after="60" w:before="60"/>
            </w:pPr>
            <w:r>
              <w:rPr>
                <w:rFonts w:ascii="Times New Roman" w:hAnsi="Times New Roman"/>
                <w:i w:val="0"/>
                <w:color w:val="3427E1"/>
                <w:sz w:val="21"/>
              </w:rPr>
              <w:t>F1@0.5</w:t>
            </w:r>
          </w:p>
        </w:tc>
        <w:tc>
          <w:tcPr>
            <w:tcW w:type="dxa" w:w="3024"/>
            <w:tcBorders>
              <w:top w:val="single" w:sz="4" w:color="D9D9D9"/>
              <w:left w:val="single" w:sz="4" w:color="D9D9D9"/>
              <w:bottom w:val="single" w:sz="4" w:color="D9D9D9"/>
              <w:right w:val="single" w:sz="4" w:color="D9D9D9"/>
            </w:tcBorders>
          </w:tcPr>
          <w:p>
            <w:pPr>
              <w:spacing w:after="60" w:before="60"/>
            </w:pPr>
            <w:r>
              <w:rPr>
                <w:rFonts w:ascii="Times New Roman" w:hAnsi="Times New Roman"/>
                <w:i w:val="0"/>
                <w:color w:val="3427E1"/>
                <w:sz w:val="21"/>
              </w:rPr>
              <w:t>54.53 ± 0.06</w:t>
            </w:r>
          </w:p>
        </w:tc>
      </w:tr>
      <w:tr>
        <w:tc>
          <w:tcPr>
            <w:tcW w:type="dxa" w:w="2592"/>
            <w:tcBorders>
              <w:top w:val="single" w:sz="4" w:color="D9D9D9"/>
              <w:left w:val="single" w:sz="4" w:color="D9D9D9"/>
              <w:bottom w:val="single" w:sz="4" w:color="D9D9D9"/>
              <w:right w:val="single" w:sz="4" w:color="D9D9D9"/>
            </w:tcBorders>
          </w:tcPr>
          <w:p>
            <w:pPr>
              <w:spacing w:after="60" w:before="60"/>
            </w:pPr>
            <w:r>
              <w:rPr>
                <w:rFonts w:ascii="Times New Roman" w:hAnsi="Times New Roman"/>
                <w:i w:val="0"/>
                <w:color w:val="3427E1"/>
                <w:sz w:val="21"/>
              </w:rPr>
              <w:t>ScanQA</w:t>
            </w:r>
          </w:p>
        </w:tc>
        <w:tc>
          <w:tcPr>
            <w:tcW w:type="dxa" w:w="2592"/>
            <w:tcBorders>
              <w:top w:val="single" w:sz="4" w:color="D9D9D9"/>
              <w:left w:val="single" w:sz="4" w:color="D9D9D9"/>
              <w:bottom w:val="single" w:sz="4" w:color="D9D9D9"/>
              <w:right w:val="single" w:sz="4" w:color="D9D9D9"/>
            </w:tcBorders>
          </w:tcPr>
          <w:p>
            <w:pPr>
              <w:spacing w:after="60" w:before="60"/>
            </w:pPr>
            <w:r>
              <w:rPr>
                <w:rFonts w:ascii="Times New Roman" w:hAnsi="Times New Roman"/>
                <w:i w:val="0"/>
                <w:color w:val="3427E1"/>
                <w:sz w:val="21"/>
              </w:rPr>
              <w:t>BLEU-1</w:t>
            </w:r>
          </w:p>
        </w:tc>
        <w:tc>
          <w:tcPr>
            <w:tcW w:type="dxa" w:w="3024"/>
            <w:tcBorders>
              <w:top w:val="single" w:sz="4" w:color="D9D9D9"/>
              <w:left w:val="single" w:sz="4" w:color="D9D9D9"/>
              <w:bottom w:val="single" w:sz="4" w:color="D9D9D9"/>
              <w:right w:val="single" w:sz="4" w:color="D9D9D9"/>
            </w:tcBorders>
          </w:tcPr>
          <w:p>
            <w:pPr>
              <w:spacing w:after="60" w:before="60"/>
            </w:pPr>
            <w:r>
              <w:rPr>
                <w:rFonts w:ascii="Times New Roman" w:hAnsi="Times New Roman"/>
                <w:i w:val="0"/>
                <w:color w:val="3427E1"/>
                <w:sz w:val="21"/>
              </w:rPr>
              <w:t>42.63 ± 0.51</w:t>
            </w:r>
          </w:p>
        </w:tc>
      </w:tr>
      <w:tr>
        <w:tc>
          <w:tcPr>
            <w:tcW w:type="dxa" w:w="2592"/>
            <w:tcBorders>
              <w:top w:val="single" w:sz="4" w:color="D9D9D9"/>
              <w:left w:val="single" w:sz="4" w:color="D9D9D9"/>
              <w:bottom w:val="single" w:sz="4" w:color="D9D9D9"/>
              <w:right w:val="single" w:sz="4" w:color="D9D9D9"/>
            </w:tcBorders>
          </w:tcPr>
          <w:p>
            <w:pPr>
              <w:spacing w:after="60" w:before="60"/>
            </w:pPr>
            <w:r>
              <w:rPr>
                <w:rFonts w:ascii="Times New Roman" w:hAnsi="Times New Roman"/>
                <w:i w:val="0"/>
                <w:color w:val="3427E1"/>
                <w:sz w:val="21"/>
              </w:rPr>
              <w:t>ScanQA</w:t>
            </w:r>
          </w:p>
        </w:tc>
        <w:tc>
          <w:tcPr>
            <w:tcW w:type="dxa" w:w="2592"/>
            <w:tcBorders>
              <w:top w:val="single" w:sz="4" w:color="D9D9D9"/>
              <w:left w:val="single" w:sz="4" w:color="D9D9D9"/>
              <w:bottom w:val="single" w:sz="4" w:color="D9D9D9"/>
              <w:right w:val="single" w:sz="4" w:color="D9D9D9"/>
            </w:tcBorders>
          </w:tcPr>
          <w:p>
            <w:pPr>
              <w:spacing w:after="60" w:before="60"/>
            </w:pPr>
            <w:r>
              <w:rPr>
                <w:rFonts w:ascii="Times New Roman" w:hAnsi="Times New Roman"/>
                <w:i w:val="0"/>
                <w:color w:val="3427E1"/>
                <w:sz w:val="21"/>
              </w:rPr>
              <w:t>BLEU-4</w:t>
            </w:r>
          </w:p>
        </w:tc>
        <w:tc>
          <w:tcPr>
            <w:tcW w:type="dxa" w:w="3024"/>
            <w:tcBorders>
              <w:top w:val="single" w:sz="4" w:color="D9D9D9"/>
              <w:left w:val="single" w:sz="4" w:color="D9D9D9"/>
              <w:bottom w:val="single" w:sz="4" w:color="D9D9D9"/>
              <w:right w:val="single" w:sz="4" w:color="D9D9D9"/>
            </w:tcBorders>
          </w:tcPr>
          <w:p>
            <w:pPr>
              <w:spacing w:after="60" w:before="60"/>
            </w:pPr>
            <w:r>
              <w:rPr>
                <w:rFonts w:ascii="Times New Roman" w:hAnsi="Times New Roman"/>
                <w:i w:val="0"/>
                <w:color w:val="3427E1"/>
                <w:sz w:val="21"/>
              </w:rPr>
              <w:t>14.10 ± 0.26</w:t>
            </w:r>
          </w:p>
        </w:tc>
      </w:tr>
      <w:tr>
        <w:tc>
          <w:tcPr>
            <w:tcW w:type="dxa" w:w="2592"/>
            <w:tcBorders>
              <w:top w:val="single" w:sz="4" w:color="D9D9D9"/>
              <w:left w:val="single" w:sz="4" w:color="D9D9D9"/>
              <w:bottom w:val="single" w:sz="4" w:color="D9D9D9"/>
              <w:right w:val="single" w:sz="4" w:color="D9D9D9"/>
            </w:tcBorders>
          </w:tcPr>
          <w:p>
            <w:pPr>
              <w:spacing w:after="60" w:before="60"/>
            </w:pPr>
            <w:r>
              <w:rPr>
                <w:rFonts w:ascii="Times New Roman" w:hAnsi="Times New Roman"/>
                <w:i w:val="0"/>
                <w:color w:val="3427E1"/>
                <w:sz w:val="21"/>
              </w:rPr>
              <w:t>ScanQA</w:t>
            </w:r>
          </w:p>
        </w:tc>
        <w:tc>
          <w:tcPr>
            <w:tcW w:type="dxa" w:w="2592"/>
            <w:tcBorders>
              <w:top w:val="single" w:sz="4" w:color="D9D9D9"/>
              <w:left w:val="single" w:sz="4" w:color="D9D9D9"/>
              <w:bottom w:val="single" w:sz="4" w:color="D9D9D9"/>
              <w:right w:val="single" w:sz="4" w:color="D9D9D9"/>
            </w:tcBorders>
          </w:tcPr>
          <w:p>
            <w:pPr>
              <w:spacing w:after="60" w:before="60"/>
            </w:pPr>
            <w:r>
              <w:rPr>
                <w:rFonts w:ascii="Times New Roman" w:hAnsi="Times New Roman"/>
                <w:i w:val="0"/>
                <w:color w:val="3427E1"/>
                <w:sz w:val="21"/>
              </w:rPr>
              <w:t>METEOR</w:t>
            </w:r>
          </w:p>
        </w:tc>
        <w:tc>
          <w:tcPr>
            <w:tcW w:type="dxa" w:w="3024"/>
            <w:tcBorders>
              <w:top w:val="single" w:sz="4" w:color="D9D9D9"/>
              <w:left w:val="single" w:sz="4" w:color="D9D9D9"/>
              <w:bottom w:val="single" w:sz="4" w:color="D9D9D9"/>
              <w:right w:val="single" w:sz="4" w:color="D9D9D9"/>
            </w:tcBorders>
          </w:tcPr>
          <w:p>
            <w:pPr>
              <w:spacing w:after="60" w:before="60"/>
            </w:pPr>
            <w:r>
              <w:rPr>
                <w:rFonts w:ascii="Times New Roman" w:hAnsi="Times New Roman"/>
                <w:i w:val="0"/>
                <w:color w:val="3427E1"/>
                <w:sz w:val="21"/>
              </w:rPr>
              <w:t>18.33 ± 0.15</w:t>
            </w:r>
          </w:p>
        </w:tc>
      </w:tr>
      <w:tr>
        <w:tc>
          <w:tcPr>
            <w:tcW w:type="dxa" w:w="2592"/>
            <w:tcBorders>
              <w:top w:val="single" w:sz="4" w:color="D9D9D9"/>
              <w:left w:val="single" w:sz="4" w:color="D9D9D9"/>
              <w:bottom w:val="single" w:sz="4" w:color="D9D9D9"/>
              <w:right w:val="single" w:sz="4" w:color="D9D9D9"/>
            </w:tcBorders>
          </w:tcPr>
          <w:p>
            <w:pPr>
              <w:spacing w:after="60" w:before="60"/>
            </w:pPr>
            <w:r>
              <w:rPr>
                <w:rFonts w:ascii="Times New Roman" w:hAnsi="Times New Roman"/>
                <w:i w:val="0"/>
                <w:color w:val="3427E1"/>
                <w:sz w:val="21"/>
              </w:rPr>
              <w:t>ScanQA</w:t>
            </w:r>
          </w:p>
        </w:tc>
        <w:tc>
          <w:tcPr>
            <w:tcW w:type="dxa" w:w="2592"/>
            <w:tcBorders>
              <w:top w:val="single" w:sz="4" w:color="D9D9D9"/>
              <w:left w:val="single" w:sz="4" w:color="D9D9D9"/>
              <w:bottom w:val="single" w:sz="4" w:color="D9D9D9"/>
              <w:right w:val="single" w:sz="4" w:color="D9D9D9"/>
            </w:tcBorders>
          </w:tcPr>
          <w:p>
            <w:pPr>
              <w:spacing w:after="60" w:before="60"/>
            </w:pPr>
            <w:r>
              <w:rPr>
                <w:rFonts w:ascii="Times New Roman" w:hAnsi="Times New Roman"/>
                <w:i w:val="0"/>
                <w:color w:val="3427E1"/>
                <w:sz w:val="21"/>
              </w:rPr>
              <w:t>ROUGE-L</w:t>
            </w:r>
          </w:p>
        </w:tc>
        <w:tc>
          <w:tcPr>
            <w:tcW w:type="dxa" w:w="3024"/>
            <w:tcBorders>
              <w:top w:val="single" w:sz="4" w:color="D9D9D9"/>
              <w:left w:val="single" w:sz="4" w:color="D9D9D9"/>
              <w:bottom w:val="single" w:sz="4" w:color="D9D9D9"/>
              <w:right w:val="single" w:sz="4" w:color="D9D9D9"/>
            </w:tcBorders>
          </w:tcPr>
          <w:p>
            <w:pPr>
              <w:spacing w:after="60" w:before="60"/>
            </w:pPr>
            <w:r>
              <w:rPr>
                <w:rFonts w:ascii="Times New Roman" w:hAnsi="Times New Roman"/>
                <w:i w:val="0"/>
                <w:color w:val="3427E1"/>
                <w:sz w:val="21"/>
              </w:rPr>
              <w:t>41.80 ± 0.36</w:t>
            </w:r>
          </w:p>
        </w:tc>
      </w:tr>
      <w:tr>
        <w:tc>
          <w:tcPr>
            <w:tcW w:type="dxa" w:w="2592"/>
            <w:tcBorders>
              <w:top w:val="single" w:sz="4" w:color="D9D9D9"/>
              <w:left w:val="single" w:sz="4" w:color="D9D9D9"/>
              <w:bottom w:val="single" w:sz="4" w:color="D9D9D9"/>
              <w:right w:val="single" w:sz="4" w:color="D9D9D9"/>
            </w:tcBorders>
          </w:tcPr>
          <w:p>
            <w:pPr>
              <w:spacing w:after="60" w:before="60"/>
            </w:pPr>
            <w:r>
              <w:rPr>
                <w:rFonts w:ascii="Times New Roman" w:hAnsi="Times New Roman"/>
                <w:i w:val="0"/>
                <w:color w:val="3427E1"/>
                <w:sz w:val="21"/>
              </w:rPr>
              <w:t>ScanQA</w:t>
            </w:r>
          </w:p>
        </w:tc>
        <w:tc>
          <w:tcPr>
            <w:tcW w:type="dxa" w:w="2592"/>
            <w:tcBorders>
              <w:top w:val="single" w:sz="4" w:color="D9D9D9"/>
              <w:left w:val="single" w:sz="4" w:color="D9D9D9"/>
              <w:bottom w:val="single" w:sz="4" w:color="D9D9D9"/>
              <w:right w:val="single" w:sz="4" w:color="D9D9D9"/>
            </w:tcBorders>
          </w:tcPr>
          <w:p>
            <w:pPr>
              <w:spacing w:after="60" w:before="60"/>
            </w:pPr>
            <w:r>
              <w:rPr>
                <w:rFonts w:ascii="Times New Roman" w:hAnsi="Times New Roman"/>
                <w:i w:val="0"/>
                <w:color w:val="3427E1"/>
                <w:sz w:val="21"/>
              </w:rPr>
              <w:t>CIDEr</w:t>
            </w:r>
          </w:p>
        </w:tc>
        <w:tc>
          <w:tcPr>
            <w:tcW w:type="dxa" w:w="3024"/>
            <w:tcBorders>
              <w:top w:val="single" w:sz="4" w:color="D9D9D9"/>
              <w:left w:val="single" w:sz="4" w:color="D9D9D9"/>
              <w:bottom w:val="single" w:sz="4" w:color="D9D9D9"/>
              <w:right w:val="single" w:sz="4" w:color="D9D9D9"/>
            </w:tcBorders>
          </w:tcPr>
          <w:p>
            <w:pPr>
              <w:spacing w:after="60" w:before="60"/>
            </w:pPr>
            <w:r>
              <w:rPr>
                <w:rFonts w:ascii="Times New Roman" w:hAnsi="Times New Roman"/>
                <w:i w:val="0"/>
                <w:color w:val="3427E1"/>
                <w:sz w:val="21"/>
              </w:rPr>
              <w:t>88.87 ± 1.00</w:t>
            </w:r>
          </w:p>
        </w:tc>
      </w:tr>
      <w:tr>
        <w:tc>
          <w:tcPr>
            <w:tcW w:type="dxa" w:w="2592"/>
            <w:tcBorders>
              <w:top w:val="single" w:sz="4" w:color="D9D9D9"/>
              <w:left w:val="single" w:sz="4" w:color="D9D9D9"/>
              <w:bottom w:val="single" w:sz="4" w:color="D9D9D9"/>
              <w:right w:val="single" w:sz="4" w:color="D9D9D9"/>
            </w:tcBorders>
          </w:tcPr>
          <w:p>
            <w:pPr>
              <w:spacing w:after="60" w:before="60"/>
            </w:pPr>
            <w:r>
              <w:rPr>
                <w:rFonts w:ascii="Times New Roman" w:hAnsi="Times New Roman"/>
                <w:i w:val="0"/>
                <w:color w:val="3427E1"/>
                <w:sz w:val="21"/>
              </w:rPr>
              <w:t>Scan2Cap</w:t>
            </w:r>
          </w:p>
        </w:tc>
        <w:tc>
          <w:tcPr>
            <w:tcW w:type="dxa" w:w="2592"/>
            <w:tcBorders>
              <w:top w:val="single" w:sz="4" w:color="D9D9D9"/>
              <w:left w:val="single" w:sz="4" w:color="D9D9D9"/>
              <w:bottom w:val="single" w:sz="4" w:color="D9D9D9"/>
              <w:right w:val="single" w:sz="4" w:color="D9D9D9"/>
            </w:tcBorders>
          </w:tcPr>
          <w:p>
            <w:pPr>
              <w:spacing w:after="60" w:before="60"/>
            </w:pPr>
            <w:r>
              <w:rPr>
                <w:rFonts w:ascii="Times New Roman" w:hAnsi="Times New Roman"/>
                <w:i w:val="0"/>
                <w:color w:val="3427E1"/>
                <w:sz w:val="21"/>
              </w:rPr>
              <w:t>CIDEr@0.5</w:t>
            </w:r>
          </w:p>
        </w:tc>
        <w:tc>
          <w:tcPr>
            <w:tcW w:type="dxa" w:w="3024"/>
            <w:tcBorders>
              <w:top w:val="single" w:sz="4" w:color="D9D9D9"/>
              <w:left w:val="single" w:sz="4" w:color="D9D9D9"/>
              <w:bottom w:val="single" w:sz="4" w:color="D9D9D9"/>
              <w:right w:val="single" w:sz="4" w:color="D9D9D9"/>
            </w:tcBorders>
          </w:tcPr>
          <w:p>
            <w:pPr>
              <w:spacing w:after="60" w:before="60"/>
            </w:pPr>
            <w:r>
              <w:rPr>
                <w:rFonts w:ascii="Times New Roman" w:hAnsi="Times New Roman"/>
                <w:i w:val="0"/>
                <w:color w:val="3427E1"/>
                <w:sz w:val="21"/>
              </w:rPr>
              <w:t>77.43 ± 0.25</w:t>
            </w:r>
          </w:p>
        </w:tc>
      </w:tr>
      <w:tr>
        <w:tc>
          <w:tcPr>
            <w:tcW w:type="dxa" w:w="2592"/>
            <w:tcBorders>
              <w:top w:val="single" w:sz="4" w:color="D9D9D9"/>
              <w:left w:val="single" w:sz="4" w:color="D9D9D9"/>
              <w:bottom w:val="single" w:sz="4" w:color="D9D9D9"/>
              <w:right w:val="single" w:sz="4" w:color="D9D9D9"/>
            </w:tcBorders>
          </w:tcPr>
          <w:p>
            <w:pPr>
              <w:spacing w:after="60" w:before="60"/>
            </w:pPr>
            <w:r>
              <w:rPr>
                <w:rFonts w:ascii="Times New Roman" w:hAnsi="Times New Roman"/>
                <w:i w:val="0"/>
                <w:color w:val="3427E1"/>
                <w:sz w:val="21"/>
              </w:rPr>
              <w:t>Scan2Cap</w:t>
            </w:r>
          </w:p>
        </w:tc>
        <w:tc>
          <w:tcPr>
            <w:tcW w:type="dxa" w:w="2592"/>
            <w:tcBorders>
              <w:top w:val="single" w:sz="4" w:color="D9D9D9"/>
              <w:left w:val="single" w:sz="4" w:color="D9D9D9"/>
              <w:bottom w:val="single" w:sz="4" w:color="D9D9D9"/>
              <w:right w:val="single" w:sz="4" w:color="D9D9D9"/>
            </w:tcBorders>
          </w:tcPr>
          <w:p>
            <w:pPr>
              <w:spacing w:after="60" w:before="60"/>
            </w:pPr>
            <w:r>
              <w:rPr>
                <w:rFonts w:ascii="Times New Roman" w:hAnsi="Times New Roman"/>
                <w:i w:val="0"/>
                <w:color w:val="3427E1"/>
                <w:sz w:val="21"/>
              </w:rPr>
              <w:t>BLEU-4@0.5</w:t>
            </w:r>
          </w:p>
        </w:tc>
        <w:tc>
          <w:tcPr>
            <w:tcW w:type="dxa" w:w="3024"/>
            <w:tcBorders>
              <w:top w:val="single" w:sz="4" w:color="D9D9D9"/>
              <w:left w:val="single" w:sz="4" w:color="D9D9D9"/>
              <w:bottom w:val="single" w:sz="4" w:color="D9D9D9"/>
              <w:right w:val="single" w:sz="4" w:color="D9D9D9"/>
            </w:tcBorders>
          </w:tcPr>
          <w:p>
            <w:pPr>
              <w:spacing w:after="60" w:before="60"/>
            </w:pPr>
            <w:r>
              <w:rPr>
                <w:rFonts w:ascii="Times New Roman" w:hAnsi="Times New Roman"/>
                <w:i w:val="0"/>
                <w:color w:val="3427E1"/>
                <w:sz w:val="21"/>
              </w:rPr>
              <w:t>35.93 ± 0.15</w:t>
            </w:r>
          </w:p>
        </w:tc>
      </w:tr>
    </w:tbl>
    <w:p>
      <w:pPr>
        <w:keepNext w:val="0"/>
        <w:widowControl/>
        <w:ind w:firstLine="0"/>
        <w:rPr>
          <w:rFonts w:ascii="Times New Roman" w:hAnsi="Times New Roman" w:cs="Times New Roman"/>
          <w:color w:val="3427E1"/>
          <w:szCs w:val="21"/>
        </w:rPr>
      </w:pPr>
      <w:r>
        <w:rPr>
          <w:rFonts w:ascii="Times New Roman" w:hAnsi="Times New Roman"/>
          <w:i w:val="0"/>
          <w:color w:val="3427E1"/>
          <w:sz w:val="21"/>
        </w:rPr>
        <w:t>Across the evaluated seeds, all four grounding metrics remain above the reported Chat-Scene reference. ScanQA CIDEr and Scan2Cap CIDEr@0.5 also exceed the reported reference in every run, whereas BLEU-4 does not show a consistent improvement. These results support run-to-run stability of the complete model under the evaluated protocol.</w:t>
      </w:r>
    </w:p>
    <w:p>
      <w:pPr>
        <w:keepNext w:val="0"/>
        <w:widowControl/>
        <w:ind w:firstLine="0"/>
        <w:rPr>
          <w:rFonts w:ascii="Times New Roman" w:hAnsi="Times New Roman" w:cs="Times New Roman"/>
          <w:color w:val="3427E1"/>
          <w:szCs w:val="21"/>
        </w:rPr>
      </w:pPr>
      <w:r>
        <w:rPr>
          <w:rFonts w:ascii="Times New Roman" w:hAnsi="Times New Roman"/>
          <w:i w:val="0"/>
          <w:color w:val="3427E1"/>
          <w:sz w:val="21"/>
        </w:rPr>
        <w:t>The main comparison and controlled ablation tables retain their seed-42 results. This additional experiment evaluates the complete model; it does not establish multi-seed stability for each ablation variant. Since Chat-Scene was not retrained under the same three seeds, we do not claim statistical significance relative to the baseline.</w:t>
      </w:r>
    </w:p>
    <w:p>
      <w:pPr>
        <w:keepNext w:val="0"/>
        <w:widowControl/>
        <w:ind w:firstLine="0"/>
        <w:rPr>
          <w:rFonts w:ascii="Times New Roman" w:hAnsi="Times New Roman" w:cs="Times New Roman"/>
          <w:color w:val="3427E1"/>
          <w:szCs w:val="21"/>
        </w:rPr>
      </w:pPr>
      <w:r>
        <w:rPr>
          <w:rFonts w:ascii="Times New Roman" w:hAnsi="Times New Roman"/>
          <w:i w:val="0"/>
          <w:color w:val="3427E1"/>
          <w:sz w:val="21"/>
        </w:rPr>
        <w:t>The LoRA rank, learning-rate schedule, and auxiliary-loss weights were held fixed across runs. Varying the random seed does not test sensitivity to these hyperparameters; their tuning and sensitivity analysis remain separate from the results reported here.</w:t>
      </w:r>
    </w:p>
    <w:p>
      <w:pPr>
        <w:pStyle w:val="2"/>
        <w:keepNext/>
        <w:widowControl/>
        <w:spacing w:before="100" w:beforeAutospacing="1" w:after="100" w:afterAutospacing="1" w:line="360" w:lineRule="auto"/>
        <w:rPr>
          <w:rFonts w:ascii="Times New Roman" w:hAnsi="Times New Roman" w:cs="Times New Roman"/>
          <w:sz w:val="24"/>
          <w:szCs w:val="24"/>
        </w:rPr>
      </w:pPr>
      <w:r>
        <w:rPr>
          <w:rFonts w:ascii="Times New Roman" w:hAnsi="Times New Roman"/>
          <w:b/>
          <w:i w:val="0"/>
          <w:color w:val="000000"/>
          <w:sz w:val="24"/>
          <w:u w:val="none"/>
        </w:rPr>
        <w:t>Response to Reviewer 2</w:t>
      </w:r>
    </w:p>
    <w:p>
      <w:pPr>
        <w:keepNext/>
        <w:widowControl/>
        <w:rPr>
          <w:rFonts w:ascii="Times New Roman" w:hAnsi="Times New Roman" w:cs="Times New Roman"/>
          <w:color w:val="000000" w:themeColor="text1"/>
          <w:szCs w:val="21"/>
        </w:rPr>
      </w:pPr>
      <w:r>
        <w:rPr>
          <w:rFonts w:ascii="Times New Roman" w:hAnsi="Times New Roman"/>
          <w:b/>
          <w:i w:val="0"/>
          <w:color w:val="000000"/>
          <w:sz w:val="21"/>
          <w:u w:val="single"/>
        </w:rPr>
        <w:t>Comment 1:</w:t>
      </w:r>
    </w:p>
    <w:p>
      <w:pPr>
        <w:widowControl/>
        <w:jc w:val="left"/>
        <w:rPr>
          <w:rFonts w:ascii="Times New Roman" w:hAnsi="Times New Roman" w:cs="Times New Roman"/>
          <w:szCs w:val="21"/>
        </w:rPr>
      </w:pPr>
      <w:r>
        <w:rPr>
          <w:rFonts w:ascii="Times New Roman" w:hAnsi="Times New Roman"/>
          <w:b w:val="0"/>
          <w:i w:val="0"/>
          <w:color w:val="000000"/>
          <w:sz w:val="21"/>
          <w:u w:val="none"/>
        </w:rPr>
        <w:t xml:space="preserve">The notation for multi-head attention requires further clarification. The current formulations of </w:t>
      </w:r>
      <w:r>
        <w:rPr>
          <w:rFonts w:ascii="Times New Roman" w:hAnsi="Times New Roman"/>
          <w:b/>
          <w:i w:val="0"/>
          <w:color w:val="000000"/>
          <w:sz w:val="21"/>
          <w:u w:val="none"/>
        </w:rPr>
        <w:t>A</w:t>
      </w:r>
      <w:r>
        <w:rPr>
          <w:rFonts w:ascii="Times New Roman" w:hAnsi="Times New Roman"/>
          <w:b w:val="0"/>
          <w:i w:val="0"/>
          <w:color w:val="000000"/>
          <w:sz w:val="21"/>
          <w:u w:val="none"/>
          <w:vertAlign w:val="subscript"/>
        </w:rPr>
        <w:t>sem</w:t>
      </w:r>
      <w:r>
        <w:rPr>
          <w:rFonts w:ascii="Times New Roman" w:hAnsi="Times New Roman"/>
          <w:b w:val="0"/>
          <w:i w:val="0"/>
          <w:color w:val="000000"/>
          <w:sz w:val="21"/>
          <w:u w:val="none"/>
        </w:rPr>
        <w:t xml:space="preserve"> and </w:t>
      </w:r>
      <w:r>
        <w:rPr>
          <w:rFonts w:ascii="Times New Roman" w:hAnsi="Times New Roman"/>
          <w:b/>
          <w:i w:val="0"/>
          <w:color w:val="000000"/>
          <w:sz w:val="21"/>
          <w:u w:val="none"/>
        </w:rPr>
        <w:t>A</w:t>
      </w:r>
      <w:r>
        <w:rPr>
          <w:rFonts w:ascii="Times New Roman" w:hAnsi="Times New Roman"/>
          <w:b w:val="0"/>
          <w:i w:val="0"/>
          <w:color w:val="000000"/>
          <w:sz w:val="21"/>
          <w:u w:val="none"/>
          <w:vertAlign w:val="subscript"/>
        </w:rPr>
        <w:t>fused</w:t>
      </w:r>
      <w:r>
        <w:rPr>
          <w:rFonts w:ascii="Times New Roman" w:hAnsi="Times New Roman"/>
          <w:b w:val="0"/>
          <w:i w:val="0"/>
          <w:color w:val="000000"/>
          <w:sz w:val="21"/>
          <w:u w:val="none"/>
        </w:rPr>
        <w:t xml:space="preserve"> do not explicitly include a head dimension, whereas the gating coefficient is written as </w:t>
      </w:r>
      <w:r>
        <w:rPr>
          <w:rFonts w:ascii="Times New Roman" w:hAnsi="Times New Roman"/>
          <w:b w:val="0"/>
          <w:i w:val="0"/>
          <w:color w:val="000000"/>
          <w:sz w:val="21"/>
          <w:u w:val="none"/>
        </w:rPr>
        <w:t>α</w:t>
      </w:r>
      <w:r>
        <w:rPr>
          <w:rFonts w:ascii="Times New Roman" w:hAnsi="Times New Roman"/>
          <w:b w:val="0"/>
          <w:i w:val="0"/>
          <w:color w:val="000000"/>
          <w:sz w:val="21"/>
          <w:u w:val="none"/>
          <w:vertAlign w:val="subscript"/>
        </w:rPr>
        <w:t>h</w:t>
      </w:r>
      <w:r>
        <w:rPr>
          <w:rFonts w:ascii="Times New Roman" w:hAnsi="Times New Roman"/>
          <w:b w:val="0"/>
          <w:i w:val="0"/>
          <w:color w:val="000000"/>
          <w:sz w:val="21"/>
          <w:u w:val="none"/>
        </w:rPr>
        <w:t xml:space="preserve">. The authors should use consistent head indices for </w:t>
      </w:r>
      <w:r>
        <w:rPr>
          <w:rFonts w:ascii="Times New Roman" w:hAnsi="Times New Roman"/>
          <w:b/>
          <w:i w:val="0"/>
          <w:color w:val="000000"/>
          <w:sz w:val="21"/>
          <w:u w:val="none"/>
        </w:rPr>
        <w:t>A</w:t>
      </w:r>
      <w:r>
        <w:rPr>
          <w:rFonts w:ascii="Times New Roman" w:hAnsi="Times New Roman"/>
          <w:b w:val="0"/>
          <w:i w:val="0"/>
          <w:color w:val="000000"/>
          <w:sz w:val="21"/>
          <w:u w:val="none"/>
          <w:vertAlign w:val="subscript"/>
        </w:rPr>
        <w:t>sem</w:t>
      </w:r>
      <w:r>
        <w:rPr>
          <w:rFonts w:ascii="Times New Roman" w:hAnsi="Times New Roman"/>
          <w:b w:val="0"/>
          <w:i w:val="0"/>
          <w:color w:val="000000"/>
          <w:sz w:val="21"/>
          <w:u w:val="none"/>
        </w:rPr>
        <w:t xml:space="preserve">, </w:t>
      </w:r>
      <w:r>
        <w:rPr>
          <w:rFonts w:ascii="Times New Roman" w:hAnsi="Times New Roman"/>
          <w:b/>
          <w:i w:val="0"/>
          <w:color w:val="000000"/>
          <w:sz w:val="21"/>
          <w:u w:val="none"/>
        </w:rPr>
        <w:t>M</w:t>
      </w:r>
      <w:r>
        <w:rPr>
          <w:rFonts w:ascii="Times New Roman" w:hAnsi="Times New Roman"/>
          <w:b w:val="0"/>
          <w:i w:val="0"/>
          <w:color w:val="000000"/>
          <w:sz w:val="21"/>
          <w:u w:val="none"/>
          <w:vertAlign w:val="subscript"/>
        </w:rPr>
        <w:t>spatial</w:t>
      </w:r>
      <w:r>
        <w:rPr>
          <w:rFonts w:ascii="Times New Roman" w:hAnsi="Times New Roman"/>
          <w:b w:val="0"/>
          <w:i w:val="0"/>
          <w:color w:val="000000"/>
          <w:sz w:val="21"/>
          <w:u w:val="none"/>
        </w:rPr>
        <w:t xml:space="preserve">, and </w:t>
      </w:r>
      <w:r>
        <w:rPr>
          <w:rFonts w:ascii="Times New Roman" w:hAnsi="Times New Roman"/>
          <w:b/>
          <w:i w:val="0"/>
          <w:color w:val="000000"/>
          <w:sz w:val="21"/>
          <w:u w:val="none"/>
        </w:rPr>
        <w:t>A</w:t>
      </w:r>
      <w:r>
        <w:rPr>
          <w:rFonts w:ascii="Times New Roman" w:hAnsi="Times New Roman"/>
          <w:b w:val="0"/>
          <w:i w:val="0"/>
          <w:color w:val="000000"/>
          <w:sz w:val="21"/>
          <w:u w:val="none"/>
          <w:vertAlign w:val="subscript"/>
        </w:rPr>
        <w:t>fused</w:t>
      </w:r>
      <w:r>
        <w:rPr>
          <w:rFonts w:ascii="Times New Roman" w:hAnsi="Times New Roman"/>
          <w:b w:val="0"/>
          <w:i w:val="0"/>
          <w:color w:val="000000"/>
          <w:sz w:val="21"/>
          <w:u w:val="none"/>
        </w:rPr>
        <w:t xml:space="preserve">, and explain the per-head computation, the aggregation of multi-head outputs, and the precise definition of </w:t>
      </w:r>
      <w:r>
        <w:rPr>
          <w:rFonts w:ascii="Times New Roman" w:hAnsi="Times New Roman"/>
          <w:b w:val="0"/>
          <w:i w:val="0"/>
          <w:color w:val="000000"/>
          <w:sz w:val="21"/>
          <w:u w:val="none"/>
        </w:rPr>
        <w:t>Normalize</w:t>
      </w:r>
      <w:r>
        <w:rPr>
          <w:rFonts w:ascii="Times New Roman" w:hAnsi="Times New Roman"/>
          <w:b w:val="0"/>
          <w:i w:val="0"/>
          <w:color w:val="000000"/>
          <w:sz w:val="21"/>
          <w:u w:val="none"/>
        </w:rPr>
        <w:t>(</w:t>
      </w:r>
      <w:r>
        <w:rPr>
          <w:rFonts w:ascii="Times New Roman" w:hAnsi="Times New Roman"/>
          <w:b w:val="0"/>
          <w:i w:val="0"/>
          <w:color w:val="000000"/>
          <w:sz w:val="21"/>
          <w:u w:val="none"/>
        </w:rPr>
        <w:t>∗</w:t>
      </w:r>
      <w:r>
        <w:rPr>
          <w:rFonts w:ascii="Times New Roman" w:hAnsi="Times New Roman"/>
          <w:b w:val="0"/>
          <w:i w:val="0"/>
          <w:color w:val="000000"/>
          <w:sz w:val="21"/>
          <w:u w:val="none"/>
        </w:rPr>
        <w:t>), so that the mathematical formulation fully corresponds to the implementation.</w:t>
      </w:r>
    </w:p>
    <w:p>
      <w:pPr>
        <w:keepNext/>
        <w:widowControl/>
        <w:rPr>
          <w:rFonts w:ascii="Times New Roman" w:hAnsi="Times New Roman" w:cs="Times New Roman"/>
          <w:b/>
          <w:bCs/>
          <w:color w:val="3427E1"/>
          <w:szCs w:val="21"/>
          <w:u w:val="single"/>
        </w:rPr>
      </w:pPr>
      <w:r>
        <w:rPr>
          <w:rFonts w:ascii="Times New Roman" w:hAnsi="Times New Roman"/>
          <w:b/>
          <w:i w:val="0"/>
          <w:color w:val="3427E1"/>
          <w:sz w:val="21"/>
          <w:u w:val="single"/>
        </w:rPr>
        <w:t>REPLY:</w:t>
      </w:r>
    </w:p>
    <w:p>
      <w:pPr>
        <w:widowControl/>
        <w:ind w:firstLine="420"/>
        <w:rPr>
          <w:rFonts w:ascii="Times New Roman" w:hAnsi="Times New Roman" w:cs="Times New Roman"/>
          <w:color w:val="3427E1"/>
          <w:szCs w:val="21"/>
        </w:rPr>
      </w:pPr>
      <w:r>
        <w:rPr>
          <w:rFonts w:ascii="Times New Roman" w:hAnsi="Times New Roman"/>
          <w:b w:val="0"/>
          <w:i w:val="0"/>
          <w:color w:val="3427E1"/>
          <w:sz w:val="21"/>
          <w:u w:val="none"/>
        </w:rPr>
        <w:t>Thank you for identifying the ambiguity in the IGGA formulation. We have revised the notation to explicitly index the query, key, value, semantic attention, fused attention, and output representations by attention head. We now state that the geometric compatibility matrix is shared across heads, whereas its contribution is controlled by an instruction-conditioned head-specific gate. We have also made the normalization operation after geometric modulation explicit and corrected the inconsistent object indices in the descriptor definition. These revisions align the mathematical description with the implementation and make the information flow through IGGA unambiguous.</w:t>
      </w:r>
    </w:p>
    <w:p>
      <w:pPr>
        <w:keepNext/>
        <w:widowControl/>
        <w:ind w:firstLine="0"/>
        <w:rPr>
          <w:rFonts w:ascii="Times New Roman" w:hAnsi="Times New Roman" w:cs="Times New Roman"/>
          <w:color w:val="3427E1"/>
          <w:szCs w:val="21"/>
        </w:rPr>
      </w:pPr>
      <w:r>
        <w:rPr>
          <w:rFonts w:ascii="Times New Roman" w:hAnsi="Times New Roman" w:eastAsia="宋体"/>
          <w:b w:val="0"/>
          <w:i w:val="0"/>
          <w:color w:val="3427E1"/>
          <w:sz w:val="21"/>
          <w:u w:val="none"/>
        </w:rPr>
        <w:t xml:space="preserve">The relevant IGGA formulations are reproduced below. </w:t>
      </w:r>
      <w:r>
        <w:rPr>
          <w:rFonts w:ascii="Times New Roman" w:hAnsi="Times New Roman"/>
          <w:color w:val="C45911"/>
          <w:sz w:val="21"/>
          <w:u w:val="single"/>
        </w:rPr>
        <w:t>[Section III-B, Instruction-Aware Geometric Gating Attention]</w:t>
      </w:r>
    </w:p>
    <w:p>
      <w:pPr>
        <w:keepNext w:val="0"/>
        <w:widowControl/>
        <w:ind w:firstLine="0"/>
        <w:rPr>
          <w:rFonts w:ascii="Times New Roman" w:hAnsi="Times New Roman" w:cs="Times New Roman"/>
          <w:color w:val="3427E1"/>
          <w:szCs w:val="21"/>
        </w:rPr>
      </w:pPr>
      <w:r>
        <w:rPr>
          <w:rFonts w:ascii="Times New Roman" w:hAnsi="Times New Roman" w:eastAsia="宋体"/>
          <w:b w:val="0"/>
          <w:i w:val="0"/>
          <w:color w:val="C45911"/>
          <w:sz w:val="21"/>
          <w:u w:val="none"/>
        </w:rPr>
        <w:t>【截图位置 R2-C1：按顺序截取相关公式及解释，可拆成三张：A 为逐头 Q/K/V 和语义注意力（tex 164–189 行）；B 为共享空间掩码、门控网络及维度说明（203–212、221–225 行）；C 为有效掩码、融合注意力和输出公式（234–250 行）。以论文当前内容为准，不额外补写 Normalize 定义或多头聚合说明。 插图后删除本标注。】</w:t>
      </w:r>
    </w:p>
    <w:p/>
    <w:p>
      <w:pPr>
        <w:keepNext/>
        <w:widowControl/>
        <w:rPr>
          <w:rFonts w:ascii="Times New Roman" w:hAnsi="Times New Roman" w:cs="Times New Roman"/>
          <w:color w:val="000000" w:themeColor="text1"/>
          <w:szCs w:val="21"/>
        </w:rPr>
      </w:pPr>
      <w:r>
        <w:rPr>
          <w:rFonts w:ascii="Times New Roman" w:hAnsi="Times New Roman"/>
          <w:b/>
          <w:i w:val="0"/>
          <w:color w:val="000000"/>
          <w:sz w:val="21"/>
          <w:u w:val="single"/>
        </w:rPr>
        <w:t>Comment 2:</w:t>
      </w:r>
    </w:p>
    <w:p>
      <w:pPr>
        <w:widowControl/>
        <w:jc w:val="left"/>
        <w:rPr>
          <w:rFonts w:ascii="Times New Roman" w:hAnsi="Times New Roman" w:cs="Times New Roman"/>
          <w:szCs w:val="21"/>
        </w:rPr>
      </w:pPr>
      <w:r>
        <w:rPr>
          <w:rFonts w:ascii="Times New Roman" w:hAnsi="Times New Roman"/>
          <w:b w:val="0"/>
          <w:i w:val="0"/>
          <w:color w:val="000000"/>
          <w:sz w:val="21"/>
          <w:u w:val="none"/>
        </w:rPr>
        <w:t>The relationship between “instruction-aware” and “task-adaptive” should be clarified. The current gating supervision uses task types as priors. The authors should further explain the relationship between task-type supervision and instruction-content-driven routing.</w:t>
      </w:r>
    </w:p>
    <w:p>
      <w:pPr>
        <w:keepNext/>
        <w:widowControl/>
        <w:rPr>
          <w:rFonts w:ascii="Times New Roman" w:hAnsi="Times New Roman" w:cs="Times New Roman"/>
          <w:b/>
          <w:bCs/>
          <w:color w:val="3427E1"/>
          <w:szCs w:val="21"/>
          <w:u w:val="single"/>
        </w:rPr>
      </w:pPr>
      <w:r>
        <w:rPr>
          <w:rFonts w:ascii="Times New Roman" w:hAnsi="Times New Roman"/>
          <w:b/>
          <w:i w:val="0"/>
          <w:color w:val="3427E1"/>
          <w:sz w:val="21"/>
          <w:u w:val="single"/>
        </w:rPr>
        <w:t>REPLY:</w:t>
      </w:r>
    </w:p>
    <w:p>
      <w:pPr>
        <w:widowControl/>
        <w:ind w:firstLine="420"/>
        <w:rPr>
          <w:rFonts w:ascii="Times New Roman" w:hAnsi="Times New Roman" w:cs="Times New Roman"/>
          <w:color w:val="3427E1"/>
          <w:szCs w:val="21"/>
        </w:rPr>
      </w:pPr>
      <w:r>
        <w:rPr>
          <w:rFonts w:ascii="Times New Roman" w:hAnsi="Times New Roman"/>
          <w:b w:val="0"/>
          <w:i w:val="0"/>
          <w:color w:val="3427E1"/>
          <w:sz w:val="21"/>
          <w:u w:val="none"/>
        </w:rPr>
        <w:t>We thank the reviewer for this clarification. “Instruction-aware” describes the gate input: a pooled instruction embedding predicts the head-specific coefficients. “Task-adaptive” describes their regulation across task demands. During training, task labels supply soft gate targets, while the language modeling objective also optimizes the gates; these are complementary sources of supervision.</w:t>
      </w:r>
    </w:p>
    <w:p>
      <w:pPr>
        <w:widowControl/>
        <w:ind w:firstLine="420"/>
        <w:rPr>
          <w:rFonts w:ascii="Times New Roman" w:hAnsi="Times New Roman" w:cs="Times New Roman"/>
          <w:color w:val="3427E1"/>
          <w:szCs w:val="21"/>
        </w:rPr>
      </w:pPr>
      <w:r>
        <w:rPr>
          <w:rFonts w:ascii="Times New Roman" w:hAnsi="Times New Roman"/>
          <w:b w:val="0"/>
          <w:i w:val="0"/>
          <w:color w:val="3427E1"/>
          <w:sz w:val="21"/>
          <w:u w:val="none"/>
        </w:rPr>
        <w:t xml:space="preserve">The new analyses in Section IV-C examine both effects. Removing </w:t>
      </w:r>
      <w:r>
        <w:rPr>
          <w:rFonts w:ascii="Times New Roman" w:hAnsi="Times New Roman"/>
          <w:b w:val="0"/>
          <w:i w:val="0"/>
          <w:color w:val="3427E1"/>
          <w:sz w:val="21"/>
          <w:u w:val="none"/>
        </w:rPr>
        <w:t>L</w:t>
      </w:r>
      <w:r>
        <w:rPr>
          <w:rFonts w:ascii="Times New Roman" w:hAnsi="Times New Roman"/>
          <w:b w:val="0"/>
          <w:i w:val="0"/>
          <w:color w:val="3427E1"/>
          <w:sz w:val="21"/>
          <w:u w:val="none"/>
          <w:vertAlign w:val="subscript"/>
        </w:rPr>
        <w:t>gate</w:t>
      </w:r>
      <w:r>
        <w:rPr>
          <w:rFonts w:ascii="Times New Roman" w:hAnsi="Times New Roman"/>
          <w:b w:val="0"/>
          <w:i w:val="0"/>
          <w:color w:val="3427E1"/>
          <w:sz w:val="21"/>
          <w:u w:val="none"/>
        </w:rPr>
        <w:t xml:space="preserve"> lowers ScanRefer Acc@0.5 from 51.1</w:t>
      </w:r>
      <w:r>
        <w:rPr>
          <w:rFonts w:ascii="Times New Roman" w:hAnsi="Times New Roman"/>
          <w:b w:val="0"/>
          <w:i w:val="0"/>
          <w:color w:val="3427E1"/>
          <w:sz w:val="21"/>
          <w:u w:val="none"/>
        </w:rPr>
        <w:t>%</w:t>
      </w:r>
      <w:r>
        <w:rPr>
          <w:rFonts w:ascii="Times New Roman" w:hAnsi="Times New Roman"/>
          <w:b w:val="0"/>
          <w:i w:val="0"/>
          <w:color w:val="3427E1"/>
          <w:sz w:val="21"/>
          <w:u w:val="none"/>
        </w:rPr>
        <w:t xml:space="preserve"> to 50.9</w:t>
      </w:r>
      <w:r>
        <w:rPr>
          <w:rFonts w:ascii="Times New Roman" w:hAnsi="Times New Roman"/>
          <w:b w:val="0"/>
          <w:i w:val="0"/>
          <w:color w:val="3427E1"/>
          <w:sz w:val="21"/>
          <w:u w:val="none"/>
        </w:rPr>
        <w:t>%</w:t>
      </w:r>
      <w:r>
        <w:rPr>
          <w:rFonts w:ascii="Times New Roman" w:hAnsi="Times New Roman"/>
          <w:b w:val="0"/>
          <w:i w:val="0"/>
          <w:color w:val="3427E1"/>
          <w:sz w:val="21"/>
          <w:u w:val="none"/>
        </w:rPr>
        <w:t xml:space="preserve">. Within ScanRefer, mean gates also vary with instruction content despite a shared task prior. These findings support a coarse task prior with finer within-task variation, rather than routing independent of task supervision. See </w:t>
      </w:r>
      <w:r>
        <w:rPr>
          <w:rFonts w:ascii="Times New Roman" w:hAnsi="Times New Roman"/>
          <w:b w:val="0"/>
          <w:i/>
          <w:color w:val="3427E1"/>
          <w:sz w:val="21"/>
          <w:u w:val="none"/>
        </w:rPr>
        <w:t>Gating Granularity and Supervision</w:t>
      </w:r>
      <w:r>
        <w:rPr>
          <w:rFonts w:ascii="Times New Roman" w:hAnsi="Times New Roman"/>
          <w:b w:val="0"/>
          <w:i w:val="0"/>
          <w:color w:val="3427E1"/>
          <w:sz w:val="21"/>
          <w:u w:val="none"/>
        </w:rPr>
        <w:t xml:space="preserve"> and </w:t>
      </w:r>
      <w:r>
        <w:rPr>
          <w:rFonts w:ascii="Times New Roman" w:hAnsi="Times New Roman"/>
          <w:b w:val="0"/>
          <w:i/>
          <w:color w:val="3427E1"/>
          <w:sz w:val="21"/>
          <w:u w:val="none"/>
        </w:rPr>
        <w:t>Within-Task Gate Variation</w:t>
      </w:r>
      <w:r>
        <w:rPr>
          <w:rFonts w:ascii="Times New Roman" w:hAnsi="Times New Roman"/>
          <w:b w:val="0"/>
          <w:i w:val="0"/>
          <w:color w:val="3427E1"/>
          <w:sz w:val="21"/>
          <w:u w:val="none"/>
        </w:rPr>
        <w:t>.</w:t>
      </w:r>
    </w:p>
    <w:p>
      <w:pPr>
        <w:keepNext/>
        <w:widowControl/>
        <w:ind w:firstLine="0"/>
        <w:rPr>
          <w:rFonts w:ascii="Times New Roman" w:hAnsi="Times New Roman" w:cs="Times New Roman"/>
          <w:color w:val="3427E1"/>
          <w:szCs w:val="21"/>
        </w:rPr>
      </w:pPr>
      <w:r>
        <w:rPr>
          <w:rFonts w:ascii="Times New Roman" w:hAnsi="Times New Roman" w:eastAsia="宋体"/>
          <w:b w:val="0"/>
          <w:i w:val="0"/>
          <w:color w:val="3427E1"/>
          <w:sz w:val="21"/>
          <w:u w:val="none"/>
        </w:rPr>
        <w:t xml:space="preserve">The added analyses of gate supervision and within-task variation are provided below. </w:t>
      </w:r>
      <w:r>
        <w:rPr>
          <w:rFonts w:ascii="Times New Roman" w:hAnsi="Times New Roman"/>
          <w:color w:val="C45911"/>
          <w:sz w:val="21"/>
          <w:u w:val="single"/>
        </w:rPr>
        <w:t>[Section IV-C, Gating Granularity and Supervision; Within-Task Gate Variation]</w:t>
      </w:r>
    </w:p>
    <w:p>
      <w:pPr>
        <w:keepNext w:val="0"/>
        <w:widowControl/>
        <w:ind w:firstLine="0"/>
        <w:rPr>
          <w:rFonts w:ascii="Times New Roman" w:hAnsi="Times New Roman" w:cs="Times New Roman"/>
          <w:color w:val="3427E1"/>
          <w:szCs w:val="21"/>
        </w:rPr>
      </w:pPr>
      <w:r>
        <w:rPr>
          <w:rFonts w:ascii="Times New Roman" w:hAnsi="Times New Roman" w:eastAsia="宋体"/>
          <w:b w:val="0"/>
          <w:i w:val="0"/>
          <w:color w:val="C45911"/>
          <w:sz w:val="21"/>
          <w:u w:val="none"/>
        </w:rPr>
        <w:t>【截图位置 R2-C2：图 A：Gating Granularity and Supervision 中以 “Removing” 开头的段落（tex 543 行）。图 B：完整 “Within-task gate statistics on ScanRefer” 表及 Within-Task Gate Variation 两段（tab:within_task_gating，550–572 行）。表和段落若不相邻，可分开截图。 插图后删除本标注。】</w:t>
      </w:r>
    </w:p>
    <w:p/>
    <w:p>
      <w:pPr>
        <w:keepNext/>
        <w:widowControl/>
        <w:rPr>
          <w:rFonts w:ascii="Times New Roman" w:hAnsi="Times New Roman" w:cs="Times New Roman"/>
          <w:color w:val="000000" w:themeColor="text1"/>
          <w:szCs w:val="21"/>
        </w:rPr>
      </w:pPr>
      <w:r>
        <w:rPr>
          <w:rFonts w:ascii="Times New Roman" w:hAnsi="Times New Roman"/>
          <w:b/>
          <w:i w:val="0"/>
          <w:color w:val="000000"/>
          <w:sz w:val="21"/>
          <w:u w:val="single"/>
        </w:rPr>
        <w:t>Comment 3:</w:t>
      </w:r>
    </w:p>
    <w:p>
      <w:pPr>
        <w:widowControl/>
        <w:jc w:val="left"/>
        <w:rPr>
          <w:rFonts w:ascii="Times New Roman" w:hAnsi="Times New Roman" w:cs="Times New Roman"/>
          <w:szCs w:val="21"/>
        </w:rPr>
      </w:pPr>
      <w:r>
        <w:rPr>
          <w:rFonts w:ascii="Times New Roman" w:hAnsi="Times New Roman"/>
          <w:b w:val="0"/>
          <w:i w:val="0"/>
          <w:color w:val="000000"/>
          <w:sz w:val="21"/>
          <w:u w:val="none"/>
        </w:rPr>
        <w:t>The advantage of the per-head design could be explained more clearly. Table 3 shows that learnable gating outperforms fixed gating, but it does not isolate the contribution of per-head gating from that of a shared scalar gate.</w:t>
      </w:r>
    </w:p>
    <w:p>
      <w:pPr>
        <w:keepNext/>
        <w:widowControl/>
        <w:rPr>
          <w:rFonts w:ascii="Times New Roman" w:hAnsi="Times New Roman" w:cs="Times New Roman"/>
          <w:b/>
          <w:bCs/>
          <w:color w:val="3427E1"/>
          <w:szCs w:val="21"/>
          <w:u w:val="single"/>
        </w:rPr>
      </w:pPr>
      <w:r>
        <w:rPr>
          <w:rFonts w:ascii="Times New Roman" w:hAnsi="Times New Roman"/>
          <w:b/>
          <w:i w:val="0"/>
          <w:color w:val="3427E1"/>
          <w:sz w:val="21"/>
          <w:u w:val="single"/>
        </w:rPr>
        <w:t>REPLY:</w:t>
      </w:r>
    </w:p>
    <w:p>
      <w:pPr>
        <w:widowControl/>
        <w:ind w:firstLine="420"/>
        <w:rPr>
          <w:rFonts w:ascii="Times New Roman" w:hAnsi="Times New Roman" w:cs="Times New Roman"/>
          <w:color w:val="3427E1"/>
          <w:szCs w:val="21"/>
        </w:rPr>
      </w:pPr>
      <w:r>
        <w:rPr>
          <w:rFonts w:ascii="Times New Roman" w:hAnsi="Times New Roman"/>
          <w:b w:val="0"/>
          <w:i w:val="0"/>
          <w:color w:val="3427E1"/>
          <w:sz w:val="21"/>
          <w:u w:val="none"/>
        </w:rPr>
        <w:t>We thank the reviewer for this suggestion. We added a learnable instruction-conditioned scalar shared by all heads, retaining GATH and the same four-dataset training protocol for all variants. Per-head gating raises ScanRefer Acc@0.5 from 50.6</w:t>
      </w:r>
      <w:r>
        <w:rPr>
          <w:rFonts w:ascii="Times New Roman" w:hAnsi="Times New Roman"/>
          <w:b w:val="0"/>
          <w:i w:val="0"/>
          <w:color w:val="3427E1"/>
          <w:sz w:val="21"/>
          <w:u w:val="none"/>
        </w:rPr>
        <w:t>%</w:t>
      </w:r>
      <w:r>
        <w:rPr>
          <w:rFonts w:ascii="Times New Roman" w:hAnsi="Times New Roman"/>
          <w:b w:val="0"/>
          <w:i w:val="0"/>
          <w:color w:val="3427E1"/>
          <w:sz w:val="21"/>
          <w:u w:val="none"/>
        </w:rPr>
        <w:t xml:space="preserve"> to 51.1</w:t>
      </w:r>
      <w:r>
        <w:rPr>
          <w:rFonts w:ascii="Times New Roman" w:hAnsi="Times New Roman"/>
          <w:b w:val="0"/>
          <w:i w:val="0"/>
          <w:color w:val="3427E1"/>
          <w:sz w:val="21"/>
          <w:u w:val="none"/>
        </w:rPr>
        <w:t>%</w:t>
      </w:r>
      <w:r>
        <w:rPr>
          <w:rFonts w:ascii="Times New Roman" w:hAnsi="Times New Roman"/>
          <w:b w:val="0"/>
          <w:i w:val="0"/>
          <w:color w:val="3427E1"/>
          <w:sz w:val="21"/>
          <w:u w:val="none"/>
        </w:rPr>
        <w:t>, Multi3DRefer F1@0.5 from 54.1</w:t>
      </w:r>
      <w:r>
        <w:rPr>
          <w:rFonts w:ascii="Times New Roman" w:hAnsi="Times New Roman"/>
          <w:b w:val="0"/>
          <w:i w:val="0"/>
          <w:color w:val="3427E1"/>
          <w:sz w:val="21"/>
          <w:u w:val="none"/>
        </w:rPr>
        <w:t>%</w:t>
      </w:r>
      <w:r>
        <w:rPr>
          <w:rFonts w:ascii="Times New Roman" w:hAnsi="Times New Roman"/>
          <w:b w:val="0"/>
          <w:i w:val="0"/>
          <w:color w:val="3427E1"/>
          <w:sz w:val="21"/>
          <w:u w:val="none"/>
        </w:rPr>
        <w:t xml:space="preserve"> to 54.6</w:t>
      </w:r>
      <w:r>
        <w:rPr>
          <w:rFonts w:ascii="Times New Roman" w:hAnsi="Times New Roman"/>
          <w:b w:val="0"/>
          <w:i w:val="0"/>
          <w:color w:val="3427E1"/>
          <w:sz w:val="21"/>
          <w:u w:val="none"/>
        </w:rPr>
        <w:t>%</w:t>
      </w:r>
      <w:r>
        <w:rPr>
          <w:rFonts w:ascii="Times New Roman" w:hAnsi="Times New Roman"/>
          <w:b w:val="0"/>
          <w:i w:val="0"/>
          <w:color w:val="3427E1"/>
          <w:sz w:val="21"/>
          <w:u w:val="none"/>
        </w:rPr>
        <w:t>, and ScanQA CIDEr from 88.6 to 89.9; Scan2Cap CIDEr@0.5 remains 77.2. Since both gates are learnable and instruction-conditioned, this comparison directly tests head granularity.</w:t>
      </w:r>
    </w:p>
    <w:p>
      <w:pPr>
        <w:widowControl/>
        <w:ind w:firstLine="420"/>
        <w:rPr>
          <w:rFonts w:ascii="Times New Roman" w:hAnsi="Times New Roman" w:cs="Times New Roman"/>
          <w:color w:val="3427E1"/>
          <w:szCs w:val="21"/>
        </w:rPr>
      </w:pPr>
      <w:r>
        <w:rPr>
          <w:rFonts w:ascii="Times New Roman" w:hAnsi="Times New Roman"/>
          <w:b w:val="0"/>
          <w:i w:val="0"/>
          <w:color w:val="3427E1"/>
          <w:sz w:val="21"/>
          <w:u w:val="none"/>
        </w:rPr>
        <w:t xml:space="preserve">The original gating-design ablation was trained on ScanRefer and ScanQA only. The new controlled ablation uses all four datasets jointly, explaining the different reference scores across the two tables. The relevant comparisons are between variants within each training setting. See </w:t>
      </w:r>
      <w:r>
        <w:rPr>
          <w:rFonts w:ascii="Times New Roman" w:hAnsi="Times New Roman"/>
          <w:b w:val="0"/>
          <w:i/>
          <w:color w:val="3427E1"/>
          <w:sz w:val="21"/>
          <w:u w:val="none"/>
        </w:rPr>
        <w:t>Controlled ablation of gating granularity and gate supervision</w:t>
      </w:r>
      <w:r>
        <w:rPr>
          <w:rFonts w:ascii="Times New Roman" w:hAnsi="Times New Roman"/>
          <w:b w:val="0"/>
          <w:i w:val="0"/>
          <w:color w:val="3427E1"/>
          <w:sz w:val="21"/>
          <w:u w:val="none"/>
        </w:rPr>
        <w:t xml:space="preserve"> in Section IV-C.</w:t>
      </w:r>
    </w:p>
    <w:p>
      <w:pPr>
        <w:keepNext/>
        <w:widowControl/>
        <w:ind w:firstLine="0"/>
        <w:rPr>
          <w:rFonts w:ascii="Times New Roman" w:hAnsi="Times New Roman" w:cs="Times New Roman"/>
          <w:color w:val="3427E1"/>
          <w:szCs w:val="21"/>
        </w:rPr>
      </w:pPr>
      <w:r>
        <w:rPr>
          <w:rFonts w:ascii="Times New Roman" w:hAnsi="Times New Roman" w:eastAsia="宋体"/>
          <w:b w:val="0"/>
          <w:i w:val="0"/>
          <w:color w:val="3427E1"/>
          <w:sz w:val="21"/>
          <w:u w:val="none"/>
        </w:rPr>
        <w:t xml:space="preserve">The controlled ablation and the clarification of the training settings are reproduced below. </w:t>
      </w:r>
      <w:r>
        <w:rPr>
          <w:rFonts w:ascii="Times New Roman" w:hAnsi="Times New Roman"/>
          <w:color w:val="C45911"/>
          <w:sz w:val="21"/>
          <w:u w:val="single"/>
        </w:rPr>
        <w:t>[Section IV-C, Ablation Study]</w:t>
      </w:r>
    </w:p>
    <w:p>
      <w:pPr>
        <w:keepNext w:val="0"/>
        <w:widowControl/>
        <w:ind w:firstLine="0"/>
        <w:rPr>
          <w:rFonts w:ascii="Times New Roman" w:hAnsi="Times New Roman" w:cs="Times New Roman"/>
          <w:color w:val="3427E1"/>
          <w:szCs w:val="21"/>
        </w:rPr>
      </w:pPr>
      <w:r>
        <w:rPr>
          <w:rFonts w:ascii="Times New Roman" w:hAnsi="Times New Roman" w:eastAsia="宋体"/>
          <w:b w:val="0"/>
          <w:i w:val="0"/>
          <w:color w:val="C45911"/>
          <w:sz w:val="21"/>
          <w:u w:val="none"/>
        </w:rPr>
        <w:t>【截图位置 R2-C3：图 A：IV-C 开头完整段落，说明两组消融使用的训练数据不同（tex 445 行）。图 B：完整 “Controlled ablation of gating granularity and gate supervision” 表，连同表题和设置说明（tab:gating_granularity_prior，467–510 行）。 插图后删除本标注。】</w:t>
      </w:r>
    </w:p>
    <w:p/>
    <w:p>
      <w:pPr>
        <w:keepNext/>
        <w:widowControl/>
        <w:rPr>
          <w:rFonts w:ascii="Times New Roman" w:hAnsi="Times New Roman" w:cs="Times New Roman"/>
          <w:color w:val="000000" w:themeColor="text1"/>
          <w:szCs w:val="21"/>
        </w:rPr>
      </w:pPr>
      <w:r>
        <w:rPr>
          <w:rFonts w:ascii="Times New Roman" w:hAnsi="Times New Roman"/>
          <w:b/>
          <w:i w:val="0"/>
          <w:color w:val="000000"/>
          <w:sz w:val="21"/>
          <w:u w:val="single"/>
        </w:rPr>
        <w:t>Comment 4:</w:t>
      </w:r>
    </w:p>
    <w:p>
      <w:pPr>
        <w:widowControl/>
        <w:jc w:val="left"/>
        <w:rPr>
          <w:rFonts w:ascii="Times New Roman" w:hAnsi="Times New Roman" w:cs="Times New Roman"/>
          <w:szCs w:val="21"/>
        </w:rPr>
      </w:pPr>
      <w:r>
        <w:rPr>
          <w:rFonts w:ascii="Times New Roman" w:hAnsi="Times New Roman"/>
          <w:b w:val="0"/>
          <w:i w:val="0"/>
          <w:color w:val="000000"/>
          <w:sz w:val="21"/>
          <w:u w:val="none"/>
        </w:rPr>
        <w:t>The relationship with the underlying framework should be stated more explicitly. The authors should clarify that GeoAnchor3D is built upon a Chat-Scene-style object-level representation framework and more clearly distinguish the proposed method from static fusion approaches.</w:t>
      </w:r>
    </w:p>
    <w:p>
      <w:pPr>
        <w:keepNext/>
        <w:widowControl/>
        <w:rPr>
          <w:rFonts w:ascii="Times New Roman" w:hAnsi="Times New Roman" w:cs="Times New Roman"/>
          <w:b/>
          <w:bCs/>
          <w:color w:val="3427E1"/>
          <w:szCs w:val="21"/>
          <w:u w:val="single"/>
        </w:rPr>
      </w:pPr>
      <w:r>
        <w:rPr>
          <w:rFonts w:ascii="Times New Roman" w:hAnsi="Times New Roman"/>
          <w:b/>
          <w:i w:val="0"/>
          <w:color w:val="3427E1"/>
          <w:sz w:val="21"/>
          <w:u w:val="single"/>
        </w:rPr>
        <w:t>REPLY:</w:t>
      </w:r>
    </w:p>
    <w:p>
      <w:pPr>
        <w:widowControl/>
        <w:ind w:firstLine="420"/>
        <w:rPr>
          <w:rFonts w:ascii="Times New Roman" w:hAnsi="Times New Roman" w:cs="Times New Roman"/>
          <w:color w:val="3427E1"/>
          <w:szCs w:val="21"/>
        </w:rPr>
      </w:pPr>
      <w:r>
        <w:rPr>
          <w:rFonts w:ascii="Times New Roman" w:hAnsi="Times New Roman"/>
          <w:b w:val="0"/>
          <w:i w:val="0"/>
          <w:color w:val="3427E1"/>
          <w:sz w:val="21"/>
          <w:u w:val="none"/>
        </w:rPr>
        <w:t>We thank the reviewer for this comment. Section III-A now explicitly identifies the inherited Chat-Scene components: object-centric preprocessing, Mask3D proposals, object identifiers, Uni3D and DINOv2 features, and the language-model interface. IGGA adds instruction-conditioned geometric modulation to object–object attention, while GATH adds coordinate supervision to intermediate LLM representations during training. Unlike fixed fusion, IGGA adjusts geometric modulation by instruction and attention head. The contribution is thus defined within the retained object-centric framework.</w:t>
      </w:r>
    </w:p>
    <w:p>
      <w:pPr>
        <w:keepNext/>
        <w:widowControl/>
        <w:ind w:firstLine="0"/>
        <w:rPr>
          <w:rFonts w:ascii="Times New Roman" w:hAnsi="Times New Roman" w:cs="Times New Roman"/>
          <w:color w:val="3427E1"/>
          <w:szCs w:val="21"/>
        </w:rPr>
      </w:pPr>
      <w:r>
        <w:rPr>
          <w:rFonts w:ascii="Times New Roman" w:hAnsi="Times New Roman" w:eastAsia="宋体"/>
          <w:b w:val="0"/>
          <w:i w:val="0"/>
          <w:color w:val="3427E1"/>
          <w:sz w:val="21"/>
          <w:u w:val="none"/>
        </w:rPr>
        <w:t xml:space="preserve">The paragraph clarifying the inherited framework and the proposed modules is reproduced below. </w:t>
      </w:r>
      <w:r>
        <w:rPr>
          <w:rFonts w:ascii="Times New Roman" w:hAnsi="Times New Roman"/>
          <w:color w:val="C45911"/>
          <w:sz w:val="21"/>
          <w:u w:val="single"/>
        </w:rPr>
        <w:t>[Section III-A, Overview of GeoAnchor3D]</w:t>
      </w:r>
    </w:p>
    <w:p>
      <w:pPr>
        <w:keepNext w:val="0"/>
        <w:widowControl/>
        <w:ind w:firstLine="0"/>
        <w:rPr>
          <w:rFonts w:ascii="Times New Roman" w:hAnsi="Times New Roman" w:cs="Times New Roman"/>
          <w:color w:val="3427E1"/>
          <w:szCs w:val="21"/>
        </w:rPr>
      </w:pPr>
      <w:r>
        <w:rPr>
          <w:rFonts w:ascii="Times New Roman" w:hAnsi="Times New Roman" w:eastAsia="宋体"/>
          <w:b w:val="0"/>
          <w:i w:val="0"/>
          <w:color w:val="C45911"/>
          <w:sz w:val="21"/>
          <w:u w:val="none"/>
        </w:rPr>
        <w:t>【截图位置 R2-C4：截取从 “GeoAnchor3D follows the object-centric scene representation” 到 “the language-model backbone” 的完整蓝色段落（tex 147 行）。 插图后删除本标注。】</w:t>
      </w:r>
    </w:p>
    <w:p/>
    <w:p>
      <w:pPr>
        <w:keepNext/>
        <w:widowControl/>
        <w:rPr>
          <w:rFonts w:ascii="Times New Roman" w:hAnsi="Times New Roman" w:cs="Times New Roman"/>
          <w:color w:val="000000" w:themeColor="text1"/>
          <w:szCs w:val="21"/>
        </w:rPr>
      </w:pPr>
      <w:r>
        <w:rPr>
          <w:rFonts w:ascii="Times New Roman" w:hAnsi="Times New Roman"/>
          <w:b/>
          <w:i w:val="0"/>
          <w:color w:val="000000"/>
          <w:sz w:val="21"/>
          <w:u w:val="single"/>
        </w:rPr>
        <w:t>Comment 5:</w:t>
      </w:r>
    </w:p>
    <w:p>
      <w:pPr>
        <w:widowControl/>
        <w:jc w:val="left"/>
        <w:rPr>
          <w:rFonts w:ascii="Times New Roman" w:hAnsi="Times New Roman" w:cs="Times New Roman"/>
          <w:szCs w:val="21"/>
        </w:rPr>
      </w:pPr>
      <w:r>
        <w:rPr>
          <w:rFonts w:ascii="Times New Roman" w:hAnsi="Times New Roman"/>
          <w:b w:val="0"/>
          <w:i w:val="0"/>
          <w:color w:val="000000"/>
          <w:sz w:val="21"/>
          <w:u w:val="none"/>
        </w:rPr>
        <w:t>The scope of the conclusions should be appropriately limited. The current evaluation mainly focuses on ScanNet-based indoor scenes and related tasks. The authors should avoid directly extending the conclusions to open-world settings, dynamic environments, or different 3D backbones.</w:t>
      </w:r>
    </w:p>
    <w:p>
      <w:pPr>
        <w:keepNext/>
        <w:widowControl/>
        <w:rPr>
          <w:rFonts w:ascii="Times New Roman" w:hAnsi="Times New Roman" w:cs="Times New Roman"/>
          <w:b/>
          <w:bCs/>
          <w:color w:val="3427E1"/>
          <w:szCs w:val="21"/>
          <w:u w:val="single"/>
        </w:rPr>
      </w:pPr>
      <w:r>
        <w:rPr>
          <w:rFonts w:ascii="Times New Roman" w:hAnsi="Times New Roman"/>
          <w:b/>
          <w:i w:val="0"/>
          <w:color w:val="3427E1"/>
          <w:sz w:val="21"/>
          <w:u w:val="single"/>
        </w:rPr>
        <w:t>REPLY:</w:t>
      </w:r>
    </w:p>
    <w:p>
      <w:pPr>
        <w:widowControl/>
        <w:ind w:firstLine="420"/>
        <w:rPr>
          <w:rFonts w:ascii="Times New Roman" w:hAnsi="Times New Roman" w:cs="Times New Roman"/>
          <w:color w:val="3427E1"/>
          <w:szCs w:val="21"/>
        </w:rPr>
      </w:pPr>
      <w:r>
        <w:rPr>
          <w:rFonts w:ascii="Times New Roman" w:hAnsi="Times New Roman"/>
          <w:b w:val="0"/>
          <w:i w:val="0"/>
          <w:color w:val="3427E1"/>
          <w:sz w:val="21"/>
          <w:u w:val="none"/>
        </w:rPr>
        <w:t>We agree that the conclusions must match the evaluation scope. The revised Introduction and Conclusion restrict the empirical findings to the evaluated ScanNet-based indoor benchmarks. Section V explicitly distinguishes within-domain multi-task adaptation from unseen-task and cross-domain generalization, and lists outdoor environments, dynamic scenes, and different 3D backbones as untested directions.</w:t>
      </w:r>
    </w:p>
    <w:p>
      <w:pPr>
        <w:keepNext/>
        <w:widowControl/>
        <w:ind w:firstLine="0"/>
        <w:rPr>
          <w:rFonts w:ascii="Times New Roman" w:hAnsi="Times New Roman" w:cs="Times New Roman"/>
          <w:color w:val="3427E1"/>
          <w:szCs w:val="21"/>
        </w:rPr>
      </w:pPr>
      <w:r>
        <w:rPr>
          <w:rFonts w:ascii="Times New Roman" w:hAnsi="Times New Roman" w:eastAsia="宋体"/>
          <w:b w:val="0"/>
          <w:i w:val="0"/>
          <w:color w:val="3427E1"/>
          <w:sz w:val="21"/>
          <w:u w:val="none"/>
        </w:rPr>
        <w:t xml:space="preserve">The revised statements defining the evaluation scope are provided below. </w:t>
      </w:r>
      <w:r>
        <w:rPr>
          <w:rFonts w:ascii="Times New Roman" w:hAnsi="Times New Roman"/>
          <w:color w:val="C45911"/>
          <w:sz w:val="21"/>
          <w:u w:val="single"/>
        </w:rPr>
        <w:t>[Sections V and VI]</w:t>
      </w:r>
    </w:p>
    <w:p>
      <w:pPr>
        <w:keepNext w:val="0"/>
        <w:widowControl/>
        <w:ind w:firstLine="0"/>
        <w:rPr>
          <w:rFonts w:ascii="Times New Roman" w:hAnsi="Times New Roman" w:cs="Times New Roman"/>
          <w:color w:val="3427E1"/>
          <w:szCs w:val="21"/>
        </w:rPr>
      </w:pPr>
      <w:r>
        <w:rPr>
          <w:rFonts w:ascii="Times New Roman" w:hAnsi="Times New Roman" w:eastAsia="宋体"/>
          <w:b w:val="0"/>
          <w:i w:val="0"/>
          <w:color w:val="C45911"/>
          <w:sz w:val="21"/>
          <w:u w:val="none"/>
        </w:rPr>
        <w:t>【截图位置 R2-C5：图 A：V 中从 “All evaluated benchmarks are derived from ScanNet indoor scenes” 到该节结尾（tex 811 行后半部分）。图 B：Conclusion 最后两句，从 “Experiments on four ScanNet-based benchmarks” 开始（815 行）。 插图后删除本标注。】</w:t>
      </w:r>
    </w:p>
    <w:p>
      <w:pPr>
        <w:pStyle w:val="2"/>
        <w:keepNext/>
        <w:widowControl/>
        <w:spacing w:before="100" w:beforeAutospacing="1" w:after="100" w:afterAutospacing="1" w:line="360" w:lineRule="auto"/>
        <w:rPr>
          <w:rFonts w:ascii="Times New Roman" w:hAnsi="Times New Roman" w:cs="Times New Roman"/>
          <w:sz w:val="24"/>
          <w:szCs w:val="24"/>
        </w:rPr>
      </w:pPr>
      <w:r>
        <w:rPr>
          <w:rFonts w:ascii="Times New Roman" w:hAnsi="Times New Roman"/>
          <w:b/>
          <w:i w:val="0"/>
          <w:color w:val="000000"/>
          <w:sz w:val="24"/>
          <w:u w:val="none"/>
        </w:rPr>
        <w:t>Response to Reviewer 3</w:t>
      </w:r>
    </w:p>
    <w:p>
      <w:pPr>
        <w:keepNext/>
        <w:widowControl/>
        <w:rPr>
          <w:rFonts w:ascii="Times New Roman" w:hAnsi="Times New Roman" w:cs="Times New Roman"/>
          <w:color w:val="000000" w:themeColor="text1"/>
          <w:szCs w:val="21"/>
        </w:rPr>
      </w:pPr>
      <w:r>
        <w:rPr>
          <w:rFonts w:ascii="Times New Roman" w:hAnsi="Times New Roman"/>
          <w:b/>
          <w:i w:val="0"/>
          <w:color w:val="000000"/>
          <w:sz w:val="21"/>
          <w:u w:val="single"/>
        </w:rPr>
        <w:t>Comment 1:</w:t>
      </w:r>
    </w:p>
    <w:p>
      <w:pPr>
        <w:widowControl/>
        <w:jc w:val="left"/>
        <w:rPr>
          <w:rFonts w:ascii="Times New Roman" w:hAnsi="Times New Roman" w:cs="Times New Roman"/>
          <w:szCs w:val="21"/>
        </w:rPr>
      </w:pPr>
      <w:r>
        <w:rPr>
          <w:rFonts w:ascii="Times New Roman" w:hAnsi="Times New Roman"/>
          <w:b w:val="0"/>
          <w:i w:val="0"/>
          <w:color w:val="000000"/>
          <w:sz w:val="21"/>
          <w:u w:val="none"/>
        </w:rPr>
        <w:t>The distinction between “instruction-aware” routing and task-type supervision should be clarified more carefully.The paper emphasizes that IGGA adaptively regulates geometric information according to individual instructions. However, during training, the gating coefficients are explicitly encouraged toward for grounding tasks and for question answering and captioning tasks. This raises the question of whether IGGA truly learns fine-grained instruction-level routing, or mainly behaves as an implicit task classifier. The authors are encouraged to include an ablation without L, as well as a finer-grained analysis within the same task category according to instruction spatial complexity.</w:t>
      </w:r>
    </w:p>
    <w:p>
      <w:pPr>
        <w:widowControl/>
        <w:jc w:val="left"/>
        <w:rPr>
          <w:rFonts w:ascii="Times New Roman" w:hAnsi="Times New Roman" w:cs="Times New Roman"/>
          <w:szCs w:val="21"/>
        </w:rPr>
      </w:pPr>
      <w:r>
        <w:rPr>
          <w:rFonts w:ascii="Times New Roman" w:hAnsi="Times New Roman"/>
          <w:b w:val="0"/>
          <w:i/>
          <w:color w:val="000000"/>
          <w:sz w:val="21"/>
          <w:u w:val="none"/>
        </w:rPr>
        <w:t>[Source note: the supplied reviewer comment omits the numerical gate targets and the loss subscript. Check the original review before submission; the missing symbols have not been reconstructed.]</w:t>
      </w:r>
    </w:p>
    <w:p>
      <w:pPr>
        <w:keepNext/>
        <w:widowControl/>
        <w:rPr>
          <w:rFonts w:ascii="Times New Roman" w:hAnsi="Times New Roman" w:cs="Times New Roman"/>
          <w:b/>
          <w:bCs/>
          <w:color w:val="3427E1"/>
          <w:szCs w:val="21"/>
          <w:u w:val="single"/>
        </w:rPr>
      </w:pPr>
      <w:r>
        <w:rPr>
          <w:rFonts w:ascii="Times New Roman" w:hAnsi="Times New Roman"/>
          <w:b/>
          <w:i w:val="0"/>
          <w:color w:val="3427E1"/>
          <w:sz w:val="21"/>
          <w:u w:val="single"/>
        </w:rPr>
        <w:t>REPLY:</w:t>
      </w:r>
    </w:p>
    <w:p>
      <w:pPr>
        <w:widowControl/>
        <w:ind w:firstLine="420"/>
        <w:rPr>
          <w:rFonts w:ascii="Times New Roman" w:hAnsi="Times New Roman" w:cs="Times New Roman"/>
          <w:color w:val="3427E1"/>
          <w:szCs w:val="21"/>
        </w:rPr>
      </w:pPr>
      <w:r>
        <w:rPr>
          <w:rFonts w:ascii="Times New Roman" w:hAnsi="Times New Roman"/>
          <w:b w:val="0"/>
          <w:i w:val="0"/>
          <w:color w:val="3427E1"/>
          <w:sz w:val="21"/>
          <w:u w:val="none"/>
        </w:rPr>
        <w:t xml:space="preserve">We thank the reviewer for proposing these two tests. Section IV-C now reports an ablation without </w:t>
      </w:r>
      <w:r>
        <w:rPr>
          <w:rFonts w:ascii="Times New Roman" w:hAnsi="Times New Roman"/>
          <w:b w:val="0"/>
          <w:i w:val="0"/>
          <w:color w:val="3427E1"/>
          <w:sz w:val="21"/>
          <w:u w:val="none"/>
        </w:rPr>
        <w:t>L</w:t>
      </w:r>
      <w:r>
        <w:rPr>
          <w:rFonts w:ascii="Times New Roman" w:hAnsi="Times New Roman"/>
          <w:b w:val="0"/>
          <w:i w:val="0"/>
          <w:color w:val="3427E1"/>
          <w:sz w:val="21"/>
          <w:u w:val="none"/>
          <w:vertAlign w:val="subscript"/>
        </w:rPr>
        <w:t>gate</w:t>
      </w:r>
      <w:r>
        <w:rPr>
          <w:rFonts w:ascii="Times New Roman" w:hAnsi="Times New Roman"/>
          <w:b w:val="0"/>
          <w:i w:val="0"/>
          <w:color w:val="3427E1"/>
          <w:sz w:val="21"/>
          <w:u w:val="none"/>
        </w:rPr>
        <w:t xml:space="preserve"> and a within-task analysis grouped by the number of explicit spatial relations.</w:t>
      </w:r>
    </w:p>
    <w:p>
      <w:pPr>
        <w:widowControl/>
        <w:ind w:firstLine="420"/>
        <w:rPr>
          <w:rFonts w:ascii="Times New Roman" w:hAnsi="Times New Roman" w:cs="Times New Roman"/>
          <w:color w:val="3427E1"/>
          <w:szCs w:val="21"/>
        </w:rPr>
      </w:pPr>
      <w:r>
        <w:rPr>
          <w:rFonts w:ascii="Times New Roman" w:hAnsi="Times New Roman"/>
          <w:b w:val="0"/>
          <w:i w:val="0"/>
          <w:color w:val="3427E1"/>
          <w:sz w:val="21"/>
          <w:u w:val="none"/>
        </w:rPr>
        <w:t>Without the gate prior, ScanRefer Acc@0.5 and Multi3DRefer F1@0.5 decrease from 51.1</w:t>
      </w:r>
      <w:r>
        <w:rPr>
          <w:rFonts w:ascii="Times New Roman" w:hAnsi="Times New Roman"/>
          <w:b w:val="0"/>
          <w:i w:val="0"/>
          <w:color w:val="3427E1"/>
          <w:sz w:val="21"/>
          <w:u w:val="none"/>
        </w:rPr>
        <w:t>%</w:t>
      </w:r>
      <w:r>
        <w:rPr>
          <w:rFonts w:ascii="Times New Roman" w:hAnsi="Times New Roman"/>
          <w:b w:val="0"/>
          <w:i w:val="0"/>
          <w:color w:val="3427E1"/>
          <w:sz w:val="21"/>
          <w:u w:val="none"/>
        </w:rPr>
        <w:t>/54.6</w:t>
      </w:r>
      <w:r>
        <w:rPr>
          <w:rFonts w:ascii="Times New Roman" w:hAnsi="Times New Roman"/>
          <w:b w:val="0"/>
          <w:i w:val="0"/>
          <w:color w:val="3427E1"/>
          <w:sz w:val="21"/>
          <w:u w:val="none"/>
        </w:rPr>
        <w:t>%</w:t>
      </w:r>
      <w:r>
        <w:rPr>
          <w:rFonts w:ascii="Times New Roman" w:hAnsi="Times New Roman"/>
          <w:b w:val="0"/>
          <w:i w:val="0"/>
          <w:color w:val="3427E1"/>
          <w:sz w:val="21"/>
          <w:u w:val="none"/>
        </w:rPr>
        <w:t xml:space="preserve"> to 50.9</w:t>
      </w:r>
      <w:r>
        <w:rPr>
          <w:rFonts w:ascii="Times New Roman" w:hAnsi="Times New Roman"/>
          <w:b w:val="0"/>
          <w:i w:val="0"/>
          <w:color w:val="3427E1"/>
          <w:sz w:val="21"/>
          <w:u w:val="none"/>
        </w:rPr>
        <w:t>%</w:t>
      </w:r>
      <w:r>
        <w:rPr>
          <w:rFonts w:ascii="Times New Roman" w:hAnsi="Times New Roman"/>
          <w:b w:val="0"/>
          <w:i w:val="0"/>
          <w:color w:val="3427E1"/>
          <w:sz w:val="21"/>
          <w:u w:val="none"/>
        </w:rPr>
        <w:t>/54.4</w:t>
      </w:r>
      <w:r>
        <w:rPr>
          <w:rFonts w:ascii="Times New Roman" w:hAnsi="Times New Roman"/>
          <w:b w:val="0"/>
          <w:i w:val="0"/>
          <w:color w:val="3427E1"/>
          <w:sz w:val="21"/>
          <w:u w:val="none"/>
        </w:rPr>
        <w:t>%</w:t>
      </w:r>
      <w:r>
        <w:rPr>
          <w:rFonts w:ascii="Times New Roman" w:hAnsi="Times New Roman"/>
          <w:b w:val="0"/>
          <w:i w:val="0"/>
          <w:color w:val="3427E1"/>
          <w:sz w:val="21"/>
          <w:u w:val="none"/>
        </w:rPr>
        <w:t>. ScanQA results are mixed: BLEU-4 increases from 14.2 to 14.3, while CIDEr decreases from 89.9 to 89.7. Thus, the prior provides modest benefits in this comparison, but is not necessary for learning useful gates.</w:t>
      </w:r>
    </w:p>
    <w:p>
      <w:pPr>
        <w:widowControl/>
        <w:ind w:firstLine="420"/>
        <w:rPr>
          <w:rFonts w:ascii="Times New Roman" w:hAnsi="Times New Roman" w:cs="Times New Roman"/>
          <w:color w:val="3427E1"/>
          <w:szCs w:val="21"/>
        </w:rPr>
      </w:pPr>
      <w:r>
        <w:rPr>
          <w:rFonts w:ascii="Times New Roman" w:hAnsi="Times New Roman"/>
          <w:b w:val="0"/>
          <w:i w:val="0"/>
          <w:color w:val="3427E1"/>
          <w:sz w:val="21"/>
          <w:u w:val="none"/>
        </w:rPr>
        <w:t>Holding the task fixed on ScanRefer, mean gates are 0.8972, 0.8938, and 0.8846 for zero, one, and at least two explicit relations, respectively. This variation rules out a strictly constant task-level gate, but does not by itself prove fine-grained spatial understanding. Gates remain strongly influenced by the grounding prior, and their decrease with relation count should not be interpreted as reduced need for geometry. Retaining more unrestricted semantic attention is a possible explanation, rather than an established causal result.</w:t>
      </w:r>
    </w:p>
    <w:p>
      <w:pPr>
        <w:keepNext/>
        <w:widowControl/>
        <w:ind w:firstLine="0"/>
        <w:rPr>
          <w:rFonts w:ascii="Times New Roman" w:hAnsi="Times New Roman" w:cs="Times New Roman"/>
          <w:color w:val="3427E1"/>
          <w:szCs w:val="21"/>
        </w:rPr>
      </w:pPr>
      <w:r>
        <w:rPr>
          <w:rFonts w:ascii="Times New Roman" w:hAnsi="Times New Roman" w:eastAsia="宋体"/>
          <w:b w:val="0"/>
          <w:i w:val="0"/>
          <w:color w:val="3427E1"/>
          <w:sz w:val="21"/>
          <w:u w:val="none"/>
        </w:rPr>
        <w:t xml:space="preserve">The added gate-prior ablation and within-task analysis are reproduced below. </w:t>
      </w:r>
      <w:r>
        <w:rPr>
          <w:rFonts w:ascii="Times New Roman" w:hAnsi="Times New Roman"/>
          <w:color w:val="C45911"/>
          <w:sz w:val="21"/>
          <w:u w:val="single"/>
        </w:rPr>
        <w:t>[Section IV-C, Gating Granularity and Supervision; Within-Task Gate Variation]</w:t>
      </w:r>
    </w:p>
    <w:p>
      <w:pPr>
        <w:keepNext w:val="0"/>
        <w:widowControl/>
        <w:ind w:firstLine="0"/>
        <w:rPr>
          <w:rFonts w:ascii="Times New Roman" w:hAnsi="Times New Roman" w:cs="Times New Roman"/>
          <w:color w:val="3427E1"/>
          <w:szCs w:val="21"/>
        </w:rPr>
      </w:pPr>
      <w:r>
        <w:rPr>
          <w:rFonts w:ascii="Times New Roman" w:hAnsi="Times New Roman" w:eastAsia="宋体"/>
          <w:b w:val="0"/>
          <w:i w:val="0"/>
          <w:color w:val="C45911"/>
          <w:sz w:val="21"/>
          <w:u w:val="none"/>
        </w:rPr>
        <w:t>【截图位置 R3-C1：图 A：完整受控门控消融表，包含 w/o gate prior 和 Full per-head 行（tab:gating_granularity_prior，tex 467–510 行）。图 B：完整任务内门控统计表及其两段分析（tab:within_task_gating，550–572 行）。可复用 R2-C3 和 R2-C2 对应截图。 插图后删除本标注。】</w:t>
      </w:r>
    </w:p>
    <w:p/>
    <w:p>
      <w:pPr>
        <w:keepNext/>
        <w:widowControl/>
        <w:rPr>
          <w:rFonts w:ascii="Times New Roman" w:hAnsi="Times New Roman" w:cs="Times New Roman"/>
          <w:color w:val="000000" w:themeColor="text1"/>
          <w:szCs w:val="21"/>
        </w:rPr>
      </w:pPr>
      <w:r>
        <w:rPr>
          <w:rFonts w:ascii="Times New Roman" w:hAnsi="Times New Roman"/>
          <w:b/>
          <w:i w:val="0"/>
          <w:color w:val="000000"/>
          <w:sz w:val="21"/>
          <w:u w:val="single"/>
        </w:rPr>
        <w:t>Comment 2:</w:t>
      </w:r>
    </w:p>
    <w:p>
      <w:pPr>
        <w:widowControl/>
        <w:jc w:val="left"/>
        <w:rPr>
          <w:rFonts w:ascii="Times New Roman" w:hAnsi="Times New Roman" w:cs="Times New Roman"/>
          <w:szCs w:val="21"/>
        </w:rPr>
      </w:pPr>
      <w:r>
        <w:rPr>
          <w:rFonts w:ascii="Times New Roman" w:hAnsi="Times New Roman"/>
          <w:b w:val="0"/>
          <w:i w:val="0"/>
          <w:color w:val="000000"/>
          <w:sz w:val="21"/>
          <w:u w:val="none"/>
        </w:rPr>
        <w:t>The ablation of the gating mechanism is insufficient to justify the necessity of per-head gating.Table III mainly compares a fixed (</w:t>
      </w:r>
      <w:r>
        <w:rPr>
          <w:rFonts w:ascii="Times New Roman" w:hAnsi="Times New Roman"/>
          <w:b w:val="0"/>
          <w:i w:val="0"/>
          <w:color w:val="000000"/>
          <w:sz w:val="21"/>
          <w:u w:val="none"/>
        </w:rPr>
        <w:t>α</w:t>
      </w:r>
      <w:r>
        <w:rPr>
          <w:rFonts w:ascii="Times New Roman" w:hAnsi="Times New Roman"/>
          <w:b w:val="0"/>
          <w:i w:val="0"/>
          <w:color w:val="000000"/>
          <w:sz w:val="21"/>
          <w:u w:val="none"/>
          <w:vertAlign w:val="subscript"/>
        </w:rPr>
        <w:t>h</w:t>
      </w:r>
      <w:r>
        <w:rPr>
          <w:rFonts w:ascii="Times New Roman" w:hAnsi="Times New Roman"/>
          <w:b w:val="0"/>
          <w:i w:val="0"/>
          <w:color w:val="000000"/>
          <w:sz w:val="21"/>
          <w:u w:val="none"/>
        </w:rPr>
        <w:t>=0.5) strategy with learnable gating. However, one of the key methodological claims is that per-head instruction-conditioned gating is superior to coarse or scalar routing. It would therefore be more convincing to compare scalar instruction-conditioned gating, layer-wise gating, and per-head gating under otherwise identical settings. Such experiments would better isolate whether the gain comes from learnability itself or specifically from the proposed per-head design.</w:t>
      </w:r>
    </w:p>
    <w:p>
      <w:pPr>
        <w:keepNext/>
        <w:widowControl/>
        <w:rPr>
          <w:rFonts w:ascii="Times New Roman" w:hAnsi="Times New Roman" w:cs="Times New Roman"/>
          <w:b/>
          <w:bCs/>
          <w:color w:val="3427E1"/>
          <w:szCs w:val="21"/>
          <w:u w:val="single"/>
        </w:rPr>
      </w:pPr>
      <w:r>
        <w:rPr>
          <w:rFonts w:ascii="Times New Roman" w:hAnsi="Times New Roman"/>
          <w:b/>
          <w:i w:val="0"/>
          <w:color w:val="3427E1"/>
          <w:sz w:val="21"/>
          <w:u w:val="single"/>
        </w:rPr>
        <w:t>REPLY:</w:t>
      </w:r>
    </w:p>
    <w:p>
      <w:pPr>
        <w:widowControl/>
        <w:ind w:firstLine="420"/>
        <w:rPr>
          <w:rFonts w:ascii="Times New Roman" w:hAnsi="Times New Roman" w:cs="Times New Roman"/>
          <w:color w:val="3427E1"/>
          <w:szCs w:val="21"/>
        </w:rPr>
      </w:pPr>
      <w:r>
        <w:rPr>
          <w:rFonts w:ascii="Times New Roman" w:hAnsi="Times New Roman"/>
          <w:b w:val="0"/>
          <w:i w:val="0"/>
          <w:color w:val="3427E1"/>
          <w:sz w:val="21"/>
          <w:u w:val="none"/>
        </w:rPr>
        <w:t>We agree that learnability and head granularity should be separated. The new ablation in Section IV-C retains GATH and jointly trains all variants on the four datasets. Per-head gating improves ten of eleven metrics over a dynamic shared scalar and ties Scan2Cap CIDEr@0.5. Both ScanRefer Acc@0.5 and Multi3DRefer F1@0.5 improve by 0.5 percentage points. Unlike this joint-training experiment, the original fixed-versus-learnable gating comparison used only ScanRefer and ScanQA for training; its scores are therefore not directly comparable across tables.</w:t>
      </w:r>
    </w:p>
    <w:p>
      <w:pPr>
        <w:widowControl/>
        <w:ind w:firstLine="420"/>
        <w:rPr>
          <w:rFonts w:ascii="Times New Roman" w:hAnsi="Times New Roman" w:cs="Times New Roman"/>
          <w:color w:val="3427E1"/>
          <w:szCs w:val="21"/>
        </w:rPr>
      </w:pPr>
      <w:r>
        <w:rPr>
          <w:rFonts w:ascii="Times New Roman" w:hAnsi="Times New Roman"/>
          <w:b w:val="0"/>
          <w:i w:val="0"/>
          <w:color w:val="3427E1"/>
          <w:sz w:val="21"/>
          <w:u w:val="none"/>
        </w:rPr>
        <w:t>The scalar control tests granularity at IGGA's existing pre-LLM insertion point. Layer-wise gating would additionally change the insertion points and architecture, so it is not included in this controlled comparison. Our conclusion concerns per-head versus shared-scalar gating at the same location.</w:t>
      </w:r>
    </w:p>
    <w:p>
      <w:pPr>
        <w:keepNext/>
        <w:widowControl/>
        <w:ind w:firstLine="0"/>
        <w:rPr>
          <w:rFonts w:ascii="Times New Roman" w:hAnsi="Times New Roman" w:cs="Times New Roman"/>
          <w:color w:val="3427E1"/>
          <w:szCs w:val="21"/>
        </w:rPr>
      </w:pPr>
      <w:r>
        <w:rPr>
          <w:rFonts w:ascii="Times New Roman" w:hAnsi="Times New Roman" w:eastAsia="宋体"/>
          <w:b w:val="0"/>
          <w:i w:val="0"/>
          <w:color w:val="3427E1"/>
          <w:sz w:val="21"/>
          <w:u w:val="none"/>
        </w:rPr>
        <w:t xml:space="preserve">The scalar-versus-per-head comparison and its training setting are provided below. </w:t>
      </w:r>
      <w:r>
        <w:rPr>
          <w:rFonts w:ascii="Times New Roman" w:hAnsi="Times New Roman"/>
          <w:color w:val="C45911"/>
          <w:sz w:val="21"/>
          <w:u w:val="single"/>
        </w:rPr>
        <w:t>[Section IV-C, Ablation Study]</w:t>
      </w:r>
    </w:p>
    <w:p>
      <w:pPr>
        <w:keepNext w:val="0"/>
        <w:widowControl/>
        <w:ind w:firstLine="0"/>
        <w:rPr>
          <w:rFonts w:ascii="Times New Roman" w:hAnsi="Times New Roman" w:cs="Times New Roman"/>
          <w:color w:val="3427E1"/>
          <w:szCs w:val="21"/>
        </w:rPr>
      </w:pPr>
      <w:r>
        <w:rPr>
          <w:rFonts w:ascii="Times New Roman" w:hAnsi="Times New Roman" w:eastAsia="宋体"/>
          <w:b w:val="0"/>
          <w:i w:val="0"/>
          <w:color w:val="C45911"/>
          <w:sz w:val="21"/>
          <w:u w:val="none"/>
        </w:rPr>
        <w:t>【截图位置 R3-C2：图 A：IV-C 开头关于两组训练数据设置的段落（tex 445 行）。图 B：完整受控门控消融表（tab:gating_granularity_prior，467–510 行）。可复用 R2-C3 截图；不安排尚未开展的 layer-wise gating 实验截图。 插图后删除本标注。】</w:t>
      </w:r>
    </w:p>
    <w:p/>
    <w:p>
      <w:pPr>
        <w:keepNext/>
        <w:widowControl/>
        <w:rPr>
          <w:rFonts w:ascii="Times New Roman" w:hAnsi="Times New Roman" w:cs="Times New Roman"/>
          <w:color w:val="000000" w:themeColor="text1"/>
          <w:szCs w:val="21"/>
        </w:rPr>
      </w:pPr>
      <w:r>
        <w:rPr>
          <w:rFonts w:ascii="Times New Roman" w:hAnsi="Times New Roman"/>
          <w:b/>
          <w:i w:val="0"/>
          <w:color w:val="000000"/>
          <w:sz w:val="21"/>
          <w:u w:val="single"/>
        </w:rPr>
        <w:t>Comment 3:</w:t>
      </w:r>
    </w:p>
    <w:p>
      <w:pPr>
        <w:widowControl/>
        <w:jc w:val="left"/>
        <w:rPr>
          <w:rFonts w:ascii="Times New Roman" w:hAnsi="Times New Roman" w:cs="Times New Roman"/>
          <w:szCs w:val="21"/>
        </w:rPr>
      </w:pPr>
      <w:r>
        <w:rPr>
          <w:rFonts w:ascii="Times New Roman" w:hAnsi="Times New Roman"/>
          <w:b w:val="0"/>
          <w:i w:val="0"/>
          <w:color w:val="000000"/>
          <w:sz w:val="21"/>
          <w:u w:val="none"/>
        </w:rPr>
        <w:t>The central motivation of “deep-layer geometric forgetting” lacks sufficiently direct quantitative evidence.The manuscript treats progressive geometric degradation in deeper LLM layers as one of its two major motivating problems, and GATH is explicitly designed to address this issue. However, the current evidence is largely conceptual or indirect. The paper would benefit substantially from layer-wise probing experiments, for example predicting object coordinates, relative positions, or spatial relations from hidden states at different depths. A comparison between the baseline and GeoAnchor3D could directly demonstrate whether geometric information indeed decays with depth and whether GATH alleviates this degradation.</w:t>
      </w:r>
    </w:p>
    <w:p>
      <w:pPr>
        <w:keepNext/>
        <w:widowControl/>
        <w:rPr>
          <w:rFonts w:ascii="Times New Roman" w:hAnsi="Times New Roman" w:cs="Times New Roman"/>
          <w:b/>
          <w:bCs/>
          <w:color w:val="3427E1"/>
          <w:szCs w:val="21"/>
          <w:u w:val="single"/>
        </w:rPr>
      </w:pPr>
      <w:r>
        <w:rPr>
          <w:rFonts w:ascii="Times New Roman" w:hAnsi="Times New Roman"/>
          <w:b/>
          <w:i w:val="0"/>
          <w:color w:val="3427E1"/>
          <w:sz w:val="21"/>
          <w:u w:val="single"/>
        </w:rPr>
        <w:t>REPLY:</w:t>
      </w:r>
    </w:p>
    <w:p>
      <w:pPr>
        <w:widowControl/>
        <w:ind w:firstLine="420"/>
        <w:rPr>
          <w:rFonts w:ascii="Times New Roman" w:hAnsi="Times New Roman" w:cs="Times New Roman"/>
          <w:color w:val="3427E1"/>
          <w:szCs w:val="21"/>
        </w:rPr>
      </w:pPr>
      <w:r>
        <w:rPr>
          <w:rFonts w:ascii="Times New Roman" w:hAnsi="Times New Roman"/>
          <w:b w:val="0"/>
          <w:i w:val="0"/>
          <w:color w:val="3427E1"/>
          <w:sz w:val="21"/>
          <w:u w:val="none"/>
        </w:rPr>
        <w:t>We thank the reviewer for requesting direct evidence. We added independent linear probes for scene-centered object coordinates at layers 4, 8, 12, 16, 20, 24, 28, and 32 of the frozen models, using the same split of 76 training scenes and 24 held-out test scenes.</w:t>
      </w:r>
    </w:p>
    <w:p>
      <w:pPr>
        <w:widowControl/>
        <w:ind w:firstLine="420"/>
        <w:rPr>
          <w:rFonts w:ascii="Times New Roman" w:hAnsi="Times New Roman" w:cs="Times New Roman"/>
          <w:color w:val="3427E1"/>
          <w:szCs w:val="21"/>
        </w:rPr>
      </w:pPr>
      <w:r>
        <w:rPr>
          <w:rFonts w:ascii="Times New Roman" w:hAnsi="Times New Roman"/>
          <w:b w:val="0"/>
          <w:i w:val="0"/>
          <w:color w:val="3427E1"/>
          <w:sz w:val="21"/>
          <w:u w:val="none"/>
        </w:rPr>
        <w:t>GeoAnchor3D obtains lower RMSE and higher mean R</w:t>
      </w:r>
      <w:r>
        <w:rPr>
          <w:rFonts w:ascii="Times New Roman" w:hAnsi="Times New Roman"/>
          <w:b w:val="0"/>
          <w:i w:val="0"/>
          <w:color w:val="3427E1"/>
          <w:sz w:val="21"/>
          <w:u w:val="none"/>
          <w:vertAlign w:val="superscript"/>
        </w:rPr>
        <w:t>2</w:t>
      </w:r>
      <w:r>
        <w:rPr>
          <w:rFonts w:ascii="Times New Roman" w:hAnsi="Times New Roman"/>
          <w:b w:val="0"/>
          <w:i w:val="0"/>
          <w:color w:val="3427E1"/>
          <w:sz w:val="21"/>
          <w:u w:val="none"/>
        </w:rPr>
        <w:t xml:space="preserve"> at all eight depths. Average RMSE decreases from 1.3352 to 1.0609 (20.55</w:t>
      </w:r>
      <w:r>
        <w:rPr>
          <w:rFonts w:ascii="Times New Roman" w:hAnsi="Times New Roman"/>
          <w:b w:val="0"/>
          <w:i w:val="0"/>
          <w:color w:val="3427E1"/>
          <w:sz w:val="21"/>
          <w:u w:val="none"/>
        </w:rPr>
        <w:t>%</w:t>
      </w:r>
      <w:r>
        <w:rPr>
          <w:rFonts w:ascii="Times New Roman" w:hAnsi="Times New Roman"/>
          <w:b w:val="0"/>
          <w:i w:val="0"/>
          <w:color w:val="3427E1"/>
          <w:sz w:val="21"/>
          <w:u w:val="none"/>
        </w:rPr>
        <w:t>), and mean R</w:t>
      </w:r>
      <w:r>
        <w:rPr>
          <w:rFonts w:ascii="Times New Roman" w:hAnsi="Times New Roman"/>
          <w:b w:val="0"/>
          <w:i w:val="0"/>
          <w:color w:val="3427E1"/>
          <w:sz w:val="21"/>
          <w:u w:val="none"/>
          <w:vertAlign w:val="superscript"/>
        </w:rPr>
        <w:t>2</w:t>
      </w:r>
      <w:r>
        <w:rPr>
          <w:rFonts w:ascii="Times New Roman" w:hAnsi="Times New Roman"/>
          <w:b w:val="0"/>
          <w:i w:val="0"/>
          <w:color w:val="3427E1"/>
          <w:sz w:val="21"/>
          <w:u w:val="none"/>
        </w:rPr>
        <w:t xml:space="preserve"> increases from -0.0066 to 0.2540. At layer 32, R</w:t>
      </w:r>
      <w:r>
        <w:rPr>
          <w:rFonts w:ascii="Times New Roman" w:hAnsi="Times New Roman"/>
          <w:b w:val="0"/>
          <w:i w:val="0"/>
          <w:color w:val="3427E1"/>
          <w:sz w:val="21"/>
          <w:u w:val="none"/>
          <w:vertAlign w:val="superscript"/>
        </w:rPr>
        <w:t>2</w:t>
      </w:r>
      <w:r>
        <w:rPr>
          <w:rFonts w:ascii="Times New Roman" w:hAnsi="Times New Roman"/>
          <w:b w:val="0"/>
          <w:i w:val="0"/>
          <w:color w:val="3427E1"/>
          <w:sz w:val="21"/>
          <w:u w:val="none"/>
        </w:rPr>
        <w:t xml:space="preserve"> is 0.1876 versus -0.0489 for Chat-Scene. These results quantify stronger coordinate recoverability throughout the evaluated hierarchy, including deep layers.</w:t>
      </w:r>
    </w:p>
    <w:p>
      <w:pPr>
        <w:widowControl/>
        <w:ind w:firstLine="420"/>
        <w:rPr>
          <w:rFonts w:ascii="Times New Roman" w:hAnsi="Times New Roman" w:cs="Times New Roman"/>
          <w:color w:val="3427E1"/>
          <w:szCs w:val="21"/>
        </w:rPr>
      </w:pPr>
      <w:r>
        <w:rPr>
          <w:rFonts w:ascii="Times New Roman" w:hAnsi="Times New Roman"/>
          <w:b w:val="0"/>
          <w:i w:val="0"/>
          <w:color w:val="3427E1"/>
          <w:sz w:val="21"/>
          <w:u w:val="none"/>
        </w:rPr>
        <w:t>The component ablation separately supports GATH's contribution to task performance. The probing experiment evaluates the complete framework and does not isolate GATH or establish strictly monotonic decay. Together, these analyses provide evidence of task benefits and framework-level geometric retention. Both are reported in Section IV-C.</w:t>
      </w:r>
    </w:p>
    <w:p>
      <w:pPr>
        <w:keepNext/>
        <w:widowControl/>
        <w:ind w:firstLine="0"/>
        <w:rPr>
          <w:rFonts w:ascii="Times New Roman" w:hAnsi="Times New Roman" w:cs="Times New Roman"/>
          <w:color w:val="3427E1"/>
          <w:szCs w:val="21"/>
        </w:rPr>
      </w:pPr>
      <w:r>
        <w:rPr>
          <w:rFonts w:ascii="Times New Roman" w:hAnsi="Times New Roman" w:eastAsia="宋体"/>
          <w:b w:val="0"/>
          <w:i w:val="0"/>
          <w:color w:val="3427E1"/>
          <w:sz w:val="21"/>
          <w:u w:val="none"/>
        </w:rPr>
        <w:t xml:space="preserve">The layer-wise probing results and the separate component ablation are reproduced below. </w:t>
      </w:r>
      <w:r>
        <w:rPr>
          <w:rFonts w:ascii="Times New Roman" w:hAnsi="Times New Roman"/>
          <w:color w:val="C45911"/>
          <w:sz w:val="21"/>
          <w:u w:val="single"/>
        </w:rPr>
        <w:t>[Section IV-C, Layer-Wise Geometric Recoverability; Module Contributions]</w:t>
      </w:r>
    </w:p>
    <w:p>
      <w:pPr>
        <w:keepNext w:val="0"/>
        <w:widowControl/>
        <w:ind w:firstLine="0"/>
        <w:rPr>
          <w:rFonts w:ascii="Times New Roman" w:hAnsi="Times New Roman" w:cs="Times New Roman"/>
          <w:color w:val="3427E1"/>
          <w:szCs w:val="21"/>
        </w:rPr>
      </w:pPr>
      <w:r>
        <w:rPr>
          <w:rFonts w:ascii="Times New Roman" w:hAnsi="Times New Roman" w:eastAsia="宋体"/>
          <w:b w:val="0"/>
          <w:i w:val="0"/>
          <w:color w:val="C45911"/>
          <w:sz w:val="21"/>
          <w:u w:val="none"/>
        </w:rPr>
        <w:t>【截图位置 R3-C3：图 A：完整 “Layer-wise linear probing of scene-centered object coordinates” 表及 Layer-Wise Geometric Recoverability 两段，保留冻结模型、场景划分及完整框架证据范围（tab:layerwise_probe，tex 674–711 行）。图 B：完整 IGGA/GATH 组件消融表（tab:final_ablation，418–439 行），用于支持 GATH 的任务贡献。 插图后删除本标注。】</w:t>
      </w:r>
    </w:p>
    <w:p/>
    <w:p>
      <w:pPr>
        <w:keepNext/>
        <w:widowControl/>
        <w:rPr>
          <w:rFonts w:ascii="Times New Roman" w:hAnsi="Times New Roman" w:cs="Times New Roman"/>
          <w:color w:val="000000" w:themeColor="text1"/>
          <w:szCs w:val="21"/>
        </w:rPr>
      </w:pPr>
      <w:r>
        <w:rPr>
          <w:rFonts w:ascii="Times New Roman" w:hAnsi="Times New Roman"/>
          <w:b/>
          <w:i w:val="0"/>
          <w:color w:val="000000"/>
          <w:sz w:val="21"/>
          <w:u w:val="single"/>
        </w:rPr>
        <w:t>Comment 4:</w:t>
      </w:r>
    </w:p>
    <w:p>
      <w:pPr>
        <w:widowControl/>
        <w:jc w:val="left"/>
        <w:rPr>
          <w:rFonts w:ascii="Times New Roman" w:hAnsi="Times New Roman" w:cs="Times New Roman"/>
          <w:szCs w:val="21"/>
        </w:rPr>
      </w:pPr>
      <w:r>
        <w:rPr>
          <w:rFonts w:ascii="Times New Roman" w:hAnsi="Times New Roman"/>
          <w:b w:val="0"/>
          <w:i w:val="0"/>
          <w:color w:val="000000"/>
          <w:sz w:val="21"/>
          <w:u w:val="none"/>
        </w:rPr>
        <w:t>The justification for selecting intermediate layers for GATH should be strengthened.Table IV suggests that layers 17–24 achieve the best overall performance, but the numerical differences among different layer intervals are relatively small. Without variance estimates, it is difficult to determine whether the claimed inverted-U trend is statistically meaningful or simply caused by training fluctuations. Reporting mean and standard deviation over multiple runs, or validating the same phenomenon with another backbone, would provide stronger support for the argument that intermediate layers offer the optimal balance between geometric fidelity and semantic abstraction.</w:t>
      </w:r>
    </w:p>
    <w:p>
      <w:pPr>
        <w:keepNext/>
        <w:widowControl/>
        <w:rPr>
          <w:rFonts w:ascii="Times New Roman" w:hAnsi="Times New Roman" w:cs="Times New Roman"/>
          <w:b/>
          <w:bCs/>
          <w:color w:val="3427E1"/>
          <w:szCs w:val="21"/>
          <w:u w:val="single"/>
        </w:rPr>
      </w:pPr>
      <w:r>
        <w:rPr>
          <w:rFonts w:ascii="Times New Roman" w:hAnsi="Times New Roman"/>
          <w:b/>
          <w:i w:val="0"/>
          <w:color w:val="3427E1"/>
          <w:sz w:val="21"/>
          <w:u w:val="single"/>
        </w:rPr>
        <w:t>REPLY:</w:t>
      </w:r>
    </w:p>
    <w:p>
      <w:pPr>
        <w:widowControl/>
        <w:ind w:firstLine="420"/>
        <w:rPr>
          <w:rFonts w:ascii="Times New Roman" w:hAnsi="Times New Roman" w:cs="Times New Roman"/>
          <w:color w:val="3427E1"/>
          <w:szCs w:val="21"/>
        </w:rPr>
      </w:pPr>
      <w:r>
        <w:rPr>
          <w:rFonts w:ascii="Times New Roman" w:hAnsi="Times New Roman"/>
          <w:b w:val="0"/>
          <w:i w:val="0"/>
          <w:color w:val="3427E1"/>
          <w:sz w:val="21"/>
          <w:u w:val="none"/>
        </w:rPr>
        <w:t>We agree that the differences among layer intervals are modest. In Section IV-C, we have replaced the description of an inverted-U trend with the statement that performance varies across the selected layer intervals. Layers 17–24 achieve the highest ScanRefer Acc@0.5 (50.7</w:t>
      </w:r>
      <w:r>
        <w:rPr>
          <w:rFonts w:ascii="Times New Roman" w:hAnsi="Times New Roman"/>
          <w:b w:val="0"/>
          <w:i w:val="0"/>
          <w:color w:val="3427E1"/>
          <w:sz w:val="21"/>
          <w:u w:val="none"/>
        </w:rPr>
        <w:t>%</w:t>
      </w:r>
      <w:r>
        <w:rPr>
          <w:rFonts w:ascii="Times New Roman" w:hAnsi="Times New Roman"/>
          <w:b w:val="0"/>
          <w:i w:val="0"/>
          <w:color w:val="3427E1"/>
          <w:sz w:val="21"/>
          <w:u w:val="none"/>
        </w:rPr>
        <w:t>) and ScanQA CIDEr (87.9), although not the highest BLEU-4. These results support the selected interval under the evaluated setting.</w:t>
      </w:r>
    </w:p>
    <w:p>
      <w:pPr>
        <w:keepNext/>
        <w:widowControl/>
        <w:ind w:firstLine="0"/>
        <w:rPr>
          <w:rFonts w:ascii="Times New Roman" w:hAnsi="Times New Roman" w:cs="Times New Roman"/>
          <w:color w:val="3427E1"/>
          <w:szCs w:val="21"/>
        </w:rPr>
      </w:pPr>
      <w:r>
        <w:rPr>
          <w:rFonts w:ascii="Times New Roman" w:hAnsi="Times New Roman" w:eastAsia="宋体"/>
          <w:b w:val="0"/>
          <w:i w:val="0"/>
          <w:color w:val="3427E1"/>
          <w:sz w:val="21"/>
          <w:u w:val="none"/>
        </w:rPr>
        <w:t xml:space="preserve">The revised description of the layer-interval results is reproduced below. </w:t>
      </w:r>
      <w:r>
        <w:rPr>
          <w:rFonts w:ascii="Times New Roman" w:hAnsi="Times New Roman"/>
          <w:color w:val="C45911"/>
          <w:sz w:val="21"/>
          <w:u w:val="single"/>
        </w:rPr>
        <w:t>[Section IV-C, Feature Extraction Depth]</w:t>
      </w:r>
    </w:p>
    <w:p>
      <w:pPr>
        <w:keepNext w:val="0"/>
        <w:widowControl/>
        <w:ind w:firstLine="0"/>
        <w:rPr>
          <w:rFonts w:ascii="Times New Roman" w:hAnsi="Times New Roman" w:cs="Times New Roman"/>
          <w:color w:val="3427E1"/>
          <w:szCs w:val="21"/>
        </w:rPr>
      </w:pPr>
      <w:r>
        <w:rPr>
          <w:rFonts w:ascii="Times New Roman" w:hAnsi="Times New Roman" w:eastAsia="宋体"/>
          <w:b w:val="0"/>
          <w:i w:val="0"/>
          <w:color w:val="C45911"/>
          <w:sz w:val="21"/>
          <w:u w:val="none"/>
        </w:rPr>
        <w:t>【截图位置 R3-C4：截取 Feature Extraction Depth 中从 “Beyond the gating design” 到 “performance varies across the selected layer intervals” 的前三句，包含改后的蓝色句子（tex 598 行）。表中数值已在回复中列出，此处不必重复贴整张层区间表。 插图后删除本标注。】</w:t>
      </w:r>
    </w:p>
    <w:p/>
    <w:p>
      <w:pPr>
        <w:keepNext/>
        <w:widowControl/>
        <w:rPr>
          <w:rFonts w:ascii="Times New Roman" w:hAnsi="Times New Roman" w:cs="Times New Roman"/>
          <w:color w:val="000000" w:themeColor="text1"/>
          <w:szCs w:val="21"/>
        </w:rPr>
      </w:pPr>
      <w:r>
        <w:rPr>
          <w:rFonts w:ascii="Times New Roman" w:hAnsi="Times New Roman"/>
          <w:b/>
          <w:i w:val="0"/>
          <w:color w:val="000000"/>
          <w:sz w:val="21"/>
          <w:u w:val="single"/>
        </w:rPr>
        <w:t>Comment 5:</w:t>
      </w:r>
    </w:p>
    <w:p>
      <w:pPr>
        <w:widowControl/>
        <w:jc w:val="left"/>
        <w:rPr>
          <w:rFonts w:ascii="Times New Roman" w:hAnsi="Times New Roman" w:cs="Times New Roman"/>
          <w:szCs w:val="21"/>
        </w:rPr>
      </w:pPr>
      <w:r>
        <w:rPr>
          <w:rFonts w:ascii="Times New Roman" w:hAnsi="Times New Roman"/>
          <w:b w:val="0"/>
          <w:i w:val="0"/>
          <w:color w:val="000000"/>
          <w:sz w:val="21"/>
          <w:u w:val="none"/>
        </w:rPr>
        <w:t>The relatively modest improvements over strong baselines warrant statistical stability analysis.For example, GeoAnchor3D improves ScanRefer Acc@0.5 from 50.2 to 51.1 compared with Chat-Scene, while the ScanQA CIDEr score increases from 87.7 to 89.9. At the same time, BLEU-4 is slightly lower on both ScanQA and Scan2Cap. Given the relatively small margins on several metrics, reporting results over multiple random seeds with mean and standard deviation would help establish whether the improvements consistently exceed normal optimization variance.</w:t>
      </w:r>
    </w:p>
    <w:p>
      <w:pPr>
        <w:keepNext/>
        <w:widowControl/>
        <w:rPr>
          <w:rFonts w:ascii="Times New Roman" w:hAnsi="Times New Roman" w:cs="Times New Roman"/>
          <w:b/>
          <w:bCs/>
          <w:color w:val="3427E1"/>
          <w:szCs w:val="21"/>
          <w:u w:val="single"/>
        </w:rPr>
      </w:pPr>
      <w:r>
        <w:rPr>
          <w:rFonts w:ascii="Times New Roman" w:hAnsi="Times New Roman"/>
          <w:b/>
          <w:i w:val="0"/>
          <w:color w:val="3427E1"/>
          <w:sz w:val="21"/>
          <w:u w:val="single"/>
        </w:rPr>
        <w:t>REPLY:</w:t>
      </w:r>
    </w:p>
    <w:p>
      <w:pPr>
        <w:widowControl/>
        <w:ind w:firstLine="420"/>
        <w:rPr>
          <w:rFonts w:ascii="Times New Roman" w:hAnsi="Times New Roman" w:cs="Times New Roman"/>
          <w:color w:val="3427E1"/>
          <w:szCs w:val="21"/>
        </w:rPr>
      </w:pPr>
      <w:r>
        <w:rPr>
          <w:rFonts w:ascii="Times New Roman" w:hAnsi="Times New Roman"/>
          <w:i w:val="0"/>
          <w:color w:val="3427E1"/>
          <w:sz w:val="21"/>
        </w:rPr>
        <w:t>Thank you for requesting a stability analysis. We evaluated the complete GeoAnchor3D model with seeds 42, 2025, and 3407 using the same three-epoch training and evaluation protocol. The full 11-metric summary, reported as mean ± sample standard deviation, is provided in our response to Reviewer 1, Comment 5.</w:t>
      </w:r>
    </w:p>
    <w:p>
      <w:pPr>
        <w:keepNext w:val="0"/>
        <w:widowControl/>
        <w:ind w:firstLine="420"/>
        <w:rPr>
          <w:rFonts w:ascii="Times New Roman" w:hAnsi="Times New Roman" w:cs="Times New Roman"/>
          <w:color w:val="3427E1"/>
          <w:szCs w:val="21"/>
        </w:rPr>
      </w:pPr>
      <w:r>
        <w:rPr>
          <w:rFonts w:ascii="Times New Roman" w:hAnsi="Times New Roman"/>
          <w:i w:val="0"/>
          <w:color w:val="3427E1"/>
          <w:sz w:val="21"/>
        </w:rPr>
        <w:t>ScanRefer Acc@0.25 and Acc@0.5 are 56.57 ± 0.21 and 51.10 ± 0.20; Multi3DRefer F1@0.25 and F1@0.5 are 59.00 ± 0.17 and 54.53 ± 0.06. Each run exceeds the reported Chat-Scene reference on these four metrics. ScanQA CIDEr is 88.87 ± 1.00, and Scan2Cap CIDEr@0.5 is 77.43 ± 0.25; every run also exceeds the reported baseline on these two metrics. BLEU-4 results remain mixed, so we do not claim uniform improvement across generation metrics.</w:t>
      </w:r>
    </w:p>
    <w:p>
      <w:pPr>
        <w:keepNext w:val="0"/>
        <w:widowControl/>
        <w:ind w:firstLine="420"/>
        <w:rPr>
          <w:rFonts w:ascii="Times New Roman" w:hAnsi="Times New Roman" w:cs="Times New Roman"/>
          <w:color w:val="3427E1"/>
          <w:szCs w:val="21"/>
        </w:rPr>
      </w:pPr>
      <w:r>
        <w:rPr>
          <w:rFonts w:ascii="Times New Roman" w:hAnsi="Times New Roman"/>
          <w:i w:val="0"/>
          <w:color w:val="3427E1"/>
          <w:sz w:val="21"/>
        </w:rPr>
        <w:t>These experiments quantify variation across runs of the complete GeoAnchor3D model. Without matched multi-seed runs of Chat-Scene, they do not establish statistical significance between the two methods. They also do not test the relative ranking of the GATH layer intervals.</w:t>
      </w:r>
    </w:p>
    <w:p/>
    <w:p>
      <w:pPr>
        <w:keepNext/>
        <w:widowControl/>
        <w:rPr>
          <w:rFonts w:ascii="Times New Roman" w:hAnsi="Times New Roman" w:cs="Times New Roman"/>
          <w:color w:val="000000" w:themeColor="text1"/>
          <w:szCs w:val="21"/>
        </w:rPr>
      </w:pPr>
      <w:r>
        <w:rPr>
          <w:rFonts w:ascii="Times New Roman" w:hAnsi="Times New Roman"/>
          <w:b/>
          <w:i w:val="0"/>
          <w:color w:val="000000"/>
          <w:sz w:val="21"/>
          <w:u w:val="single"/>
        </w:rPr>
        <w:t>Comment 6:</w:t>
      </w:r>
    </w:p>
    <w:p>
      <w:pPr>
        <w:widowControl/>
        <w:jc w:val="left"/>
        <w:rPr>
          <w:rFonts w:ascii="Times New Roman" w:hAnsi="Times New Roman" w:cs="Times New Roman"/>
          <w:szCs w:val="21"/>
        </w:rPr>
      </w:pPr>
      <w:r>
        <w:rPr>
          <w:rFonts w:ascii="Times New Roman" w:hAnsi="Times New Roman"/>
          <w:b w:val="0"/>
          <w:i w:val="0"/>
          <w:color w:val="000000"/>
          <w:sz w:val="21"/>
          <w:u w:val="none"/>
        </w:rPr>
        <w:t>The claim of task-adaptive generalization is stronger than what is currently demonstrated.The evaluation covers grounding, question answering, and dense captioning, which is certainly broader than a single-task setting. However, these task categories are also included during training, so the experiments mainly demonstrate multi-task adaptation rather than genuine unseen-task generalization. A held-out-task experiment, where one task type is excluded during training and evaluated only at test time, would more directly support the claimed cross-task generalization ability.</w:t>
      </w:r>
    </w:p>
    <w:p>
      <w:pPr>
        <w:keepNext/>
        <w:widowControl/>
        <w:rPr>
          <w:rFonts w:ascii="Times New Roman" w:hAnsi="Times New Roman" w:cs="Times New Roman"/>
          <w:b/>
          <w:bCs/>
          <w:color w:val="3427E1"/>
          <w:szCs w:val="21"/>
          <w:u w:val="single"/>
        </w:rPr>
      </w:pPr>
      <w:r>
        <w:rPr>
          <w:rFonts w:ascii="Times New Roman" w:hAnsi="Times New Roman"/>
          <w:b/>
          <w:i w:val="0"/>
          <w:color w:val="3427E1"/>
          <w:sz w:val="21"/>
          <w:u w:val="single"/>
        </w:rPr>
        <w:t>REPLY:</w:t>
      </w:r>
    </w:p>
    <w:p>
      <w:pPr>
        <w:widowControl/>
        <w:ind w:firstLine="420"/>
        <w:rPr>
          <w:rFonts w:ascii="Times New Roman" w:hAnsi="Times New Roman" w:cs="Times New Roman"/>
          <w:color w:val="3427E1"/>
          <w:szCs w:val="21"/>
        </w:rPr>
      </w:pPr>
      <w:r>
        <w:rPr>
          <w:rFonts w:ascii="Times New Roman" w:hAnsi="Times New Roman"/>
          <w:b w:val="0"/>
          <w:i w:val="0"/>
          <w:color w:val="3427E1"/>
          <w:sz w:val="21"/>
          <w:u w:val="none"/>
        </w:rPr>
        <w:t>We agree that evaluating task families included in training does not establish unseen-task generalization. No held-out-task experiment is included in this revision. Section V now explicitly characterizes the results as within-domain multi-task adaptation and identifies held-out-task evaluation as future work. The Conclusion likewise excludes generalization to unseen task families from the supported claims.</w:t>
      </w:r>
    </w:p>
    <w:p>
      <w:pPr>
        <w:keepNext/>
        <w:widowControl/>
        <w:ind w:firstLine="0"/>
        <w:rPr>
          <w:rFonts w:ascii="Times New Roman" w:hAnsi="Times New Roman" w:cs="Times New Roman"/>
          <w:color w:val="3427E1"/>
          <w:szCs w:val="21"/>
        </w:rPr>
      </w:pPr>
      <w:r>
        <w:rPr>
          <w:rFonts w:ascii="Times New Roman" w:hAnsi="Times New Roman" w:eastAsia="宋体"/>
          <w:b w:val="0"/>
          <w:i w:val="0"/>
          <w:color w:val="3427E1"/>
          <w:sz w:val="21"/>
          <w:u w:val="none"/>
        </w:rPr>
        <w:t xml:space="preserve">The revised statement on unseen-task generalization is reproduced below. </w:t>
      </w:r>
      <w:r>
        <w:rPr>
          <w:rFonts w:ascii="Times New Roman" w:hAnsi="Times New Roman"/>
          <w:color w:val="C45911"/>
          <w:sz w:val="21"/>
          <w:u w:val="single"/>
        </w:rPr>
        <w:t>[Section V, Limitations and Future Work]</w:t>
      </w:r>
    </w:p>
    <w:p>
      <w:pPr>
        <w:keepNext w:val="0"/>
        <w:widowControl/>
        <w:ind w:firstLine="0"/>
        <w:rPr>
          <w:rFonts w:ascii="Times New Roman" w:hAnsi="Times New Roman" w:cs="Times New Roman"/>
          <w:color w:val="3427E1"/>
          <w:szCs w:val="21"/>
        </w:rPr>
      </w:pPr>
      <w:r>
        <w:rPr>
          <w:rFonts w:ascii="Times New Roman" w:hAnsi="Times New Roman" w:eastAsia="宋体"/>
          <w:b w:val="0"/>
          <w:i w:val="0"/>
          <w:color w:val="C45911"/>
          <w:sz w:val="21"/>
          <w:u w:val="none"/>
        </w:rPr>
        <w:t>【截图位置 R3-C6：截取 V 中从 “All evaluated benchmarks are derived from ScanNet indoor scenes” 到该节结尾（tex 811 行后半部分），包含训练和评估任务重合、within-domain multi-task adaptation 及 held-out task future work。 插图后删除本标注。】</w:t>
      </w:r>
    </w:p>
    <w:p/>
    <w:p>
      <w:pPr>
        <w:keepNext/>
        <w:widowControl/>
        <w:rPr>
          <w:rFonts w:ascii="Times New Roman" w:hAnsi="Times New Roman" w:cs="Times New Roman"/>
          <w:color w:val="000000" w:themeColor="text1"/>
          <w:szCs w:val="21"/>
        </w:rPr>
      </w:pPr>
      <w:r>
        <w:rPr>
          <w:rFonts w:ascii="Times New Roman" w:hAnsi="Times New Roman"/>
          <w:b/>
          <w:i w:val="0"/>
          <w:color w:val="000000"/>
          <w:sz w:val="21"/>
          <w:u w:val="single"/>
        </w:rPr>
        <w:t>Comment 7:</w:t>
      </w:r>
    </w:p>
    <w:p>
      <w:pPr>
        <w:widowControl/>
        <w:jc w:val="left"/>
        <w:rPr>
          <w:rFonts w:ascii="Times New Roman" w:hAnsi="Times New Roman" w:cs="Times New Roman"/>
          <w:szCs w:val="21"/>
        </w:rPr>
      </w:pPr>
      <w:r>
        <w:rPr>
          <w:rFonts w:ascii="Times New Roman" w:hAnsi="Times New Roman"/>
          <w:b w:val="0"/>
          <w:i w:val="0"/>
          <w:color w:val="000000"/>
          <w:sz w:val="21"/>
          <w:u w:val="none"/>
        </w:rPr>
        <w:t>Domain generalization emains insufficiently evaluated because all four benchmarks are ScanNet-based.The manuscript evaluates ScanRefer, Multi3DRefer, ScanQA, and Scan2Cap, all of which are built upon ScanNet. Although these datasets represent different tasks, they do not provide strong evidence of scene-domain generalization. Since the proposed method explicitly relies on geometric relationships, evaluation on at least one dataset from a different 3D scene distribution would significantly strengthen the generalization claim. Otherwise, the manuscript should narrow its wording to multi-task generalization within the ScanNet domain.</w:t>
      </w:r>
    </w:p>
    <w:p>
      <w:pPr>
        <w:keepNext/>
        <w:widowControl/>
        <w:rPr>
          <w:rFonts w:ascii="Times New Roman" w:hAnsi="Times New Roman" w:cs="Times New Roman"/>
          <w:b/>
          <w:bCs/>
          <w:color w:val="3427E1"/>
          <w:szCs w:val="21"/>
          <w:u w:val="single"/>
        </w:rPr>
      </w:pPr>
      <w:r>
        <w:rPr>
          <w:rFonts w:ascii="Times New Roman" w:hAnsi="Times New Roman"/>
          <w:b/>
          <w:i w:val="0"/>
          <w:color w:val="3427E1"/>
          <w:sz w:val="21"/>
          <w:u w:val="single"/>
        </w:rPr>
        <w:t>REPLY:</w:t>
      </w:r>
    </w:p>
    <w:p>
      <w:pPr>
        <w:widowControl/>
        <w:ind w:firstLine="420"/>
        <w:rPr>
          <w:rFonts w:ascii="Times New Roman" w:hAnsi="Times New Roman" w:cs="Times New Roman"/>
          <w:color w:val="3427E1"/>
          <w:szCs w:val="21"/>
        </w:rPr>
      </w:pPr>
      <w:r>
        <w:rPr>
          <w:rFonts w:ascii="Times New Roman" w:hAnsi="Times New Roman"/>
          <w:b w:val="0"/>
          <w:i w:val="0"/>
          <w:color w:val="3427E1"/>
          <w:sz w:val="21"/>
          <w:u w:val="none"/>
        </w:rPr>
        <w:t>We agree that task diversity and scene-domain diversity are different. The Datasets paragraph in Section IV-A now states that all four benchmarks share the ScanNet indoor-scene distribution. Accordingly, the Introduction and Conclusion limit the findings to this domain, and Section V identifies cross-domain evaluation as future work. No experiment on a different scene distribution is included in the current revision.</w:t>
      </w:r>
    </w:p>
    <w:p>
      <w:pPr>
        <w:keepNext/>
        <w:widowControl/>
        <w:ind w:firstLine="0"/>
        <w:rPr>
          <w:rFonts w:ascii="Times New Roman" w:hAnsi="Times New Roman" w:cs="Times New Roman"/>
          <w:color w:val="3427E1"/>
          <w:szCs w:val="21"/>
        </w:rPr>
      </w:pPr>
      <w:r>
        <w:rPr>
          <w:rFonts w:ascii="Times New Roman" w:hAnsi="Times New Roman" w:eastAsia="宋体"/>
          <w:b w:val="0"/>
          <w:i w:val="0"/>
          <w:color w:val="3427E1"/>
          <w:sz w:val="21"/>
          <w:u w:val="none"/>
        </w:rPr>
        <w:t xml:space="preserve">The dataset-domain clarification and the revised conclusion are provided below. </w:t>
      </w:r>
      <w:r>
        <w:rPr>
          <w:rFonts w:ascii="Times New Roman" w:hAnsi="Times New Roman"/>
          <w:color w:val="C45911"/>
          <w:sz w:val="21"/>
          <w:u w:val="single"/>
        </w:rPr>
        <w:t>[Section IV-A, Datasets; Section VI, Conclusion]</w:t>
      </w:r>
    </w:p>
    <w:p>
      <w:pPr>
        <w:keepNext w:val="0"/>
        <w:widowControl/>
        <w:ind w:firstLine="0"/>
        <w:rPr>
          <w:rFonts w:ascii="Times New Roman" w:hAnsi="Times New Roman" w:cs="Times New Roman"/>
          <w:color w:val="3427E1"/>
          <w:szCs w:val="21"/>
        </w:rPr>
      </w:pPr>
      <w:r>
        <w:rPr>
          <w:rFonts w:ascii="Times New Roman" w:hAnsi="Times New Roman" w:eastAsia="宋体"/>
          <w:b w:val="0"/>
          <w:i w:val="0"/>
          <w:color w:val="C45911"/>
          <w:sz w:val="21"/>
          <w:u w:val="none"/>
        </w:rPr>
        <w:t>【截图位置 R3-C7：图 A：Datasets 中从 “Although the four benchmarks cover different task formulations” 到 “indoor-scene domain” 的两句蓝字（tex 383 行）。图 B：Conclusion 最后两句蓝字（815 行）。可复用 R2-C5 的结论截图。 插图后删除本标注。】</w:t>
      </w:r>
    </w:p>
    <w:p/>
    <w:p>
      <w:pPr>
        <w:keepNext/>
        <w:widowControl/>
        <w:rPr>
          <w:rFonts w:ascii="Times New Roman" w:hAnsi="Times New Roman" w:cs="Times New Roman"/>
          <w:color w:val="000000" w:themeColor="text1"/>
          <w:szCs w:val="21"/>
        </w:rPr>
      </w:pPr>
      <w:r>
        <w:rPr>
          <w:rFonts w:ascii="Times New Roman" w:hAnsi="Times New Roman"/>
          <w:b/>
          <w:i w:val="0"/>
          <w:color w:val="000000"/>
          <w:sz w:val="21"/>
          <w:u w:val="single"/>
        </w:rPr>
        <w:t>Comment 8:</w:t>
      </w:r>
    </w:p>
    <w:p>
      <w:pPr>
        <w:widowControl/>
        <w:jc w:val="left"/>
        <w:rPr>
          <w:rFonts w:ascii="Times New Roman" w:hAnsi="Times New Roman" w:cs="Times New Roman"/>
          <w:szCs w:val="21"/>
        </w:rPr>
      </w:pPr>
      <w:r>
        <w:rPr>
          <w:rFonts w:ascii="Times New Roman" w:hAnsi="Times New Roman"/>
          <w:b w:val="0"/>
          <w:i w:val="0"/>
          <w:color w:val="000000"/>
          <w:sz w:val="21"/>
          <w:u w:val="none"/>
        </w:rPr>
        <w:t>The statement regarding “no additional inference overhead” should be made more precise.It is correct that GATH is used only during training and therefore introduces no inference-time cost. However, IGGA remains active during inference and involves the gating network, pairwise spatial masks, and additional attention-based fusion. Therefore, the manuscript should distinguish between “GATH introduces no inference overhead” and “GeoAnchor3D introduces no inference overhead.” The authors should ideally report parameter count, FLOPs, latency, GPU memory usage, or throughput to quantify the actual computational cost of IGGA.</w:t>
      </w:r>
    </w:p>
    <w:p>
      <w:pPr>
        <w:keepNext/>
        <w:widowControl/>
        <w:rPr>
          <w:rFonts w:ascii="Times New Roman" w:hAnsi="Times New Roman" w:cs="Times New Roman"/>
          <w:b/>
          <w:bCs/>
          <w:color w:val="3427E1"/>
          <w:szCs w:val="21"/>
          <w:u w:val="single"/>
        </w:rPr>
      </w:pPr>
      <w:r>
        <w:rPr>
          <w:rFonts w:ascii="Times New Roman" w:hAnsi="Times New Roman"/>
          <w:b/>
          <w:i w:val="0"/>
          <w:color w:val="3427E1"/>
          <w:sz w:val="21"/>
          <w:u w:val="single"/>
        </w:rPr>
        <w:t>REPLY:</w:t>
      </w:r>
    </w:p>
    <w:p>
      <w:pPr>
        <w:widowControl/>
        <w:ind w:firstLine="420"/>
        <w:rPr>
          <w:rFonts w:ascii="Times New Roman" w:hAnsi="Times New Roman" w:cs="Times New Roman"/>
          <w:color w:val="3427E1"/>
          <w:szCs w:val="21"/>
        </w:rPr>
      </w:pPr>
      <w:r>
        <w:rPr>
          <w:rFonts w:ascii="Times New Roman" w:hAnsi="Times New Roman"/>
          <w:b w:val="0"/>
          <w:i w:val="0"/>
          <w:color w:val="3427E1"/>
          <w:sz w:val="21"/>
          <w:u w:val="none"/>
        </w:rPr>
        <w:t>We agree that the zero-inference-overhead statement applies specifically to GATH, which is discarded at inference; IGGA remains active. Section IV-C reports 14.71M additional parameters (+0.216</w:t>
      </w:r>
      <w:r>
        <w:rPr>
          <w:rFonts w:ascii="Times New Roman" w:hAnsi="Times New Roman"/>
          <w:b w:val="0"/>
          <w:i w:val="0"/>
          <w:color w:val="3427E1"/>
          <w:sz w:val="21"/>
          <w:u w:val="none"/>
        </w:rPr>
        <w:t>%</w:t>
      </w:r>
      <w:r>
        <w:rPr>
          <w:rFonts w:ascii="Times New Roman" w:hAnsi="Times New Roman"/>
          <w:b w:val="0"/>
          <w:i w:val="0"/>
          <w:color w:val="3427E1"/>
          <w:sz w:val="21"/>
          <w:u w:val="none"/>
        </w:rPr>
        <w:t>) for the framework and peak allocated inference memory of 14.145 GiB versus 14.090 GiB for Chat-Scene (+0.39</w:t>
      </w:r>
      <w:r>
        <w:rPr>
          <w:rFonts w:ascii="Times New Roman" w:hAnsi="Times New Roman"/>
          <w:b w:val="0"/>
          <w:i w:val="0"/>
          <w:color w:val="3427E1"/>
          <w:sz w:val="21"/>
          <w:u w:val="none"/>
        </w:rPr>
        <w:t>%</w:t>
      </w:r>
      <w:r>
        <w:rPr>
          <w:rFonts w:ascii="Times New Roman" w:hAnsi="Times New Roman"/>
          <w:b w:val="0"/>
          <w:i w:val="0"/>
          <w:color w:val="3427E1"/>
          <w:sz w:val="21"/>
          <w:u w:val="none"/>
        </w:rPr>
        <w:t>).</w:t>
      </w:r>
    </w:p>
    <w:p>
      <w:pPr>
        <w:widowControl/>
        <w:ind w:firstLine="420"/>
        <w:rPr>
          <w:rFonts w:ascii="Times New Roman" w:hAnsi="Times New Roman" w:cs="Times New Roman"/>
          <w:color w:val="3427E1"/>
          <w:szCs w:val="21"/>
        </w:rPr>
      </w:pPr>
      <w:r>
        <w:rPr>
          <w:rFonts w:ascii="Times New Roman" w:hAnsi="Times New Roman"/>
          <w:b w:val="0"/>
          <w:i w:val="0"/>
          <w:color w:val="3427E1"/>
          <w:sz w:val="21"/>
          <w:u w:val="none"/>
        </w:rPr>
        <w:t>Both models are benchmarked with the same inputs and inference configuration: one RTX 3090, batch size 1, FlashAttention-2, and greedy generation of exactly 32 tokens. Measured latency is 1993.78 ms for GeoAnchor3D and 2491.18 ms for Chat-Scene. We report this as a measured result under the controlled benchmark, not an inherent acceleration property of IGGA. Thus, the framework incurs additional parameters and memory, while no latency penalty is observed in this setting.</w:t>
      </w:r>
    </w:p>
    <w:p>
      <w:pPr>
        <w:keepNext/>
        <w:widowControl/>
        <w:ind w:firstLine="0"/>
        <w:rPr>
          <w:rFonts w:ascii="Times New Roman" w:hAnsi="Times New Roman" w:cs="Times New Roman"/>
          <w:color w:val="3427E1"/>
          <w:szCs w:val="21"/>
        </w:rPr>
      </w:pPr>
      <w:r>
        <w:rPr>
          <w:rFonts w:ascii="Times New Roman" w:hAnsi="Times New Roman" w:eastAsia="宋体"/>
          <w:b w:val="0"/>
          <w:i w:val="0"/>
          <w:color w:val="3427E1"/>
          <w:sz w:val="21"/>
          <w:u w:val="none"/>
        </w:rPr>
        <w:t xml:space="preserve">The efficiency measurements and the clarification of inference-time costs are reproduced below. </w:t>
      </w:r>
      <w:r>
        <w:rPr>
          <w:rFonts w:ascii="Times New Roman" w:hAnsi="Times New Roman"/>
          <w:color w:val="C45911"/>
          <w:sz w:val="21"/>
          <w:u w:val="single"/>
        </w:rPr>
        <w:t>[Section IV-C, Computational Efficiency]</w:t>
      </w:r>
    </w:p>
    <w:p>
      <w:pPr>
        <w:keepNext w:val="0"/>
        <w:widowControl/>
        <w:ind w:firstLine="0"/>
        <w:rPr>
          <w:rFonts w:ascii="Times New Roman" w:hAnsi="Times New Roman" w:cs="Times New Roman"/>
          <w:color w:val="3427E1"/>
          <w:szCs w:val="21"/>
        </w:rPr>
      </w:pPr>
      <w:r>
        <w:rPr>
          <w:rFonts w:ascii="Times New Roman" w:hAnsi="Times New Roman" w:eastAsia="宋体"/>
          <w:b w:val="0"/>
          <w:i w:val="0"/>
          <w:color w:val="C45911"/>
          <w:sz w:val="21"/>
          <w:u w:val="none"/>
        </w:rPr>
        <w:t>【截图位置 R3-C8：图 A：完整效率表及表题中的测量设置（tab:efficiency，tex 717–748 行）。图 B：Computational Efficiency 两段，特别保留 “GATH … are not executed, while IGGA remains active” 及相同输入和配置说明（750–753 行）。可复用 R1-C3 截图。 插图后删除本标注。】</w:t>
      </w:r>
    </w:p>
    <w:p/>
    <w:p>
      <w:pPr>
        <w:keepNext/>
        <w:widowControl/>
        <w:rPr>
          <w:rFonts w:ascii="Times New Roman" w:hAnsi="Times New Roman" w:cs="Times New Roman"/>
          <w:color w:val="000000" w:themeColor="text1"/>
          <w:szCs w:val="21"/>
        </w:rPr>
      </w:pPr>
      <w:r>
        <w:rPr>
          <w:rFonts w:ascii="Times New Roman" w:hAnsi="Times New Roman"/>
          <w:b/>
          <w:i w:val="0"/>
          <w:color w:val="000000"/>
          <w:sz w:val="21"/>
          <w:u w:val="single"/>
        </w:rPr>
        <w:t>Comment 9:</w:t>
      </w:r>
    </w:p>
    <w:p>
      <w:pPr>
        <w:widowControl/>
        <w:jc w:val="left"/>
        <w:rPr>
          <w:rFonts w:ascii="Times New Roman" w:hAnsi="Times New Roman" w:cs="Times New Roman"/>
          <w:szCs w:val="21"/>
        </w:rPr>
      </w:pPr>
      <w:r>
        <w:rPr>
          <w:rFonts w:ascii="Times New Roman" w:hAnsi="Times New Roman"/>
          <w:b w:val="0"/>
          <w:i w:val="0"/>
          <w:color w:val="000000"/>
          <w:sz w:val="21"/>
          <w:u w:val="none"/>
        </w:rPr>
        <w:t>The dependence on Mask3D proposals deserves more systematic robustness analysis.The entire framework relies on 100 object proposals extracted by Mask3D, followed by Uni3D and DINOv2 feature encoding. The authors also acknowledge that proposal quality may become a bottleneck in cluttered, occluded, or open-world environments. It would be useful to evaluate the method under different proposal qualities, for example using ground-truth proposals, alternative proposal generators, or artificially perturbed bounding boxes. Such experiments would reveal whether the gains of IGGA and GATH remain robust when the upstream detector is imperfect.</w:t>
      </w:r>
    </w:p>
    <w:p>
      <w:pPr>
        <w:keepNext/>
        <w:widowControl/>
        <w:rPr>
          <w:rFonts w:ascii="Times New Roman" w:hAnsi="Times New Roman" w:cs="Times New Roman"/>
          <w:b/>
          <w:bCs/>
          <w:color w:val="3427E1"/>
          <w:szCs w:val="21"/>
          <w:u w:val="single"/>
        </w:rPr>
      </w:pPr>
      <w:r>
        <w:rPr>
          <w:rFonts w:ascii="Times New Roman" w:hAnsi="Times New Roman"/>
          <w:b/>
          <w:i w:val="0"/>
          <w:color w:val="3427E1"/>
          <w:sz w:val="21"/>
          <w:u w:val="single"/>
        </w:rPr>
        <w:t>REPLY:</w:t>
      </w:r>
    </w:p>
    <w:p>
      <w:pPr>
        <w:widowControl/>
        <w:ind w:firstLine="420"/>
        <w:rPr>
          <w:rFonts w:ascii="Times New Roman" w:hAnsi="Times New Roman" w:cs="Times New Roman"/>
          <w:color w:val="3427E1"/>
          <w:szCs w:val="21"/>
        </w:rPr>
      </w:pPr>
      <w:r>
        <w:rPr>
          <w:rFonts w:ascii="Times New Roman" w:hAnsi="Times New Roman"/>
          <w:b w:val="0"/>
          <w:i w:val="0"/>
          <w:color w:val="3427E1"/>
          <w:sz w:val="21"/>
          <w:u w:val="none"/>
        </w:rPr>
        <w:t>We thank the reviewer for these suggestions. The experiments retain Chat-Scene's predicted Mask3D proposals so that the comparison evaluates the proposed reasoning modules under a fixed upstream detector. This tests whether IGGA and GATH provide benefits with the same imperfect object inputs, without confounding those benefits with changes in proposal generation.</w:t>
      </w:r>
    </w:p>
    <w:p>
      <w:pPr>
        <w:widowControl/>
        <w:ind w:firstLine="420"/>
        <w:rPr>
          <w:rFonts w:ascii="Times New Roman" w:hAnsi="Times New Roman" w:cs="Times New Roman"/>
          <w:color w:val="3427E1"/>
          <w:szCs w:val="21"/>
        </w:rPr>
      </w:pPr>
      <w:r>
        <w:rPr>
          <w:rFonts w:ascii="Times New Roman" w:hAnsi="Times New Roman"/>
          <w:b w:val="0"/>
          <w:i w:val="0"/>
          <w:color w:val="3427E1"/>
          <w:sz w:val="21"/>
          <w:u w:val="none"/>
        </w:rPr>
        <w:t>It does not establish robustness across detector qualities. Section V explicitly acknowledges missed, severely fragmented, and merged proposals as limitations of downstream reasoning. Oracle proposals, alternative detectors, and box perturbations would characterize this separate robustness dimension; these experiments are not included, and our claims remain confined to the shared Mask3D setting.</w:t>
      </w:r>
    </w:p>
    <w:p>
      <w:pPr>
        <w:keepNext/>
        <w:widowControl/>
        <w:ind w:firstLine="0"/>
        <w:rPr>
          <w:rFonts w:ascii="Times New Roman" w:hAnsi="Times New Roman" w:cs="Times New Roman"/>
          <w:color w:val="3427E1"/>
          <w:szCs w:val="21"/>
        </w:rPr>
      </w:pPr>
      <w:r>
        <w:rPr>
          <w:rFonts w:ascii="Times New Roman" w:hAnsi="Times New Roman" w:eastAsia="宋体"/>
          <w:b w:val="0"/>
          <w:i w:val="0"/>
          <w:color w:val="3427E1"/>
          <w:sz w:val="21"/>
          <w:u w:val="none"/>
        </w:rPr>
        <w:t xml:space="preserve">The clarification of the inherited proposals and their limitations is reproduced below. </w:t>
      </w:r>
      <w:r>
        <w:rPr>
          <w:rFonts w:ascii="Times New Roman" w:hAnsi="Times New Roman"/>
          <w:color w:val="C45911"/>
          <w:sz w:val="21"/>
          <w:u w:val="single"/>
        </w:rPr>
        <w:t>[Section III-A, Overview of GeoAnchor3D; Section V, Limitations and Future Work]</w:t>
      </w:r>
    </w:p>
    <w:p>
      <w:pPr>
        <w:keepNext w:val="0"/>
        <w:widowControl/>
        <w:ind w:firstLine="0"/>
        <w:rPr>
          <w:rFonts w:ascii="Times New Roman" w:hAnsi="Times New Roman" w:cs="Times New Roman"/>
          <w:color w:val="3427E1"/>
          <w:szCs w:val="21"/>
        </w:rPr>
      </w:pPr>
      <w:r>
        <w:rPr>
          <w:rFonts w:ascii="Times New Roman" w:hAnsi="Times New Roman" w:eastAsia="宋体"/>
          <w:b w:val="0"/>
          <w:i w:val="0"/>
          <w:color w:val="C45911"/>
          <w:sz w:val="21"/>
          <w:u w:val="none"/>
        </w:rPr>
        <w:t>【截图位置 R3-C9：图 A：III-A 从 “GeoAnchor3D follows” 到 “the language-model backbone” 的完整段落（tex 147 行，可复用 R2-C4）。图 B：V 开头至 “dynamic proposal generation or open-vocabulary detection”（811 行，可复用 R1-C2）。 插图后删除本标注。】</w:t>
      </w:r>
    </w:p>
    <w:p/>
    <w:p>
      <w:pPr>
        <w:keepNext/>
        <w:widowControl/>
        <w:rPr>
          <w:rFonts w:ascii="Times New Roman" w:hAnsi="Times New Roman" w:cs="Times New Roman"/>
          <w:color w:val="000000" w:themeColor="text1"/>
          <w:szCs w:val="21"/>
        </w:rPr>
      </w:pPr>
      <w:r>
        <w:rPr>
          <w:rFonts w:ascii="Times New Roman" w:hAnsi="Times New Roman"/>
          <w:b/>
          <w:i w:val="0"/>
          <w:color w:val="000000"/>
          <w:sz w:val="21"/>
          <w:u w:val="single"/>
        </w:rPr>
        <w:t>Comment 10:</w:t>
      </w:r>
    </w:p>
    <w:p>
      <w:pPr>
        <w:widowControl/>
        <w:jc w:val="left"/>
        <w:rPr>
          <w:rFonts w:ascii="Times New Roman" w:hAnsi="Times New Roman" w:cs="Times New Roman"/>
          <w:szCs w:val="21"/>
        </w:rPr>
      </w:pPr>
      <w:r>
        <w:rPr>
          <w:rFonts w:ascii="Times New Roman" w:hAnsi="Times New Roman"/>
          <w:b w:val="0"/>
          <w:i w:val="0"/>
          <w:color w:val="000000"/>
          <w:sz w:val="21"/>
          <w:u w:val="none"/>
        </w:rPr>
        <w:t>The evidence for topology preservation in GATH should not rely primarily on t-SNE visualization.Figure 8 shows that intermediate-layer representations exhibit clustering patterns related to physical X-axis positions, and this is used as evidence that GATH preserves spatial topology. However, t-SNE is designed mainly for visualization and does not reliably preserve global distances. Quantitative measurements would make this claim much stronger, such as the Spearman correlation between hidden-space distances and physical 3D distances, neighborhood-preservation metrics, relative-position probing accuracy, or linear-probe comparisons between the baseline and GATH-enabled models.</w:t>
      </w:r>
    </w:p>
    <w:p>
      <w:pPr>
        <w:keepNext/>
        <w:widowControl/>
        <w:rPr>
          <w:rFonts w:ascii="Times New Roman" w:hAnsi="Times New Roman" w:cs="Times New Roman"/>
          <w:b/>
          <w:bCs/>
          <w:color w:val="3427E1"/>
          <w:szCs w:val="21"/>
          <w:u w:val="single"/>
        </w:rPr>
      </w:pPr>
      <w:r>
        <w:rPr>
          <w:rFonts w:ascii="Times New Roman" w:hAnsi="Times New Roman"/>
          <w:b/>
          <w:i w:val="0"/>
          <w:color w:val="3427E1"/>
          <w:sz w:val="21"/>
          <w:u w:val="single"/>
        </w:rPr>
        <w:t>REPLY:</w:t>
      </w:r>
    </w:p>
    <w:p>
      <w:pPr>
        <w:widowControl/>
        <w:ind w:firstLine="420"/>
        <w:rPr>
          <w:rFonts w:ascii="Times New Roman" w:hAnsi="Times New Roman" w:cs="Times New Roman"/>
          <w:color w:val="3427E1"/>
          <w:szCs w:val="21"/>
        </w:rPr>
      </w:pPr>
      <w:r>
        <w:rPr>
          <w:rFonts w:ascii="Times New Roman" w:hAnsi="Times New Roman"/>
          <w:b w:val="0"/>
          <w:i w:val="0"/>
          <w:color w:val="3427E1"/>
          <w:sz w:val="21"/>
          <w:u w:val="none"/>
        </w:rPr>
        <w:t>We agree that t-SNE should serve as qualitative support rather than a quantitative test of topology preservation. Section IV-C now provides linear coordinate probes: GeoAnchor3D improves RMSE and mean R</w:t>
      </w:r>
      <w:r>
        <w:rPr>
          <w:rFonts w:ascii="Times New Roman" w:hAnsi="Times New Roman"/>
          <w:b w:val="0"/>
          <w:i w:val="0"/>
          <w:color w:val="3427E1"/>
          <w:sz w:val="21"/>
          <w:u w:val="none"/>
          <w:vertAlign w:val="superscript"/>
        </w:rPr>
        <w:t>2</w:t>
      </w:r>
      <w:r>
        <w:rPr>
          <w:rFonts w:ascii="Times New Roman" w:hAnsi="Times New Roman"/>
          <w:b w:val="0"/>
          <w:i w:val="0"/>
          <w:color w:val="3427E1"/>
          <w:sz w:val="21"/>
          <w:u w:val="none"/>
        </w:rPr>
        <w:t xml:space="preserve"> at every evaluated depth, with average R</w:t>
      </w:r>
      <w:r>
        <w:rPr>
          <w:rFonts w:ascii="Times New Roman" w:hAnsi="Times New Roman"/>
          <w:b w:val="0"/>
          <w:i w:val="0"/>
          <w:color w:val="3427E1"/>
          <w:sz w:val="21"/>
          <w:u w:val="none"/>
          <w:vertAlign w:val="superscript"/>
        </w:rPr>
        <w:t>2</w:t>
      </w:r>
      <w:r>
        <w:rPr>
          <w:rFonts w:ascii="Times New Roman" w:hAnsi="Times New Roman"/>
          <w:b w:val="0"/>
          <w:i w:val="0"/>
          <w:color w:val="3427E1"/>
          <w:sz w:val="21"/>
          <w:u w:val="none"/>
        </w:rPr>
        <w:t xml:space="preserve"> increasing from -0.0066 to 0.2540. This directly measures coordinate recoverability. The component ablation addresses GATH's task contribution separately; neither analysis is presented as an isolated test of GATH's global-distance preservation.</w:t>
      </w:r>
    </w:p>
    <w:p>
      <w:pPr>
        <w:keepNext/>
        <w:widowControl/>
        <w:ind w:firstLine="0"/>
        <w:rPr>
          <w:rFonts w:ascii="Times New Roman" w:hAnsi="Times New Roman" w:cs="Times New Roman"/>
          <w:color w:val="3427E1"/>
          <w:szCs w:val="21"/>
        </w:rPr>
      </w:pPr>
      <w:r>
        <w:rPr>
          <w:rFonts w:ascii="Times New Roman" w:hAnsi="Times New Roman" w:eastAsia="宋体"/>
          <w:b w:val="0"/>
          <w:i w:val="0"/>
          <w:color w:val="3427E1"/>
          <w:sz w:val="21"/>
          <w:u w:val="none"/>
        </w:rPr>
        <w:t xml:space="preserve">The revised t-SNE discussion and the quantitative coordinate-probing results are provided below. </w:t>
      </w:r>
      <w:r>
        <w:rPr>
          <w:rFonts w:ascii="Times New Roman" w:hAnsi="Times New Roman"/>
          <w:color w:val="C45911"/>
          <w:sz w:val="21"/>
          <w:u w:val="single"/>
        </w:rPr>
        <w:t>[Section IV-D, Training Dynamics and Feature Geometry; Section IV-C, Layer-Wise Geometric Recoverability]</w:t>
      </w:r>
    </w:p>
    <w:p>
      <w:pPr>
        <w:keepNext w:val="0"/>
        <w:widowControl/>
        <w:ind w:firstLine="0"/>
        <w:rPr>
          <w:rFonts w:ascii="Times New Roman" w:hAnsi="Times New Roman" w:cs="Times New Roman"/>
          <w:color w:val="3427E1"/>
          <w:szCs w:val="21"/>
        </w:rPr>
      </w:pPr>
      <w:r>
        <w:rPr>
          <w:rFonts w:ascii="Times New Roman" w:hAnsi="Times New Roman" w:eastAsia="宋体"/>
          <w:b w:val="0"/>
          <w:i w:val="0"/>
          <w:color w:val="C45911"/>
          <w:sz w:val="21"/>
          <w:u w:val="none"/>
        </w:rPr>
        <w:t>【截图位置 R3-C10：图 A：IV-D 从 “To visualize the geometry of the intermediate representations” 开始的完整段落（tex 806 行），包含定性聚类与坐标可恢复性结果的联系。图 B：完整坐标探测表及结果段落（tab:layerwise_probe，674–711 行，可复用 R3-C3 图 A）。无需重复贴原有 t-SNE 图，重点展示修改后的解释。 插图后删除本标注。】</w:t>
      </w:r>
    </w:p>
    <w:p/>
    <w:p>
      <w:pPr>
        <w:keepNext/>
        <w:widowControl/>
        <w:rPr>
          <w:rFonts w:ascii="Times New Roman" w:hAnsi="Times New Roman" w:cs="Times New Roman"/>
          <w:color w:val="000000" w:themeColor="text1"/>
          <w:szCs w:val="21"/>
        </w:rPr>
      </w:pPr>
      <w:r>
        <w:rPr>
          <w:rFonts w:ascii="Times New Roman" w:hAnsi="Times New Roman"/>
          <w:b/>
          <w:i w:val="0"/>
          <w:color w:val="000000"/>
          <w:sz w:val="21"/>
          <w:u w:val="single"/>
        </w:rPr>
        <w:t>Comment 11:</w:t>
      </w:r>
    </w:p>
    <w:p>
      <w:pPr>
        <w:widowControl/>
        <w:jc w:val="left"/>
        <w:rPr>
          <w:rFonts w:ascii="Times New Roman" w:hAnsi="Times New Roman" w:cs="Times New Roman"/>
          <w:szCs w:val="21"/>
        </w:rPr>
      </w:pPr>
      <w:r>
        <w:rPr>
          <w:rFonts w:ascii="Times New Roman" w:hAnsi="Times New Roman"/>
          <w:b w:val="0"/>
          <w:i w:val="0"/>
          <w:color w:val="000000"/>
          <w:sz w:val="21"/>
          <w:u w:val="none"/>
        </w:rPr>
        <w:t xml:space="preserve">The current references are authoritative; however, the proportion of recent literature is relatively low. It is recommended to incorporate more up-to-date studies published in 2025–2026, particularly from leading conferences and journals such as TGRS, ISPRS. For example: </w:t>
      </w:r>
      <w:r>
        <w:rPr>
          <w:rFonts w:ascii="Times New Roman" w:hAnsi="Times New Roman"/>
          <w:b w:val="0"/>
          <w:i w:val="0"/>
          <w:color w:val="000000"/>
          <w:sz w:val="21"/>
          <w:u w:val="none"/>
        </w:rPr>
        <w:t>https://doi.org/10.1016/j.jag.2026.105251</w:t>
      </w:r>
      <w:r>
        <w:rPr>
          <w:rFonts w:ascii="Times New Roman" w:hAnsi="Times New Roman"/>
          <w:b w:val="0"/>
          <w:i w:val="0"/>
          <w:color w:val="000000"/>
          <w:sz w:val="21"/>
          <w:u w:val="none"/>
        </w:rPr>
        <w:t xml:space="preserve"> ; </w:t>
      </w:r>
      <w:r>
        <w:rPr>
          <w:rFonts w:ascii="Times New Roman" w:hAnsi="Times New Roman"/>
          <w:b w:val="0"/>
          <w:i w:val="0"/>
          <w:color w:val="000000"/>
          <w:sz w:val="21"/>
          <w:u w:val="none"/>
        </w:rPr>
        <w:t>https://doi.org/10.1016/j.isprsjprs.2026.06.041</w:t>
      </w:r>
      <w:r>
        <w:rPr>
          <w:rFonts w:ascii="Times New Roman" w:hAnsi="Times New Roman"/>
          <w:b w:val="0"/>
          <w:i w:val="0"/>
          <w:color w:val="000000"/>
          <w:sz w:val="21"/>
          <w:u w:val="none"/>
        </w:rPr>
        <w:t xml:space="preserve">; </w:t>
      </w:r>
      <w:r>
        <w:rPr>
          <w:rFonts w:ascii="Times New Roman" w:hAnsi="Times New Roman"/>
          <w:b w:val="0"/>
          <w:i w:val="0"/>
          <w:color w:val="000000"/>
          <w:sz w:val="21"/>
          <w:u w:val="none"/>
        </w:rPr>
        <w:t>https://doi.org/10.1016/j.isprsjprs.2026.06.023</w:t>
      </w:r>
      <w:r>
        <w:rPr>
          <w:rFonts w:ascii="Times New Roman" w:hAnsi="Times New Roman"/>
          <w:b w:val="0"/>
          <w:i w:val="0"/>
          <w:color w:val="000000"/>
          <w:sz w:val="21"/>
          <w:u w:val="none"/>
        </w:rPr>
        <w:t>.</w:t>
      </w:r>
    </w:p>
    <w:p>
      <w:pPr>
        <w:keepNext/>
        <w:widowControl/>
        <w:rPr>
          <w:rFonts w:ascii="Times New Roman" w:hAnsi="Times New Roman" w:cs="Times New Roman"/>
          <w:b/>
          <w:bCs/>
          <w:color w:val="3427E1"/>
          <w:szCs w:val="21"/>
          <w:u w:val="single"/>
        </w:rPr>
      </w:pPr>
      <w:r>
        <w:rPr>
          <w:rFonts w:ascii="Times New Roman" w:hAnsi="Times New Roman"/>
          <w:b/>
          <w:i w:val="0"/>
          <w:color w:val="3427E1"/>
          <w:sz w:val="21"/>
          <w:u w:val="single"/>
        </w:rPr>
        <w:t>REPLY:</w:t>
      </w:r>
    </w:p>
    <w:p>
      <w:pPr>
        <w:widowControl/>
        <w:ind w:firstLine="420"/>
        <w:rPr>
          <w:rFonts w:ascii="Times New Roman" w:hAnsi="Times New Roman" w:cs="Times New Roman"/>
          <w:color w:val="3427E1"/>
          <w:szCs w:val="21"/>
        </w:rPr>
      </w:pPr>
      <w:r>
        <w:rPr>
          <w:rFonts w:ascii="Times New Roman" w:hAnsi="Times New Roman"/>
          <w:b w:val="0"/>
          <w:i w:val="0"/>
          <w:color w:val="3427E1"/>
          <w:sz w:val="21"/>
          <w:u w:val="none"/>
        </w:rPr>
        <w:t>We thank the reviewer for these recommendations. The three suggested studies have been added to Section II-A, extending the discussion of spatial structure to terrain matching, cross-sensor correspondence, and DEM reconstruction. They provide broader geometric context; GeoAnchor3D focuses on instruction-conditioned object interaction for indoor multimodal scene understanding.</w:t>
      </w:r>
    </w:p>
    <w:p>
      <w:pPr>
        <w:keepNext/>
        <w:widowControl/>
        <w:ind w:firstLine="0"/>
        <w:rPr>
          <w:rFonts w:ascii="Times New Roman" w:hAnsi="Times New Roman" w:cs="Times New Roman"/>
          <w:color w:val="3427E1"/>
          <w:szCs w:val="21"/>
        </w:rPr>
      </w:pPr>
      <w:r>
        <w:rPr>
          <w:rFonts w:ascii="Times New Roman" w:hAnsi="Times New Roman" w:eastAsia="宋体"/>
          <w:b w:val="0"/>
          <w:i w:val="0"/>
          <w:color w:val="3427E1"/>
          <w:sz w:val="21"/>
          <w:u w:val="none"/>
        </w:rPr>
        <w:t xml:space="preserve">The added discussion and the corresponding references are reproduced below. </w:t>
      </w:r>
      <w:r>
        <w:rPr>
          <w:rFonts w:ascii="Times New Roman" w:hAnsi="Times New Roman"/>
          <w:color w:val="C45911"/>
          <w:sz w:val="21"/>
          <w:u w:val="single"/>
        </w:rPr>
        <w:t>[Section II-A, Cross-Modal Scene Understanding; References]</w:t>
      </w:r>
    </w:p>
    <w:p>
      <w:pPr>
        <w:keepNext w:val="0"/>
        <w:widowControl/>
        <w:ind w:firstLine="0"/>
        <w:rPr>
          <w:rFonts w:ascii="Times New Roman" w:hAnsi="Times New Roman" w:cs="Times New Roman"/>
          <w:color w:val="3427E1"/>
          <w:szCs w:val="21"/>
        </w:rPr>
      </w:pPr>
      <w:r>
        <w:rPr>
          <w:rFonts w:ascii="Times New Roman" w:hAnsi="Times New Roman" w:eastAsia="宋体"/>
          <w:b w:val="0"/>
          <w:i w:val="0"/>
          <w:color w:val="C45911"/>
          <w:sz w:val="21"/>
          <w:u w:val="none"/>
        </w:rPr>
        <w:t>【截图位置 R3-C11：图 A：II-A 中 “The importance of preserving spatial structure has also been recognized…” 完整蓝色句子及三个引用编号（tex 122 行）。图 B：最终编译 PDF 的 References 中对应的三条完整文献：huang2026underwater、gao2026arctic、huang2026contourlet。引用编号随最终编译结果确定。 插图后删除本标注。】</w:t>
      </w:r>
    </w:p>
    <w:sectPr w:rsidR="00113652" w:rsidRPr="00786EC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3B2E23" w14:textId="77777777" w:rsidR="00142BFD" w:rsidRDefault="00142BFD" w:rsidP="005A393A">
      <w:r>
        <w:separator/>
      </w:r>
    </w:p>
  </w:endnote>
  <w:endnote w:type="continuationSeparator" w:id="0">
    <w:p w14:paraId="44B9E0FB" w14:textId="77777777" w:rsidR="00142BFD" w:rsidRDefault="00142BFD" w:rsidP="005A39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46BAB4" w14:textId="77777777" w:rsidR="00142BFD" w:rsidRDefault="00142BFD" w:rsidP="005A393A">
      <w:r>
        <w:separator/>
      </w:r>
    </w:p>
  </w:footnote>
  <w:footnote w:type="continuationSeparator" w:id="0">
    <w:p w14:paraId="53DC0410" w14:textId="77777777" w:rsidR="00142BFD" w:rsidRDefault="00142BFD" w:rsidP="005A393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A27657"/>
    <w:multiLevelType w:val="hybridMultilevel"/>
    <w:tmpl w:val="8EC0EDA0"/>
    <w:lvl w:ilvl="0" w:tplc="9FF4DD62">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 w15:restartNumberingAfterBreak="0">
    <w:nsid w:val="062B45E2"/>
    <w:multiLevelType w:val="hybridMultilevel"/>
    <w:tmpl w:val="6D721E20"/>
    <w:lvl w:ilvl="0" w:tplc="0409000B">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 w15:restartNumberingAfterBreak="0">
    <w:nsid w:val="0B503C9C"/>
    <w:multiLevelType w:val="hybridMultilevel"/>
    <w:tmpl w:val="EF86A3D4"/>
    <w:lvl w:ilvl="0" w:tplc="0409000B">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15:restartNumberingAfterBreak="0">
    <w:nsid w:val="0DCD1491"/>
    <w:multiLevelType w:val="hybridMultilevel"/>
    <w:tmpl w:val="7AC44168"/>
    <w:lvl w:ilvl="0" w:tplc="F5F8E13C">
      <w:start w:val="1"/>
      <w:numFmt w:val="decimal"/>
      <w:lvlText w:val="%1."/>
      <w:lvlJc w:val="left"/>
      <w:pPr>
        <w:ind w:left="360" w:hanging="360"/>
      </w:pPr>
      <w:rPr>
        <w:rFonts w:hint="default"/>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1A9A2CE5"/>
    <w:multiLevelType w:val="hybridMultilevel"/>
    <w:tmpl w:val="B85ADDB4"/>
    <w:lvl w:ilvl="0" w:tplc="3AD677C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1ADB0659"/>
    <w:multiLevelType w:val="hybridMultilevel"/>
    <w:tmpl w:val="53624438"/>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6" w15:restartNumberingAfterBreak="0">
    <w:nsid w:val="1E15514A"/>
    <w:multiLevelType w:val="hybridMultilevel"/>
    <w:tmpl w:val="EC44B142"/>
    <w:lvl w:ilvl="0" w:tplc="55C86DA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2D7C26D6"/>
    <w:multiLevelType w:val="hybridMultilevel"/>
    <w:tmpl w:val="4948C6AC"/>
    <w:lvl w:ilvl="0" w:tplc="DCFC3C28">
      <w:start w:val="1"/>
      <w:numFmt w:val="decimal"/>
      <w:lvlText w:val="(%1)"/>
      <w:lvlJc w:val="left"/>
      <w:pPr>
        <w:ind w:left="78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33032A4F"/>
    <w:multiLevelType w:val="multilevel"/>
    <w:tmpl w:val="A2CE6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AA5EE1"/>
    <w:multiLevelType w:val="hybridMultilevel"/>
    <w:tmpl w:val="1C763ED2"/>
    <w:lvl w:ilvl="0" w:tplc="69A8D948">
      <w:start w:val="1"/>
      <w:numFmt w:val="decimal"/>
      <w:lvlText w:val="%1、"/>
      <w:lvlJc w:val="left"/>
      <w:pPr>
        <w:ind w:left="360" w:hanging="360"/>
      </w:pPr>
      <w:rPr>
        <w:rFonts w:ascii="Times New Roman" w:hAnsi="Times New Roman" w:cs="Times New Roman" w:hint="default"/>
        <w:b w:val="0"/>
        <w:color w:val="000000" w:themeColor="text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3EA869E5"/>
    <w:multiLevelType w:val="multilevel"/>
    <w:tmpl w:val="9D3A6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DE5BBF"/>
    <w:multiLevelType w:val="hybridMultilevel"/>
    <w:tmpl w:val="0A0842A8"/>
    <w:lvl w:ilvl="0" w:tplc="04090001">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2" w15:restartNumberingAfterBreak="0">
    <w:nsid w:val="4B6D5588"/>
    <w:multiLevelType w:val="hybridMultilevel"/>
    <w:tmpl w:val="36E421E2"/>
    <w:lvl w:ilvl="0" w:tplc="A74C959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4DE51C35"/>
    <w:multiLevelType w:val="hybridMultilevel"/>
    <w:tmpl w:val="FBB4B814"/>
    <w:lvl w:ilvl="0" w:tplc="E81881E6">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4" w15:restartNumberingAfterBreak="0">
    <w:nsid w:val="5001775B"/>
    <w:multiLevelType w:val="hybridMultilevel"/>
    <w:tmpl w:val="AF68DC46"/>
    <w:lvl w:ilvl="0" w:tplc="AF84DAC0">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5" w15:restartNumberingAfterBreak="0">
    <w:nsid w:val="5D543C77"/>
    <w:multiLevelType w:val="hybridMultilevel"/>
    <w:tmpl w:val="BB8697B0"/>
    <w:lvl w:ilvl="0" w:tplc="A1FA5C2E">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6" w15:restartNumberingAfterBreak="0">
    <w:nsid w:val="5F016A14"/>
    <w:multiLevelType w:val="hybridMultilevel"/>
    <w:tmpl w:val="90EE7036"/>
    <w:lvl w:ilvl="0" w:tplc="0409000B">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7" w15:restartNumberingAfterBreak="0">
    <w:nsid w:val="61CE7963"/>
    <w:multiLevelType w:val="hybridMultilevel"/>
    <w:tmpl w:val="4392B75C"/>
    <w:lvl w:ilvl="0" w:tplc="0409000B">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8" w15:restartNumberingAfterBreak="0">
    <w:nsid w:val="6293730A"/>
    <w:multiLevelType w:val="hybridMultilevel"/>
    <w:tmpl w:val="AEDCBE00"/>
    <w:lvl w:ilvl="0" w:tplc="04090001">
      <w:start w:val="1"/>
      <w:numFmt w:val="bullet"/>
      <w:lvlText w:val=""/>
      <w:lvlJc w:val="left"/>
      <w:pPr>
        <w:ind w:left="420" w:hanging="420"/>
      </w:pPr>
      <w:rPr>
        <w:rFonts w:ascii="Wingdings" w:hAnsi="Wingdings" w:hint="default"/>
      </w:rPr>
    </w:lvl>
    <w:lvl w:ilvl="1" w:tplc="0409000B">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9" w15:restartNumberingAfterBreak="0">
    <w:nsid w:val="674100EA"/>
    <w:multiLevelType w:val="multilevel"/>
    <w:tmpl w:val="6F4AF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CB2618"/>
    <w:multiLevelType w:val="hybridMultilevel"/>
    <w:tmpl w:val="59463046"/>
    <w:lvl w:ilvl="0" w:tplc="F76CB46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79EC239C"/>
    <w:multiLevelType w:val="multilevel"/>
    <w:tmpl w:val="99363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B6E7AC8"/>
    <w:multiLevelType w:val="hybridMultilevel"/>
    <w:tmpl w:val="15048C46"/>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num w:numId="1">
    <w:abstractNumId w:val="12"/>
  </w:num>
  <w:num w:numId="2">
    <w:abstractNumId w:val="9"/>
  </w:num>
  <w:num w:numId="3">
    <w:abstractNumId w:val="8"/>
  </w:num>
  <w:num w:numId="4">
    <w:abstractNumId w:val="10"/>
  </w:num>
  <w:num w:numId="5">
    <w:abstractNumId w:val="20"/>
  </w:num>
  <w:num w:numId="6">
    <w:abstractNumId w:val="5"/>
  </w:num>
  <w:num w:numId="7">
    <w:abstractNumId w:val="1"/>
  </w:num>
  <w:num w:numId="8">
    <w:abstractNumId w:val="17"/>
  </w:num>
  <w:num w:numId="9">
    <w:abstractNumId w:val="4"/>
  </w:num>
  <w:num w:numId="10">
    <w:abstractNumId w:val="14"/>
  </w:num>
  <w:num w:numId="11">
    <w:abstractNumId w:val="2"/>
  </w:num>
  <w:num w:numId="12">
    <w:abstractNumId w:val="16"/>
  </w:num>
  <w:num w:numId="13">
    <w:abstractNumId w:val="6"/>
  </w:num>
  <w:num w:numId="14">
    <w:abstractNumId w:val="11"/>
  </w:num>
  <w:num w:numId="15">
    <w:abstractNumId w:val="18"/>
  </w:num>
  <w:num w:numId="16">
    <w:abstractNumId w:val="22"/>
  </w:num>
  <w:num w:numId="17">
    <w:abstractNumId w:val="0"/>
  </w:num>
  <w:num w:numId="18">
    <w:abstractNumId w:val="15"/>
  </w:num>
  <w:num w:numId="19">
    <w:abstractNumId w:val="3"/>
  </w:num>
  <w:num w:numId="20">
    <w:abstractNumId w:val="19"/>
  </w:num>
  <w:num w:numId="21">
    <w:abstractNumId w:val="21"/>
  </w:num>
  <w:num w:numId="22">
    <w:abstractNumId w:val="13"/>
  </w:num>
  <w:num w:numId="2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7593"/>
    <w:rsid w:val="00000BF9"/>
    <w:rsid w:val="00003383"/>
    <w:rsid w:val="00007CDA"/>
    <w:rsid w:val="00022563"/>
    <w:rsid w:val="00024416"/>
    <w:rsid w:val="000273EF"/>
    <w:rsid w:val="0002752A"/>
    <w:rsid w:val="00027789"/>
    <w:rsid w:val="00031E26"/>
    <w:rsid w:val="00034747"/>
    <w:rsid w:val="000364C0"/>
    <w:rsid w:val="00042978"/>
    <w:rsid w:val="00053160"/>
    <w:rsid w:val="00054D3B"/>
    <w:rsid w:val="00055C1D"/>
    <w:rsid w:val="00060A06"/>
    <w:rsid w:val="00067EDB"/>
    <w:rsid w:val="000731A7"/>
    <w:rsid w:val="00075A78"/>
    <w:rsid w:val="00077B82"/>
    <w:rsid w:val="00095EEB"/>
    <w:rsid w:val="000A38FB"/>
    <w:rsid w:val="000A669D"/>
    <w:rsid w:val="000B35F9"/>
    <w:rsid w:val="000C652B"/>
    <w:rsid w:val="000D3CA6"/>
    <w:rsid w:val="000D67AE"/>
    <w:rsid w:val="000D77F2"/>
    <w:rsid w:val="000D7E96"/>
    <w:rsid w:val="000E06F8"/>
    <w:rsid w:val="000F6BB5"/>
    <w:rsid w:val="001006D5"/>
    <w:rsid w:val="00101308"/>
    <w:rsid w:val="001102F9"/>
    <w:rsid w:val="00111971"/>
    <w:rsid w:val="00113652"/>
    <w:rsid w:val="00122A7C"/>
    <w:rsid w:val="00124EB3"/>
    <w:rsid w:val="00127A36"/>
    <w:rsid w:val="00130396"/>
    <w:rsid w:val="00137652"/>
    <w:rsid w:val="00140728"/>
    <w:rsid w:val="00140F37"/>
    <w:rsid w:val="00141657"/>
    <w:rsid w:val="00142BFD"/>
    <w:rsid w:val="00150999"/>
    <w:rsid w:val="001522F5"/>
    <w:rsid w:val="00152624"/>
    <w:rsid w:val="0015286B"/>
    <w:rsid w:val="00155F59"/>
    <w:rsid w:val="001572F5"/>
    <w:rsid w:val="00157E12"/>
    <w:rsid w:val="0016436E"/>
    <w:rsid w:val="001721E6"/>
    <w:rsid w:val="0017377E"/>
    <w:rsid w:val="00180BCA"/>
    <w:rsid w:val="001876A0"/>
    <w:rsid w:val="001947AF"/>
    <w:rsid w:val="001968A1"/>
    <w:rsid w:val="0019720E"/>
    <w:rsid w:val="001A62E3"/>
    <w:rsid w:val="001B1BF9"/>
    <w:rsid w:val="001B7258"/>
    <w:rsid w:val="001C5530"/>
    <w:rsid w:val="001C6E50"/>
    <w:rsid w:val="001D48C4"/>
    <w:rsid w:val="001E0011"/>
    <w:rsid w:val="001E1CFA"/>
    <w:rsid w:val="001E3CCA"/>
    <w:rsid w:val="001F0047"/>
    <w:rsid w:val="001F1DD2"/>
    <w:rsid w:val="001F4DEB"/>
    <w:rsid w:val="00200F15"/>
    <w:rsid w:val="00202047"/>
    <w:rsid w:val="002067E8"/>
    <w:rsid w:val="00211C47"/>
    <w:rsid w:val="002167E4"/>
    <w:rsid w:val="00222C14"/>
    <w:rsid w:val="0022599F"/>
    <w:rsid w:val="00225BF0"/>
    <w:rsid w:val="002348E8"/>
    <w:rsid w:val="00243730"/>
    <w:rsid w:val="002446BE"/>
    <w:rsid w:val="00244D1C"/>
    <w:rsid w:val="00245757"/>
    <w:rsid w:val="002531E2"/>
    <w:rsid w:val="00263AFA"/>
    <w:rsid w:val="0028252E"/>
    <w:rsid w:val="0028345E"/>
    <w:rsid w:val="00292C4C"/>
    <w:rsid w:val="00292E9C"/>
    <w:rsid w:val="00296BEC"/>
    <w:rsid w:val="0029716B"/>
    <w:rsid w:val="002A6436"/>
    <w:rsid w:val="002A6D2D"/>
    <w:rsid w:val="002B18A6"/>
    <w:rsid w:val="002B404C"/>
    <w:rsid w:val="002B7C9F"/>
    <w:rsid w:val="002D2566"/>
    <w:rsid w:val="002D65E9"/>
    <w:rsid w:val="002E4623"/>
    <w:rsid w:val="002E542E"/>
    <w:rsid w:val="002F0529"/>
    <w:rsid w:val="002F205C"/>
    <w:rsid w:val="002F5F5D"/>
    <w:rsid w:val="00303F55"/>
    <w:rsid w:val="0030731B"/>
    <w:rsid w:val="003109E0"/>
    <w:rsid w:val="00314B91"/>
    <w:rsid w:val="00316BEA"/>
    <w:rsid w:val="003173F1"/>
    <w:rsid w:val="00322019"/>
    <w:rsid w:val="003268B6"/>
    <w:rsid w:val="0034038C"/>
    <w:rsid w:val="00341A8A"/>
    <w:rsid w:val="00341AEE"/>
    <w:rsid w:val="003422BB"/>
    <w:rsid w:val="00342BB0"/>
    <w:rsid w:val="00357BE1"/>
    <w:rsid w:val="003630CA"/>
    <w:rsid w:val="00363C85"/>
    <w:rsid w:val="00364C2A"/>
    <w:rsid w:val="003676BA"/>
    <w:rsid w:val="003719CD"/>
    <w:rsid w:val="00374A91"/>
    <w:rsid w:val="00375A9C"/>
    <w:rsid w:val="00392FD7"/>
    <w:rsid w:val="00394AB1"/>
    <w:rsid w:val="003977E8"/>
    <w:rsid w:val="003B042C"/>
    <w:rsid w:val="003C02DB"/>
    <w:rsid w:val="003C1B77"/>
    <w:rsid w:val="003D0824"/>
    <w:rsid w:val="003D10BA"/>
    <w:rsid w:val="003D119E"/>
    <w:rsid w:val="003D173A"/>
    <w:rsid w:val="003D7B29"/>
    <w:rsid w:val="003E2392"/>
    <w:rsid w:val="003E5E40"/>
    <w:rsid w:val="003F156B"/>
    <w:rsid w:val="00406050"/>
    <w:rsid w:val="004072F2"/>
    <w:rsid w:val="00407460"/>
    <w:rsid w:val="004075C7"/>
    <w:rsid w:val="004124A9"/>
    <w:rsid w:val="0042422C"/>
    <w:rsid w:val="00433943"/>
    <w:rsid w:val="004341E7"/>
    <w:rsid w:val="0044697E"/>
    <w:rsid w:val="004477F1"/>
    <w:rsid w:val="00450D9E"/>
    <w:rsid w:val="004528A3"/>
    <w:rsid w:val="00455399"/>
    <w:rsid w:val="00475800"/>
    <w:rsid w:val="00476A54"/>
    <w:rsid w:val="00481B32"/>
    <w:rsid w:val="00484205"/>
    <w:rsid w:val="00486622"/>
    <w:rsid w:val="004A286D"/>
    <w:rsid w:val="004A4676"/>
    <w:rsid w:val="004B7AA3"/>
    <w:rsid w:val="004C5DF6"/>
    <w:rsid w:val="004D2BE5"/>
    <w:rsid w:val="004D3A56"/>
    <w:rsid w:val="004D414B"/>
    <w:rsid w:val="004D5867"/>
    <w:rsid w:val="004E3EFA"/>
    <w:rsid w:val="004F39FF"/>
    <w:rsid w:val="004F4645"/>
    <w:rsid w:val="004F4C23"/>
    <w:rsid w:val="004F66E1"/>
    <w:rsid w:val="004F681E"/>
    <w:rsid w:val="004F7D08"/>
    <w:rsid w:val="00503627"/>
    <w:rsid w:val="00534F54"/>
    <w:rsid w:val="00552463"/>
    <w:rsid w:val="00555629"/>
    <w:rsid w:val="0055641E"/>
    <w:rsid w:val="00560928"/>
    <w:rsid w:val="005721C3"/>
    <w:rsid w:val="00574231"/>
    <w:rsid w:val="005812C9"/>
    <w:rsid w:val="00581466"/>
    <w:rsid w:val="00581AC5"/>
    <w:rsid w:val="00582BB6"/>
    <w:rsid w:val="00586B7F"/>
    <w:rsid w:val="00590283"/>
    <w:rsid w:val="00592402"/>
    <w:rsid w:val="0059344E"/>
    <w:rsid w:val="0059387A"/>
    <w:rsid w:val="005A393A"/>
    <w:rsid w:val="005A6678"/>
    <w:rsid w:val="005C7425"/>
    <w:rsid w:val="005E29B0"/>
    <w:rsid w:val="005E7B5E"/>
    <w:rsid w:val="005F1788"/>
    <w:rsid w:val="005F188F"/>
    <w:rsid w:val="0060786C"/>
    <w:rsid w:val="00610A0F"/>
    <w:rsid w:val="00614807"/>
    <w:rsid w:val="00621D71"/>
    <w:rsid w:val="00622425"/>
    <w:rsid w:val="00625E8B"/>
    <w:rsid w:val="00627304"/>
    <w:rsid w:val="00633466"/>
    <w:rsid w:val="00633A01"/>
    <w:rsid w:val="0063495C"/>
    <w:rsid w:val="006412FD"/>
    <w:rsid w:val="00641EAC"/>
    <w:rsid w:val="00643DFC"/>
    <w:rsid w:val="00644BBC"/>
    <w:rsid w:val="006547A3"/>
    <w:rsid w:val="00654F42"/>
    <w:rsid w:val="006726E4"/>
    <w:rsid w:val="006727DC"/>
    <w:rsid w:val="00672F7F"/>
    <w:rsid w:val="00675233"/>
    <w:rsid w:val="006758E2"/>
    <w:rsid w:val="00676D8C"/>
    <w:rsid w:val="00681BC4"/>
    <w:rsid w:val="006872DC"/>
    <w:rsid w:val="00696980"/>
    <w:rsid w:val="006A5B96"/>
    <w:rsid w:val="006B0455"/>
    <w:rsid w:val="006B5B96"/>
    <w:rsid w:val="006B659D"/>
    <w:rsid w:val="006B7E02"/>
    <w:rsid w:val="006C3728"/>
    <w:rsid w:val="006C445F"/>
    <w:rsid w:val="006C5AA7"/>
    <w:rsid w:val="006C6AFD"/>
    <w:rsid w:val="006D0BC6"/>
    <w:rsid w:val="006D2F46"/>
    <w:rsid w:val="006D68C2"/>
    <w:rsid w:val="006E3431"/>
    <w:rsid w:val="006F4D59"/>
    <w:rsid w:val="006F5598"/>
    <w:rsid w:val="006F69E7"/>
    <w:rsid w:val="007021BF"/>
    <w:rsid w:val="00702F20"/>
    <w:rsid w:val="00707593"/>
    <w:rsid w:val="00711943"/>
    <w:rsid w:val="00715946"/>
    <w:rsid w:val="00715C76"/>
    <w:rsid w:val="007206AA"/>
    <w:rsid w:val="00720C7C"/>
    <w:rsid w:val="007247F1"/>
    <w:rsid w:val="0073418F"/>
    <w:rsid w:val="00744FB3"/>
    <w:rsid w:val="007456A3"/>
    <w:rsid w:val="007458D7"/>
    <w:rsid w:val="007511FF"/>
    <w:rsid w:val="00751271"/>
    <w:rsid w:val="00756E8B"/>
    <w:rsid w:val="007618BB"/>
    <w:rsid w:val="00764F54"/>
    <w:rsid w:val="00772BC1"/>
    <w:rsid w:val="007770E6"/>
    <w:rsid w:val="00782097"/>
    <w:rsid w:val="00782CD7"/>
    <w:rsid w:val="007855AD"/>
    <w:rsid w:val="00786EC7"/>
    <w:rsid w:val="007A06AE"/>
    <w:rsid w:val="007A3D93"/>
    <w:rsid w:val="007A4789"/>
    <w:rsid w:val="007B03B0"/>
    <w:rsid w:val="007B0D32"/>
    <w:rsid w:val="007B1399"/>
    <w:rsid w:val="007B19A4"/>
    <w:rsid w:val="007B4DC1"/>
    <w:rsid w:val="007C0FB1"/>
    <w:rsid w:val="007C1913"/>
    <w:rsid w:val="007C7848"/>
    <w:rsid w:val="007D008A"/>
    <w:rsid w:val="007D46B4"/>
    <w:rsid w:val="007E5776"/>
    <w:rsid w:val="007F3927"/>
    <w:rsid w:val="007F3BD3"/>
    <w:rsid w:val="007F54D7"/>
    <w:rsid w:val="007F7F34"/>
    <w:rsid w:val="00802E25"/>
    <w:rsid w:val="00803DDC"/>
    <w:rsid w:val="0080518C"/>
    <w:rsid w:val="00811308"/>
    <w:rsid w:val="00811DB0"/>
    <w:rsid w:val="0081741E"/>
    <w:rsid w:val="008328E2"/>
    <w:rsid w:val="00832B22"/>
    <w:rsid w:val="0084606D"/>
    <w:rsid w:val="00846364"/>
    <w:rsid w:val="00853128"/>
    <w:rsid w:val="0085572D"/>
    <w:rsid w:val="00863826"/>
    <w:rsid w:val="0086662E"/>
    <w:rsid w:val="00871DAF"/>
    <w:rsid w:val="00872E38"/>
    <w:rsid w:val="008838D0"/>
    <w:rsid w:val="00886F2C"/>
    <w:rsid w:val="008936F2"/>
    <w:rsid w:val="008941FB"/>
    <w:rsid w:val="008A31A7"/>
    <w:rsid w:val="008A35B1"/>
    <w:rsid w:val="008A54D8"/>
    <w:rsid w:val="008B2728"/>
    <w:rsid w:val="008B27A8"/>
    <w:rsid w:val="008B5999"/>
    <w:rsid w:val="008B6960"/>
    <w:rsid w:val="008B702F"/>
    <w:rsid w:val="008C0098"/>
    <w:rsid w:val="008C0964"/>
    <w:rsid w:val="008C227A"/>
    <w:rsid w:val="008C36EA"/>
    <w:rsid w:val="008D3BE0"/>
    <w:rsid w:val="008E08DD"/>
    <w:rsid w:val="008F1B81"/>
    <w:rsid w:val="008F2D89"/>
    <w:rsid w:val="008F5E02"/>
    <w:rsid w:val="008F7677"/>
    <w:rsid w:val="0090690B"/>
    <w:rsid w:val="00910002"/>
    <w:rsid w:val="00910224"/>
    <w:rsid w:val="00911741"/>
    <w:rsid w:val="00915D84"/>
    <w:rsid w:val="00920211"/>
    <w:rsid w:val="00923864"/>
    <w:rsid w:val="00927336"/>
    <w:rsid w:val="00927AF5"/>
    <w:rsid w:val="00934A70"/>
    <w:rsid w:val="00935B7E"/>
    <w:rsid w:val="00936722"/>
    <w:rsid w:val="009379A9"/>
    <w:rsid w:val="00940AB6"/>
    <w:rsid w:val="0094218D"/>
    <w:rsid w:val="00950E12"/>
    <w:rsid w:val="0095720B"/>
    <w:rsid w:val="0095738B"/>
    <w:rsid w:val="00962A6C"/>
    <w:rsid w:val="00964F4E"/>
    <w:rsid w:val="00972C15"/>
    <w:rsid w:val="00974026"/>
    <w:rsid w:val="009773DF"/>
    <w:rsid w:val="0097760B"/>
    <w:rsid w:val="009A1D2B"/>
    <w:rsid w:val="009A63E8"/>
    <w:rsid w:val="009B12B0"/>
    <w:rsid w:val="009B2CBA"/>
    <w:rsid w:val="009C3C72"/>
    <w:rsid w:val="009D1DB2"/>
    <w:rsid w:val="009D5931"/>
    <w:rsid w:val="009E0020"/>
    <w:rsid w:val="009E18B8"/>
    <w:rsid w:val="009E2A66"/>
    <w:rsid w:val="009E2A6B"/>
    <w:rsid w:val="009E39A7"/>
    <w:rsid w:val="009E527D"/>
    <w:rsid w:val="009E688C"/>
    <w:rsid w:val="009E7B70"/>
    <w:rsid w:val="009F5EA7"/>
    <w:rsid w:val="009F6025"/>
    <w:rsid w:val="00A156F6"/>
    <w:rsid w:val="00A17C72"/>
    <w:rsid w:val="00A2363B"/>
    <w:rsid w:val="00A25369"/>
    <w:rsid w:val="00A32EE5"/>
    <w:rsid w:val="00A37AC8"/>
    <w:rsid w:val="00A4004B"/>
    <w:rsid w:val="00A4213E"/>
    <w:rsid w:val="00A42536"/>
    <w:rsid w:val="00A44BAB"/>
    <w:rsid w:val="00A51AB9"/>
    <w:rsid w:val="00A6321C"/>
    <w:rsid w:val="00A707A7"/>
    <w:rsid w:val="00A72C57"/>
    <w:rsid w:val="00A73FEA"/>
    <w:rsid w:val="00A803CF"/>
    <w:rsid w:val="00A8412F"/>
    <w:rsid w:val="00A85645"/>
    <w:rsid w:val="00A870A2"/>
    <w:rsid w:val="00A9352C"/>
    <w:rsid w:val="00A95023"/>
    <w:rsid w:val="00AA4E0A"/>
    <w:rsid w:val="00AA56ED"/>
    <w:rsid w:val="00AA5B42"/>
    <w:rsid w:val="00AA70CB"/>
    <w:rsid w:val="00AB0385"/>
    <w:rsid w:val="00AB0428"/>
    <w:rsid w:val="00AB0E4A"/>
    <w:rsid w:val="00AB2054"/>
    <w:rsid w:val="00AB76B8"/>
    <w:rsid w:val="00AC47E8"/>
    <w:rsid w:val="00AC7D72"/>
    <w:rsid w:val="00AD0218"/>
    <w:rsid w:val="00AD0E8A"/>
    <w:rsid w:val="00AD2037"/>
    <w:rsid w:val="00AD2098"/>
    <w:rsid w:val="00AE1C45"/>
    <w:rsid w:val="00AE77D1"/>
    <w:rsid w:val="00AF0761"/>
    <w:rsid w:val="00AF6E6B"/>
    <w:rsid w:val="00B03E54"/>
    <w:rsid w:val="00B10D66"/>
    <w:rsid w:val="00B13B4D"/>
    <w:rsid w:val="00B146C3"/>
    <w:rsid w:val="00B15FA0"/>
    <w:rsid w:val="00B16872"/>
    <w:rsid w:val="00B16F42"/>
    <w:rsid w:val="00B226B8"/>
    <w:rsid w:val="00B30BC0"/>
    <w:rsid w:val="00B322AF"/>
    <w:rsid w:val="00B33462"/>
    <w:rsid w:val="00B35045"/>
    <w:rsid w:val="00B4047C"/>
    <w:rsid w:val="00B40DA8"/>
    <w:rsid w:val="00B5010C"/>
    <w:rsid w:val="00B5682A"/>
    <w:rsid w:val="00B56BC0"/>
    <w:rsid w:val="00B57F11"/>
    <w:rsid w:val="00B64AC7"/>
    <w:rsid w:val="00B66024"/>
    <w:rsid w:val="00B679BC"/>
    <w:rsid w:val="00B70168"/>
    <w:rsid w:val="00B70603"/>
    <w:rsid w:val="00B71303"/>
    <w:rsid w:val="00B7403E"/>
    <w:rsid w:val="00B77906"/>
    <w:rsid w:val="00B822DE"/>
    <w:rsid w:val="00B8328C"/>
    <w:rsid w:val="00B83768"/>
    <w:rsid w:val="00B83DFB"/>
    <w:rsid w:val="00B851FB"/>
    <w:rsid w:val="00B900AC"/>
    <w:rsid w:val="00B94106"/>
    <w:rsid w:val="00B94B9A"/>
    <w:rsid w:val="00B966A5"/>
    <w:rsid w:val="00BA3CCA"/>
    <w:rsid w:val="00BA3EC4"/>
    <w:rsid w:val="00BA57E9"/>
    <w:rsid w:val="00BD0A23"/>
    <w:rsid w:val="00BD79C6"/>
    <w:rsid w:val="00BE187B"/>
    <w:rsid w:val="00BE3737"/>
    <w:rsid w:val="00BF1378"/>
    <w:rsid w:val="00C031E7"/>
    <w:rsid w:val="00C102D6"/>
    <w:rsid w:val="00C1444E"/>
    <w:rsid w:val="00C217DB"/>
    <w:rsid w:val="00C25BD2"/>
    <w:rsid w:val="00C301B0"/>
    <w:rsid w:val="00C33F61"/>
    <w:rsid w:val="00C4232E"/>
    <w:rsid w:val="00C43A48"/>
    <w:rsid w:val="00C52298"/>
    <w:rsid w:val="00C52DE0"/>
    <w:rsid w:val="00C54D4C"/>
    <w:rsid w:val="00C54E19"/>
    <w:rsid w:val="00C55ABF"/>
    <w:rsid w:val="00C60F2B"/>
    <w:rsid w:val="00C713A6"/>
    <w:rsid w:val="00C7357A"/>
    <w:rsid w:val="00C77C18"/>
    <w:rsid w:val="00C909ED"/>
    <w:rsid w:val="00C935A6"/>
    <w:rsid w:val="00C9773C"/>
    <w:rsid w:val="00CA268A"/>
    <w:rsid w:val="00CA44A3"/>
    <w:rsid w:val="00CB6774"/>
    <w:rsid w:val="00CC213B"/>
    <w:rsid w:val="00CC29A9"/>
    <w:rsid w:val="00CC731C"/>
    <w:rsid w:val="00CC7EAE"/>
    <w:rsid w:val="00CD100A"/>
    <w:rsid w:val="00CD4E9B"/>
    <w:rsid w:val="00CE27BE"/>
    <w:rsid w:val="00CE50E4"/>
    <w:rsid w:val="00CE5EC6"/>
    <w:rsid w:val="00CE66E4"/>
    <w:rsid w:val="00CE6C71"/>
    <w:rsid w:val="00CF2E32"/>
    <w:rsid w:val="00CF30F7"/>
    <w:rsid w:val="00CF71F8"/>
    <w:rsid w:val="00D02B05"/>
    <w:rsid w:val="00D12BCA"/>
    <w:rsid w:val="00D17823"/>
    <w:rsid w:val="00D22D96"/>
    <w:rsid w:val="00D257FE"/>
    <w:rsid w:val="00D32560"/>
    <w:rsid w:val="00D3561F"/>
    <w:rsid w:val="00D43E52"/>
    <w:rsid w:val="00D45C13"/>
    <w:rsid w:val="00D472DC"/>
    <w:rsid w:val="00D5179B"/>
    <w:rsid w:val="00D540D5"/>
    <w:rsid w:val="00D548D1"/>
    <w:rsid w:val="00D57D7C"/>
    <w:rsid w:val="00D62084"/>
    <w:rsid w:val="00D66B2E"/>
    <w:rsid w:val="00D67B85"/>
    <w:rsid w:val="00D707FB"/>
    <w:rsid w:val="00D726D3"/>
    <w:rsid w:val="00D73E04"/>
    <w:rsid w:val="00D74982"/>
    <w:rsid w:val="00D75B3F"/>
    <w:rsid w:val="00D77BC0"/>
    <w:rsid w:val="00D8369D"/>
    <w:rsid w:val="00D90F7B"/>
    <w:rsid w:val="00DA0E0B"/>
    <w:rsid w:val="00DA73B1"/>
    <w:rsid w:val="00DB0447"/>
    <w:rsid w:val="00DB1B19"/>
    <w:rsid w:val="00DB33A7"/>
    <w:rsid w:val="00DB41EE"/>
    <w:rsid w:val="00DB773B"/>
    <w:rsid w:val="00DD0142"/>
    <w:rsid w:val="00DD22CD"/>
    <w:rsid w:val="00DD4C56"/>
    <w:rsid w:val="00DD7591"/>
    <w:rsid w:val="00DE1A1E"/>
    <w:rsid w:val="00DE357C"/>
    <w:rsid w:val="00DF1D00"/>
    <w:rsid w:val="00DF304C"/>
    <w:rsid w:val="00DF6414"/>
    <w:rsid w:val="00DF690C"/>
    <w:rsid w:val="00DF7FC6"/>
    <w:rsid w:val="00E114B4"/>
    <w:rsid w:val="00E140D3"/>
    <w:rsid w:val="00E15F2D"/>
    <w:rsid w:val="00E17F4F"/>
    <w:rsid w:val="00E206C2"/>
    <w:rsid w:val="00E21563"/>
    <w:rsid w:val="00E360A8"/>
    <w:rsid w:val="00E41213"/>
    <w:rsid w:val="00E51C93"/>
    <w:rsid w:val="00E57C4C"/>
    <w:rsid w:val="00E73064"/>
    <w:rsid w:val="00E8315D"/>
    <w:rsid w:val="00E8648D"/>
    <w:rsid w:val="00E91DB0"/>
    <w:rsid w:val="00E94A5D"/>
    <w:rsid w:val="00E9608C"/>
    <w:rsid w:val="00E96993"/>
    <w:rsid w:val="00EA1C73"/>
    <w:rsid w:val="00EA22EB"/>
    <w:rsid w:val="00EA24C3"/>
    <w:rsid w:val="00EA2D22"/>
    <w:rsid w:val="00EA31BF"/>
    <w:rsid w:val="00EB121F"/>
    <w:rsid w:val="00EB1403"/>
    <w:rsid w:val="00EC0E25"/>
    <w:rsid w:val="00EC3CCD"/>
    <w:rsid w:val="00EC4250"/>
    <w:rsid w:val="00ED1436"/>
    <w:rsid w:val="00ED17E5"/>
    <w:rsid w:val="00EE2F9B"/>
    <w:rsid w:val="00EF26E9"/>
    <w:rsid w:val="00EF43BD"/>
    <w:rsid w:val="00EF60ED"/>
    <w:rsid w:val="00F0403E"/>
    <w:rsid w:val="00F135FE"/>
    <w:rsid w:val="00F21BCE"/>
    <w:rsid w:val="00F255AE"/>
    <w:rsid w:val="00F267CE"/>
    <w:rsid w:val="00F329E1"/>
    <w:rsid w:val="00F34C32"/>
    <w:rsid w:val="00F40737"/>
    <w:rsid w:val="00F50EEA"/>
    <w:rsid w:val="00F5216D"/>
    <w:rsid w:val="00F53314"/>
    <w:rsid w:val="00F5442E"/>
    <w:rsid w:val="00F54E77"/>
    <w:rsid w:val="00F56FBA"/>
    <w:rsid w:val="00F57383"/>
    <w:rsid w:val="00F65861"/>
    <w:rsid w:val="00F67D52"/>
    <w:rsid w:val="00F70E25"/>
    <w:rsid w:val="00F75218"/>
    <w:rsid w:val="00F77A6E"/>
    <w:rsid w:val="00F80540"/>
    <w:rsid w:val="00F82BCF"/>
    <w:rsid w:val="00FA4E5C"/>
    <w:rsid w:val="00FB737A"/>
    <w:rsid w:val="00FC0F3E"/>
    <w:rsid w:val="00FC1C96"/>
    <w:rsid w:val="00FC6EEB"/>
    <w:rsid w:val="00FD048F"/>
    <w:rsid w:val="00FE625E"/>
    <w:rsid w:val="00FF2B22"/>
    <w:rsid w:val="00FF7F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26012E7E"/>
  <w15:chartTrackingRefBased/>
  <w15:docId w15:val="{93B8D514-57EB-4F1F-9D7D-28F1C112C4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9D1DB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4477F1"/>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4477F1"/>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D1DB2"/>
    <w:rPr>
      <w:b/>
      <w:bCs/>
      <w:kern w:val="44"/>
      <w:sz w:val="44"/>
      <w:szCs w:val="44"/>
    </w:rPr>
  </w:style>
  <w:style w:type="character" w:customStyle="1" w:styleId="30">
    <w:name w:val="标题 3 字符"/>
    <w:basedOn w:val="a0"/>
    <w:link w:val="3"/>
    <w:uiPriority w:val="9"/>
    <w:rsid w:val="004477F1"/>
    <w:rPr>
      <w:b/>
      <w:bCs/>
      <w:sz w:val="32"/>
      <w:szCs w:val="32"/>
    </w:rPr>
  </w:style>
  <w:style w:type="character" w:styleId="a3">
    <w:name w:val="Strong"/>
    <w:basedOn w:val="a0"/>
    <w:uiPriority w:val="22"/>
    <w:qFormat/>
    <w:rsid w:val="004477F1"/>
    <w:rPr>
      <w:b/>
      <w:bCs/>
    </w:rPr>
  </w:style>
  <w:style w:type="paragraph" w:styleId="a4">
    <w:name w:val="Normal (Web)"/>
    <w:basedOn w:val="a"/>
    <w:uiPriority w:val="99"/>
    <w:semiHidden/>
    <w:unhideWhenUsed/>
    <w:rsid w:val="004477F1"/>
    <w:pPr>
      <w:widowControl/>
      <w:spacing w:before="100" w:beforeAutospacing="1" w:after="100" w:afterAutospacing="1"/>
      <w:jc w:val="left"/>
    </w:pPr>
    <w:rPr>
      <w:rFonts w:ascii="宋体" w:eastAsia="宋体" w:hAnsi="宋体" w:cs="宋体"/>
      <w:kern w:val="0"/>
      <w:sz w:val="24"/>
      <w:szCs w:val="24"/>
    </w:rPr>
  </w:style>
  <w:style w:type="character" w:customStyle="1" w:styleId="20">
    <w:name w:val="标题 2 字符"/>
    <w:basedOn w:val="a0"/>
    <w:link w:val="2"/>
    <w:uiPriority w:val="9"/>
    <w:rsid w:val="004477F1"/>
    <w:rPr>
      <w:rFonts w:asciiTheme="majorHAnsi" w:eastAsiaTheme="majorEastAsia" w:hAnsiTheme="majorHAnsi" w:cstheme="majorBidi"/>
      <w:b/>
      <w:bCs/>
      <w:sz w:val="32"/>
      <w:szCs w:val="32"/>
    </w:rPr>
  </w:style>
  <w:style w:type="paragraph" w:styleId="a5">
    <w:name w:val="List Paragraph"/>
    <w:basedOn w:val="a"/>
    <w:uiPriority w:val="34"/>
    <w:qFormat/>
    <w:rsid w:val="007458D7"/>
    <w:pPr>
      <w:ind w:firstLineChars="200" w:firstLine="420"/>
    </w:pPr>
  </w:style>
  <w:style w:type="paragraph" w:styleId="a6">
    <w:name w:val="header"/>
    <w:basedOn w:val="a"/>
    <w:link w:val="a7"/>
    <w:uiPriority w:val="99"/>
    <w:unhideWhenUsed/>
    <w:rsid w:val="005A393A"/>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0"/>
    <w:link w:val="a6"/>
    <w:uiPriority w:val="99"/>
    <w:rsid w:val="005A393A"/>
    <w:rPr>
      <w:sz w:val="18"/>
      <w:szCs w:val="18"/>
    </w:rPr>
  </w:style>
  <w:style w:type="paragraph" w:styleId="a8">
    <w:name w:val="footer"/>
    <w:basedOn w:val="a"/>
    <w:link w:val="a9"/>
    <w:uiPriority w:val="99"/>
    <w:unhideWhenUsed/>
    <w:rsid w:val="005A393A"/>
    <w:pPr>
      <w:tabs>
        <w:tab w:val="center" w:pos="4153"/>
        <w:tab w:val="right" w:pos="8306"/>
      </w:tabs>
      <w:snapToGrid w:val="0"/>
      <w:jc w:val="left"/>
    </w:pPr>
    <w:rPr>
      <w:sz w:val="18"/>
      <w:szCs w:val="18"/>
    </w:rPr>
  </w:style>
  <w:style w:type="character" w:customStyle="1" w:styleId="a9">
    <w:name w:val="页脚 字符"/>
    <w:basedOn w:val="a0"/>
    <w:link w:val="a8"/>
    <w:uiPriority w:val="99"/>
    <w:rsid w:val="005A393A"/>
    <w:rPr>
      <w:sz w:val="18"/>
      <w:szCs w:val="18"/>
    </w:rPr>
  </w:style>
  <w:style w:type="character" w:customStyle="1" w:styleId="katex-mathml">
    <w:name w:val="katex-mathml"/>
    <w:basedOn w:val="a0"/>
    <w:rsid w:val="00B226B8"/>
  </w:style>
  <w:style w:type="character" w:customStyle="1" w:styleId="mord">
    <w:name w:val="mord"/>
    <w:basedOn w:val="a0"/>
    <w:rsid w:val="00B226B8"/>
  </w:style>
  <w:style w:type="character" w:customStyle="1" w:styleId="vlist-s">
    <w:name w:val="vlist-s"/>
    <w:basedOn w:val="a0"/>
    <w:rsid w:val="00B226B8"/>
  </w:style>
  <w:style w:type="character" w:customStyle="1" w:styleId="mrel">
    <w:name w:val="mrel"/>
    <w:basedOn w:val="a0"/>
    <w:rsid w:val="00B226B8"/>
  </w:style>
  <w:style w:type="character" w:customStyle="1" w:styleId="mbin">
    <w:name w:val="mbin"/>
    <w:basedOn w:val="a0"/>
    <w:rsid w:val="00B226B8"/>
  </w:style>
  <w:style w:type="character" w:customStyle="1" w:styleId="mopen">
    <w:name w:val="mopen"/>
    <w:basedOn w:val="a0"/>
    <w:rsid w:val="00B226B8"/>
  </w:style>
  <w:style w:type="character" w:customStyle="1" w:styleId="mclose">
    <w:name w:val="mclose"/>
    <w:basedOn w:val="a0"/>
    <w:rsid w:val="00B226B8"/>
  </w:style>
  <w:style w:type="character" w:styleId="aa">
    <w:name w:val="annotation reference"/>
    <w:basedOn w:val="a0"/>
    <w:uiPriority w:val="99"/>
    <w:semiHidden/>
    <w:unhideWhenUsed/>
    <w:rsid w:val="008D3BE0"/>
    <w:rPr>
      <w:sz w:val="21"/>
      <w:szCs w:val="21"/>
    </w:rPr>
  </w:style>
  <w:style w:type="paragraph" w:styleId="ab">
    <w:name w:val="annotation text"/>
    <w:basedOn w:val="a"/>
    <w:link w:val="ac"/>
    <w:uiPriority w:val="99"/>
    <w:unhideWhenUsed/>
    <w:rsid w:val="008D3BE0"/>
    <w:pPr>
      <w:jc w:val="left"/>
    </w:pPr>
  </w:style>
  <w:style w:type="character" w:customStyle="1" w:styleId="ac">
    <w:name w:val="批注文字 字符"/>
    <w:basedOn w:val="a0"/>
    <w:link w:val="ab"/>
    <w:uiPriority w:val="99"/>
    <w:rsid w:val="008D3BE0"/>
  </w:style>
  <w:style w:type="paragraph" w:styleId="ad">
    <w:name w:val="annotation subject"/>
    <w:basedOn w:val="ab"/>
    <w:next w:val="ab"/>
    <w:link w:val="ae"/>
    <w:uiPriority w:val="99"/>
    <w:semiHidden/>
    <w:unhideWhenUsed/>
    <w:rsid w:val="008D3BE0"/>
    <w:rPr>
      <w:b/>
      <w:bCs/>
    </w:rPr>
  </w:style>
  <w:style w:type="character" w:customStyle="1" w:styleId="ae">
    <w:name w:val="批注主题 字符"/>
    <w:basedOn w:val="ac"/>
    <w:link w:val="ad"/>
    <w:uiPriority w:val="99"/>
    <w:semiHidden/>
    <w:rsid w:val="008D3BE0"/>
    <w:rPr>
      <w:b/>
      <w:bCs/>
    </w:rPr>
  </w:style>
  <w:style w:type="character" w:styleId="af">
    <w:name w:val="Emphasis"/>
    <w:basedOn w:val="a0"/>
    <w:uiPriority w:val="20"/>
    <w:qFormat/>
    <w:rsid w:val="0028252E"/>
    <w:rPr>
      <w:i/>
      <w:iCs/>
    </w:rPr>
  </w:style>
  <w:style w:type="paragraph" w:styleId="HTML">
    <w:name w:val="HTML Preformatted"/>
    <w:basedOn w:val="a"/>
    <w:link w:val="HTML0"/>
    <w:uiPriority w:val="99"/>
    <w:semiHidden/>
    <w:unhideWhenUsed/>
    <w:rsid w:val="006F4D5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0">
    <w:name w:val="HTML 预设格式 字符"/>
    <w:basedOn w:val="a0"/>
    <w:link w:val="HTML"/>
    <w:uiPriority w:val="99"/>
    <w:semiHidden/>
    <w:rsid w:val="006F4D59"/>
    <w:rPr>
      <w:rFonts w:ascii="宋体" w:eastAsia="宋体" w:hAnsi="宋体" w:cs="宋体"/>
      <w:kern w:val="0"/>
      <w:sz w:val="24"/>
      <w:szCs w:val="24"/>
    </w:rPr>
  </w:style>
  <w:style w:type="paragraph" w:customStyle="1" w:styleId="ds-markdown-paragraph">
    <w:name w:val="ds-markdown-paragraph"/>
    <w:basedOn w:val="a"/>
    <w:rsid w:val="007456A3"/>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2597322">
      <w:bodyDiv w:val="1"/>
      <w:marLeft w:val="0"/>
      <w:marRight w:val="0"/>
      <w:marTop w:val="0"/>
      <w:marBottom w:val="0"/>
      <w:divBdr>
        <w:top w:val="none" w:sz="0" w:space="0" w:color="auto"/>
        <w:left w:val="none" w:sz="0" w:space="0" w:color="auto"/>
        <w:bottom w:val="none" w:sz="0" w:space="0" w:color="auto"/>
        <w:right w:val="none" w:sz="0" w:space="0" w:color="auto"/>
      </w:divBdr>
    </w:div>
    <w:div w:id="250547425">
      <w:bodyDiv w:val="1"/>
      <w:marLeft w:val="0"/>
      <w:marRight w:val="0"/>
      <w:marTop w:val="0"/>
      <w:marBottom w:val="0"/>
      <w:divBdr>
        <w:top w:val="none" w:sz="0" w:space="0" w:color="auto"/>
        <w:left w:val="none" w:sz="0" w:space="0" w:color="auto"/>
        <w:bottom w:val="none" w:sz="0" w:space="0" w:color="auto"/>
        <w:right w:val="none" w:sz="0" w:space="0" w:color="auto"/>
      </w:divBdr>
    </w:div>
    <w:div w:id="279797700">
      <w:bodyDiv w:val="1"/>
      <w:marLeft w:val="0"/>
      <w:marRight w:val="0"/>
      <w:marTop w:val="0"/>
      <w:marBottom w:val="0"/>
      <w:divBdr>
        <w:top w:val="none" w:sz="0" w:space="0" w:color="auto"/>
        <w:left w:val="none" w:sz="0" w:space="0" w:color="auto"/>
        <w:bottom w:val="none" w:sz="0" w:space="0" w:color="auto"/>
        <w:right w:val="none" w:sz="0" w:space="0" w:color="auto"/>
      </w:divBdr>
    </w:div>
    <w:div w:id="283315488">
      <w:bodyDiv w:val="1"/>
      <w:marLeft w:val="0"/>
      <w:marRight w:val="0"/>
      <w:marTop w:val="0"/>
      <w:marBottom w:val="0"/>
      <w:divBdr>
        <w:top w:val="none" w:sz="0" w:space="0" w:color="auto"/>
        <w:left w:val="none" w:sz="0" w:space="0" w:color="auto"/>
        <w:bottom w:val="none" w:sz="0" w:space="0" w:color="auto"/>
        <w:right w:val="none" w:sz="0" w:space="0" w:color="auto"/>
      </w:divBdr>
    </w:div>
    <w:div w:id="364184425">
      <w:bodyDiv w:val="1"/>
      <w:marLeft w:val="0"/>
      <w:marRight w:val="0"/>
      <w:marTop w:val="0"/>
      <w:marBottom w:val="0"/>
      <w:divBdr>
        <w:top w:val="none" w:sz="0" w:space="0" w:color="auto"/>
        <w:left w:val="none" w:sz="0" w:space="0" w:color="auto"/>
        <w:bottom w:val="none" w:sz="0" w:space="0" w:color="auto"/>
        <w:right w:val="none" w:sz="0" w:space="0" w:color="auto"/>
      </w:divBdr>
    </w:div>
    <w:div w:id="387529979">
      <w:bodyDiv w:val="1"/>
      <w:marLeft w:val="0"/>
      <w:marRight w:val="0"/>
      <w:marTop w:val="0"/>
      <w:marBottom w:val="0"/>
      <w:divBdr>
        <w:top w:val="none" w:sz="0" w:space="0" w:color="auto"/>
        <w:left w:val="none" w:sz="0" w:space="0" w:color="auto"/>
        <w:bottom w:val="none" w:sz="0" w:space="0" w:color="auto"/>
        <w:right w:val="none" w:sz="0" w:space="0" w:color="auto"/>
      </w:divBdr>
    </w:div>
    <w:div w:id="481191195">
      <w:bodyDiv w:val="1"/>
      <w:marLeft w:val="0"/>
      <w:marRight w:val="0"/>
      <w:marTop w:val="0"/>
      <w:marBottom w:val="0"/>
      <w:divBdr>
        <w:top w:val="none" w:sz="0" w:space="0" w:color="auto"/>
        <w:left w:val="none" w:sz="0" w:space="0" w:color="auto"/>
        <w:bottom w:val="none" w:sz="0" w:space="0" w:color="auto"/>
        <w:right w:val="none" w:sz="0" w:space="0" w:color="auto"/>
      </w:divBdr>
    </w:div>
    <w:div w:id="541401492">
      <w:bodyDiv w:val="1"/>
      <w:marLeft w:val="0"/>
      <w:marRight w:val="0"/>
      <w:marTop w:val="0"/>
      <w:marBottom w:val="0"/>
      <w:divBdr>
        <w:top w:val="none" w:sz="0" w:space="0" w:color="auto"/>
        <w:left w:val="none" w:sz="0" w:space="0" w:color="auto"/>
        <w:bottom w:val="none" w:sz="0" w:space="0" w:color="auto"/>
        <w:right w:val="none" w:sz="0" w:space="0" w:color="auto"/>
      </w:divBdr>
    </w:div>
    <w:div w:id="585722917">
      <w:bodyDiv w:val="1"/>
      <w:marLeft w:val="0"/>
      <w:marRight w:val="0"/>
      <w:marTop w:val="0"/>
      <w:marBottom w:val="0"/>
      <w:divBdr>
        <w:top w:val="none" w:sz="0" w:space="0" w:color="auto"/>
        <w:left w:val="none" w:sz="0" w:space="0" w:color="auto"/>
        <w:bottom w:val="none" w:sz="0" w:space="0" w:color="auto"/>
        <w:right w:val="none" w:sz="0" w:space="0" w:color="auto"/>
      </w:divBdr>
    </w:div>
    <w:div w:id="614940923">
      <w:bodyDiv w:val="1"/>
      <w:marLeft w:val="0"/>
      <w:marRight w:val="0"/>
      <w:marTop w:val="0"/>
      <w:marBottom w:val="0"/>
      <w:divBdr>
        <w:top w:val="none" w:sz="0" w:space="0" w:color="auto"/>
        <w:left w:val="none" w:sz="0" w:space="0" w:color="auto"/>
        <w:bottom w:val="none" w:sz="0" w:space="0" w:color="auto"/>
        <w:right w:val="none" w:sz="0" w:space="0" w:color="auto"/>
      </w:divBdr>
    </w:div>
    <w:div w:id="619921334">
      <w:bodyDiv w:val="1"/>
      <w:marLeft w:val="0"/>
      <w:marRight w:val="0"/>
      <w:marTop w:val="0"/>
      <w:marBottom w:val="0"/>
      <w:divBdr>
        <w:top w:val="none" w:sz="0" w:space="0" w:color="auto"/>
        <w:left w:val="none" w:sz="0" w:space="0" w:color="auto"/>
        <w:bottom w:val="none" w:sz="0" w:space="0" w:color="auto"/>
        <w:right w:val="none" w:sz="0" w:space="0" w:color="auto"/>
      </w:divBdr>
    </w:div>
    <w:div w:id="669332068">
      <w:bodyDiv w:val="1"/>
      <w:marLeft w:val="0"/>
      <w:marRight w:val="0"/>
      <w:marTop w:val="0"/>
      <w:marBottom w:val="0"/>
      <w:divBdr>
        <w:top w:val="none" w:sz="0" w:space="0" w:color="auto"/>
        <w:left w:val="none" w:sz="0" w:space="0" w:color="auto"/>
        <w:bottom w:val="none" w:sz="0" w:space="0" w:color="auto"/>
        <w:right w:val="none" w:sz="0" w:space="0" w:color="auto"/>
      </w:divBdr>
    </w:div>
    <w:div w:id="697242912">
      <w:bodyDiv w:val="1"/>
      <w:marLeft w:val="0"/>
      <w:marRight w:val="0"/>
      <w:marTop w:val="0"/>
      <w:marBottom w:val="0"/>
      <w:divBdr>
        <w:top w:val="none" w:sz="0" w:space="0" w:color="auto"/>
        <w:left w:val="none" w:sz="0" w:space="0" w:color="auto"/>
        <w:bottom w:val="none" w:sz="0" w:space="0" w:color="auto"/>
        <w:right w:val="none" w:sz="0" w:space="0" w:color="auto"/>
      </w:divBdr>
    </w:div>
    <w:div w:id="710494111">
      <w:bodyDiv w:val="1"/>
      <w:marLeft w:val="0"/>
      <w:marRight w:val="0"/>
      <w:marTop w:val="0"/>
      <w:marBottom w:val="0"/>
      <w:divBdr>
        <w:top w:val="none" w:sz="0" w:space="0" w:color="auto"/>
        <w:left w:val="none" w:sz="0" w:space="0" w:color="auto"/>
        <w:bottom w:val="none" w:sz="0" w:space="0" w:color="auto"/>
        <w:right w:val="none" w:sz="0" w:space="0" w:color="auto"/>
      </w:divBdr>
    </w:div>
    <w:div w:id="774325552">
      <w:bodyDiv w:val="1"/>
      <w:marLeft w:val="0"/>
      <w:marRight w:val="0"/>
      <w:marTop w:val="0"/>
      <w:marBottom w:val="0"/>
      <w:divBdr>
        <w:top w:val="none" w:sz="0" w:space="0" w:color="auto"/>
        <w:left w:val="none" w:sz="0" w:space="0" w:color="auto"/>
        <w:bottom w:val="none" w:sz="0" w:space="0" w:color="auto"/>
        <w:right w:val="none" w:sz="0" w:space="0" w:color="auto"/>
      </w:divBdr>
    </w:div>
    <w:div w:id="778331907">
      <w:bodyDiv w:val="1"/>
      <w:marLeft w:val="0"/>
      <w:marRight w:val="0"/>
      <w:marTop w:val="0"/>
      <w:marBottom w:val="0"/>
      <w:divBdr>
        <w:top w:val="none" w:sz="0" w:space="0" w:color="auto"/>
        <w:left w:val="none" w:sz="0" w:space="0" w:color="auto"/>
        <w:bottom w:val="none" w:sz="0" w:space="0" w:color="auto"/>
        <w:right w:val="none" w:sz="0" w:space="0" w:color="auto"/>
      </w:divBdr>
      <w:divsChild>
        <w:div w:id="3182682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7847119">
      <w:bodyDiv w:val="1"/>
      <w:marLeft w:val="0"/>
      <w:marRight w:val="0"/>
      <w:marTop w:val="0"/>
      <w:marBottom w:val="0"/>
      <w:divBdr>
        <w:top w:val="none" w:sz="0" w:space="0" w:color="auto"/>
        <w:left w:val="none" w:sz="0" w:space="0" w:color="auto"/>
        <w:bottom w:val="none" w:sz="0" w:space="0" w:color="auto"/>
        <w:right w:val="none" w:sz="0" w:space="0" w:color="auto"/>
      </w:divBdr>
    </w:div>
    <w:div w:id="834760523">
      <w:bodyDiv w:val="1"/>
      <w:marLeft w:val="0"/>
      <w:marRight w:val="0"/>
      <w:marTop w:val="0"/>
      <w:marBottom w:val="0"/>
      <w:divBdr>
        <w:top w:val="none" w:sz="0" w:space="0" w:color="auto"/>
        <w:left w:val="none" w:sz="0" w:space="0" w:color="auto"/>
        <w:bottom w:val="none" w:sz="0" w:space="0" w:color="auto"/>
        <w:right w:val="none" w:sz="0" w:space="0" w:color="auto"/>
      </w:divBdr>
    </w:div>
    <w:div w:id="867530136">
      <w:bodyDiv w:val="1"/>
      <w:marLeft w:val="0"/>
      <w:marRight w:val="0"/>
      <w:marTop w:val="0"/>
      <w:marBottom w:val="0"/>
      <w:divBdr>
        <w:top w:val="none" w:sz="0" w:space="0" w:color="auto"/>
        <w:left w:val="none" w:sz="0" w:space="0" w:color="auto"/>
        <w:bottom w:val="none" w:sz="0" w:space="0" w:color="auto"/>
        <w:right w:val="none" w:sz="0" w:space="0" w:color="auto"/>
      </w:divBdr>
    </w:div>
    <w:div w:id="903838449">
      <w:bodyDiv w:val="1"/>
      <w:marLeft w:val="0"/>
      <w:marRight w:val="0"/>
      <w:marTop w:val="0"/>
      <w:marBottom w:val="0"/>
      <w:divBdr>
        <w:top w:val="none" w:sz="0" w:space="0" w:color="auto"/>
        <w:left w:val="none" w:sz="0" w:space="0" w:color="auto"/>
        <w:bottom w:val="none" w:sz="0" w:space="0" w:color="auto"/>
        <w:right w:val="none" w:sz="0" w:space="0" w:color="auto"/>
      </w:divBdr>
      <w:divsChild>
        <w:div w:id="1124739573">
          <w:marLeft w:val="0"/>
          <w:marRight w:val="0"/>
          <w:marTop w:val="0"/>
          <w:marBottom w:val="0"/>
          <w:divBdr>
            <w:top w:val="none" w:sz="0" w:space="0" w:color="auto"/>
            <w:left w:val="none" w:sz="0" w:space="0" w:color="auto"/>
            <w:bottom w:val="none" w:sz="0" w:space="0" w:color="auto"/>
            <w:right w:val="none" w:sz="0" w:space="0" w:color="auto"/>
          </w:divBdr>
          <w:divsChild>
            <w:div w:id="1995988096">
              <w:marLeft w:val="0"/>
              <w:marRight w:val="0"/>
              <w:marTop w:val="0"/>
              <w:marBottom w:val="0"/>
              <w:divBdr>
                <w:top w:val="none" w:sz="0" w:space="0" w:color="auto"/>
                <w:left w:val="none" w:sz="0" w:space="0" w:color="auto"/>
                <w:bottom w:val="none" w:sz="0" w:space="0" w:color="auto"/>
                <w:right w:val="none" w:sz="0" w:space="0" w:color="auto"/>
              </w:divBdr>
              <w:divsChild>
                <w:div w:id="1781493270">
                  <w:marLeft w:val="0"/>
                  <w:marRight w:val="0"/>
                  <w:marTop w:val="0"/>
                  <w:marBottom w:val="0"/>
                  <w:divBdr>
                    <w:top w:val="none" w:sz="0" w:space="0" w:color="auto"/>
                    <w:left w:val="none" w:sz="0" w:space="0" w:color="auto"/>
                    <w:bottom w:val="none" w:sz="0" w:space="0" w:color="auto"/>
                    <w:right w:val="none" w:sz="0" w:space="0" w:color="auto"/>
                  </w:divBdr>
                  <w:divsChild>
                    <w:div w:id="772282195">
                      <w:marLeft w:val="0"/>
                      <w:marRight w:val="0"/>
                      <w:marTop w:val="0"/>
                      <w:marBottom w:val="0"/>
                      <w:divBdr>
                        <w:top w:val="none" w:sz="0" w:space="0" w:color="auto"/>
                        <w:left w:val="none" w:sz="0" w:space="0" w:color="auto"/>
                        <w:bottom w:val="none" w:sz="0" w:space="0" w:color="auto"/>
                        <w:right w:val="none" w:sz="0" w:space="0" w:color="auto"/>
                      </w:divBdr>
                      <w:divsChild>
                        <w:div w:id="1488204788">
                          <w:marLeft w:val="0"/>
                          <w:marRight w:val="0"/>
                          <w:marTop w:val="0"/>
                          <w:marBottom w:val="0"/>
                          <w:divBdr>
                            <w:top w:val="none" w:sz="0" w:space="0" w:color="auto"/>
                            <w:left w:val="none" w:sz="0" w:space="0" w:color="auto"/>
                            <w:bottom w:val="none" w:sz="0" w:space="0" w:color="auto"/>
                            <w:right w:val="none" w:sz="0" w:space="0" w:color="auto"/>
                          </w:divBdr>
                          <w:divsChild>
                            <w:div w:id="69540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9644852">
      <w:bodyDiv w:val="1"/>
      <w:marLeft w:val="0"/>
      <w:marRight w:val="0"/>
      <w:marTop w:val="0"/>
      <w:marBottom w:val="0"/>
      <w:divBdr>
        <w:top w:val="none" w:sz="0" w:space="0" w:color="auto"/>
        <w:left w:val="none" w:sz="0" w:space="0" w:color="auto"/>
        <w:bottom w:val="none" w:sz="0" w:space="0" w:color="auto"/>
        <w:right w:val="none" w:sz="0" w:space="0" w:color="auto"/>
      </w:divBdr>
    </w:div>
    <w:div w:id="1332417636">
      <w:bodyDiv w:val="1"/>
      <w:marLeft w:val="0"/>
      <w:marRight w:val="0"/>
      <w:marTop w:val="0"/>
      <w:marBottom w:val="0"/>
      <w:divBdr>
        <w:top w:val="none" w:sz="0" w:space="0" w:color="auto"/>
        <w:left w:val="none" w:sz="0" w:space="0" w:color="auto"/>
        <w:bottom w:val="none" w:sz="0" w:space="0" w:color="auto"/>
        <w:right w:val="none" w:sz="0" w:space="0" w:color="auto"/>
      </w:divBdr>
    </w:div>
    <w:div w:id="1332486640">
      <w:bodyDiv w:val="1"/>
      <w:marLeft w:val="0"/>
      <w:marRight w:val="0"/>
      <w:marTop w:val="0"/>
      <w:marBottom w:val="0"/>
      <w:divBdr>
        <w:top w:val="none" w:sz="0" w:space="0" w:color="auto"/>
        <w:left w:val="none" w:sz="0" w:space="0" w:color="auto"/>
        <w:bottom w:val="none" w:sz="0" w:space="0" w:color="auto"/>
        <w:right w:val="none" w:sz="0" w:space="0" w:color="auto"/>
      </w:divBdr>
    </w:div>
    <w:div w:id="1403486131">
      <w:bodyDiv w:val="1"/>
      <w:marLeft w:val="0"/>
      <w:marRight w:val="0"/>
      <w:marTop w:val="0"/>
      <w:marBottom w:val="0"/>
      <w:divBdr>
        <w:top w:val="none" w:sz="0" w:space="0" w:color="auto"/>
        <w:left w:val="none" w:sz="0" w:space="0" w:color="auto"/>
        <w:bottom w:val="none" w:sz="0" w:space="0" w:color="auto"/>
        <w:right w:val="none" w:sz="0" w:space="0" w:color="auto"/>
      </w:divBdr>
    </w:div>
    <w:div w:id="1641768227">
      <w:bodyDiv w:val="1"/>
      <w:marLeft w:val="0"/>
      <w:marRight w:val="0"/>
      <w:marTop w:val="0"/>
      <w:marBottom w:val="0"/>
      <w:divBdr>
        <w:top w:val="none" w:sz="0" w:space="0" w:color="auto"/>
        <w:left w:val="none" w:sz="0" w:space="0" w:color="auto"/>
        <w:bottom w:val="none" w:sz="0" w:space="0" w:color="auto"/>
        <w:right w:val="none" w:sz="0" w:space="0" w:color="auto"/>
      </w:divBdr>
    </w:div>
    <w:div w:id="1720275176">
      <w:bodyDiv w:val="1"/>
      <w:marLeft w:val="0"/>
      <w:marRight w:val="0"/>
      <w:marTop w:val="0"/>
      <w:marBottom w:val="0"/>
      <w:divBdr>
        <w:top w:val="none" w:sz="0" w:space="0" w:color="auto"/>
        <w:left w:val="none" w:sz="0" w:space="0" w:color="auto"/>
        <w:bottom w:val="none" w:sz="0" w:space="0" w:color="auto"/>
        <w:right w:val="none" w:sz="0" w:space="0" w:color="auto"/>
      </w:divBdr>
      <w:divsChild>
        <w:div w:id="1413434223">
          <w:marLeft w:val="0"/>
          <w:marRight w:val="0"/>
          <w:marTop w:val="0"/>
          <w:marBottom w:val="450"/>
          <w:divBdr>
            <w:top w:val="none" w:sz="0" w:space="0" w:color="auto"/>
            <w:left w:val="none" w:sz="0" w:space="0" w:color="auto"/>
            <w:bottom w:val="none" w:sz="0" w:space="0" w:color="auto"/>
            <w:right w:val="none" w:sz="0" w:space="0" w:color="auto"/>
          </w:divBdr>
        </w:div>
      </w:divsChild>
    </w:div>
    <w:div w:id="1759054424">
      <w:bodyDiv w:val="1"/>
      <w:marLeft w:val="0"/>
      <w:marRight w:val="0"/>
      <w:marTop w:val="0"/>
      <w:marBottom w:val="0"/>
      <w:divBdr>
        <w:top w:val="none" w:sz="0" w:space="0" w:color="auto"/>
        <w:left w:val="none" w:sz="0" w:space="0" w:color="auto"/>
        <w:bottom w:val="none" w:sz="0" w:space="0" w:color="auto"/>
        <w:right w:val="none" w:sz="0" w:space="0" w:color="auto"/>
      </w:divBdr>
    </w:div>
    <w:div w:id="1768118701">
      <w:bodyDiv w:val="1"/>
      <w:marLeft w:val="0"/>
      <w:marRight w:val="0"/>
      <w:marTop w:val="0"/>
      <w:marBottom w:val="0"/>
      <w:divBdr>
        <w:top w:val="none" w:sz="0" w:space="0" w:color="auto"/>
        <w:left w:val="none" w:sz="0" w:space="0" w:color="auto"/>
        <w:bottom w:val="none" w:sz="0" w:space="0" w:color="auto"/>
        <w:right w:val="none" w:sz="0" w:space="0" w:color="auto"/>
      </w:divBdr>
      <w:divsChild>
        <w:div w:id="11681338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72047610">
      <w:bodyDiv w:val="1"/>
      <w:marLeft w:val="0"/>
      <w:marRight w:val="0"/>
      <w:marTop w:val="0"/>
      <w:marBottom w:val="0"/>
      <w:divBdr>
        <w:top w:val="none" w:sz="0" w:space="0" w:color="auto"/>
        <w:left w:val="none" w:sz="0" w:space="0" w:color="auto"/>
        <w:bottom w:val="none" w:sz="0" w:space="0" w:color="auto"/>
        <w:right w:val="none" w:sz="0" w:space="0" w:color="auto"/>
      </w:divBdr>
    </w:div>
    <w:div w:id="1939168692">
      <w:bodyDiv w:val="1"/>
      <w:marLeft w:val="0"/>
      <w:marRight w:val="0"/>
      <w:marTop w:val="0"/>
      <w:marBottom w:val="0"/>
      <w:divBdr>
        <w:top w:val="none" w:sz="0" w:space="0" w:color="auto"/>
        <w:left w:val="none" w:sz="0" w:space="0" w:color="auto"/>
        <w:bottom w:val="none" w:sz="0" w:space="0" w:color="auto"/>
        <w:right w:val="none" w:sz="0" w:space="0" w:color="auto"/>
      </w:divBdr>
    </w:div>
    <w:div w:id="1993025191">
      <w:bodyDiv w:val="1"/>
      <w:marLeft w:val="0"/>
      <w:marRight w:val="0"/>
      <w:marTop w:val="0"/>
      <w:marBottom w:val="0"/>
      <w:divBdr>
        <w:top w:val="none" w:sz="0" w:space="0" w:color="auto"/>
        <w:left w:val="none" w:sz="0" w:space="0" w:color="auto"/>
        <w:bottom w:val="none" w:sz="0" w:space="0" w:color="auto"/>
        <w:right w:val="none" w:sz="0" w:space="0" w:color="auto"/>
      </w:divBdr>
    </w:div>
    <w:div w:id="1994331900">
      <w:bodyDiv w:val="1"/>
      <w:marLeft w:val="0"/>
      <w:marRight w:val="0"/>
      <w:marTop w:val="0"/>
      <w:marBottom w:val="0"/>
      <w:divBdr>
        <w:top w:val="none" w:sz="0" w:space="0" w:color="auto"/>
        <w:left w:val="none" w:sz="0" w:space="0" w:color="auto"/>
        <w:bottom w:val="none" w:sz="0" w:space="0" w:color="auto"/>
        <w:right w:val="none" w:sz="0" w:space="0" w:color="auto"/>
      </w:divBdr>
    </w:div>
    <w:div w:id="20681439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37" Type="http://schemas.openxmlformats.org/officeDocument/2006/relationships/theme" Target="theme/theme1.xml"/><Relationship Id="rId5" Type="http://schemas.openxmlformats.org/officeDocument/2006/relationships/footnotes" Target="footnotes.xml"/><Relationship Id="rId36" Type="http://schemas.openxmlformats.org/officeDocument/2006/relationships/fontTable" Target="fontTable.xml"/><Relationship Id="rId4" Type="http://schemas.openxmlformats.org/officeDocument/2006/relationships/webSettings" Target="webSettings.xml"/><Relationship Id="rId3"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3270</TotalTime>
  <Pages>15</Pages>
  <Words>3518</Words>
  <Characters>20056</Characters>
  <Application>Microsoft Office Word</Application>
  <DocSecurity>0</DocSecurity>
  <Lines>167</Lines>
  <Paragraphs>47</Paragraphs>
  <ScaleCrop>false</ScaleCrop>
  <Company/>
  <LinksUpToDate>false</LinksUpToDate>
  <CharactersWithSpaces>23527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GeoAnchor3D: Responses to Reviewers</dc:title>
  <dc:subject/>
  <dc:creator/>
  <cp:keywords/>
  <dc:description/>
  <cp:lastModifiedBy/>
  <cp:revision>555</cp:revision>
  <dcterms:created xsi:type="dcterms:W3CDTF">2025-11-11T09:58:00Z</dcterms:created>
  <dcterms:modified xsi:type="dcterms:W3CDTF">2026-01-04T21:45:00Z</dcterms:modified>
</cp:coreProperties>
</file>