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2"/>
        <w:keepNext/>
        <w:widowControl/>
        <w:spacing w:before="100" w:beforeAutospacing="1" w:after="100" w:afterAutospacing="1" w:line="360" w:lineRule="auto"/>
        <w:rPr>
          <w:rFonts w:ascii="Times New Roman" w:hAnsi="Times New Roman" w:cs="Times New Roman"/>
          <w:sz w:val="24"/>
          <w:szCs w:val="24"/>
        </w:rPr>
      </w:pPr>
      <w:r>
        <w:rPr>
          <w:rFonts w:ascii="Times New Roman" w:hAnsi="Times New Roman"/>
          <w:b/>
          <w:i w:val="0"/>
          <w:color w:val="000000"/>
          <w:sz w:val="24"/>
          <w:u w:val="none"/>
        </w:rPr>
        <w:t>Response to Reviewer 1</w:t>
      </w:r>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1:</w:t>
      </w:r>
    </w:p>
    <w:p>
      <w:pPr>
        <w:widowControl/>
        <w:jc w:val="left"/>
        <w:rPr>
          <w:rFonts w:ascii="Times New Roman" w:hAnsi="Times New Roman" w:cs="Times New Roman"/>
          <w:szCs w:val="21"/>
        </w:rPr>
      </w:pPr>
      <w:r>
        <w:rPr>
          <w:rFonts w:ascii="Times New Roman" w:hAnsi="Times New Roman"/>
          <w:b w:val="0"/>
          <w:i w:val="0"/>
          <w:color w:val="000000"/>
          <w:sz w:val="21"/>
          <w:u w:val="none"/>
        </w:rPr>
        <w:t>The core geometric encoding used in IGGA (Euclidean distance, azimuth, and elevation angles with sine/cosine encoding) is a well-established technique in 3D point cloud processing and spatial relation reasoning (e.g., the authors cite [5]). While the application of these cues within a per-head gating mechanism is novel, the paper would benefit from a more explicit discussion of what distinguishes the proposed geometric representation from prior work. Specifically, the authors should clarify whether any learnable spatial embeddings were considered (as briefly mentioned in Section V) and why the handcrafted encoding was preferred. A comparative experiment between handcrafted geometric features and learned spatial embeddings would substantiate this design choice.</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comment. Distance and angular encodings are established descriptors; our contribution is their instruction-conditioned, per-head use in object attention. We chose an explicit five-dimensional descriptor to provide a compact, interpretable spatial prior, while retaining a learnable compatibility projection, as formulated in Section III-B. This separates the geometric quantities from the learned way in which they influence attention.</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current experiments examine geometric routing with this descriptor, rather than comparing alternative spatial encoders. We do not claim that handcrafted features outperform learned embeddings. Such a comparison would assess a separate representation choice, which Section V identifies as future work.</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relevant formulation and the discussion of alternative spatial representations are reproduced below. </w:t>
      </w:r>
      <w:r>
        <w:rPr>
          <w:rFonts w:ascii="Times New Roman" w:hAnsi="Times New Roman"/>
          <w:color w:val="C45911"/>
          <w:sz w:val="21"/>
          <w:u w:val="single"/>
        </w:rPr>
        <w:t>[Sections III-B and V]</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R1-C1：图 A：III-B 从 “To ensure angular continuity” 至 “shared across all attention heads”，包含五维描述符、空间掩码公式及可学习矩阵说明（tex 198–212 行）。图 B：V 中从 “In addition, IGGA relies on handcrafted geometric cues” 到 “richer relational reasoning capabilities”（811 行中的两句）。前者是相关公式，并非声称全部为新增内容。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2:</w:t>
      </w:r>
    </w:p>
    <w:p>
      <w:pPr>
        <w:widowControl/>
        <w:jc w:val="left"/>
        <w:rPr>
          <w:rFonts w:ascii="Times New Roman" w:hAnsi="Times New Roman" w:cs="Times New Roman"/>
          <w:szCs w:val="21"/>
        </w:rPr>
      </w:pPr>
      <w:r>
        <w:rPr>
          <w:rFonts w:ascii="Times New Roman" w:hAnsi="Times New Roman"/>
          <w:b w:val="0"/>
          <w:i w:val="0"/>
          <w:color w:val="000000"/>
          <w:sz w:val="21"/>
          <w:u w:val="none"/>
        </w:rPr>
        <w:t>The entire framework relies on Mask3D-generated object proposals as input, which the authors acknowledge as a limitation in Section V. However, the paper does not provide any quantitative analysis of how proposal quality affects downstream performance. A sensitivity analysis—for instance, varying the number of proposals (currently fixed at 100) or evaluating performance under different Mask3D confidence thresholds—would help readers understand the robustness boundary of GeoAnchor3D. Furthermore, the performance on Multi3DRefer, which involves multi-object scenes, may be particularly sensitive to missed or merged proposals, and this should be discussed.</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highlighting proposal sensitivity. Our comparison asks whether geometric regulation improves downstream reasoning given the same detected objects. GeoAnchor3D therefore retains the 100 Mask3D proposals per scene used by Chat-Scene, so its gains are evaluated with predicted proposals rather than oracle objects and cannot be attributed to an improved proposal generator.</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Section V now explains that missed, severely fragmented, or merged proposals limit downstream reasoning. This is particularly relevant to Multi3DRefer, where multiple referred objects must be identified. We acknowledge this dependency; the current comparison does not measure sensitivity to proposal budgets or confidence thresholds.</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revised discussion of proposal limitations is provided below. </w:t>
      </w:r>
      <w:r>
        <w:rPr>
          <w:rFonts w:ascii="Times New Roman" w:hAnsi="Times New Roman"/>
          <w:color w:val="C45911"/>
          <w:sz w:val="21"/>
          <w:u w:val="single"/>
        </w:rPr>
        <w:t>[Section V, Limitations and Future Work]</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R1-C2：截取 V 开头，从 “The performance of GeoAnchor3D still depends” 到 “dynamic proposal generation or open-vocabulary detection”（tex 811 行前半部分）。保留 missed、fragmented、merged 三种情况。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3:</w:t>
      </w:r>
    </w:p>
    <w:p>
      <w:pPr>
        <w:widowControl/>
        <w:jc w:val="left"/>
        <w:rPr>
          <w:rFonts w:ascii="Times New Roman" w:hAnsi="Times New Roman" w:cs="Times New Roman"/>
          <w:szCs w:val="21"/>
        </w:rPr>
      </w:pPr>
      <w:r>
        <w:rPr>
          <w:rFonts w:ascii="Times New Roman" w:hAnsi="Times New Roman"/>
          <w:b w:val="0"/>
          <w:i w:val="0"/>
          <w:color w:val="000000"/>
          <w:sz w:val="21"/>
          <w:u w:val="none"/>
        </w:rPr>
        <w:t>The authors emphasize that GATH introduces no inference overhead, which is a strength. Nevertheless, the training-time cost of GATH and IGGA is not quantified. Specifically, the additional computational burden of (a) computing pairwise spatial masks in IGGA, (b) GATH's horizontal and vertical aggregation over multiple LLM layers, and (c) the gating supervision loss Lgate should be reported in terms of training time or GPU memory compared to the baseline. This information is important for practitioners who may have limited computational resources.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requesting this analysis. The new efficiency comparison in Section IV-C measures both models on one NVIDIA RTX 3090 with batch size 1 and FlashAttention-2. Forward–backward time increases from 547.87 to 553.81 ms per sample (+1.08</w:t>
      </w:r>
      <w:r>
        <w:rPr>
          <w:rFonts w:ascii="Times New Roman" w:hAnsi="Times New Roman"/>
          <w:b w:val="0"/>
          <w:i w:val="0"/>
          <w:color w:val="3427E1"/>
          <w:sz w:val="21"/>
          <w:u w:val="none"/>
        </w:rPr>
        <w:t>%</w:t>
      </w:r>
      <w:r>
        <w:rPr>
          <w:rFonts w:ascii="Times New Roman" w:hAnsi="Times New Roman"/>
          <w:b w:val="0"/>
          <w:i w:val="0"/>
          <w:color w:val="3427E1"/>
          <w:sz w:val="21"/>
          <w:u w:val="none"/>
        </w:rPr>
        <w:t>), and peak allocated training memory increases from 14.920 to 15.164 GiB (+1.63</w:t>
      </w:r>
      <w:r>
        <w:rPr>
          <w:rFonts w:ascii="Times New Roman" w:hAnsi="Times New Roman"/>
          <w:b w:val="0"/>
          <w:i w:val="0"/>
          <w:color w:val="3427E1"/>
          <w:sz w:val="21"/>
          <w:u w:val="none"/>
        </w:rPr>
        <w:t>%</w:t>
      </w:r>
      <w:r>
        <w:rPr>
          <w:rFonts w:ascii="Times New Roman" w:hAnsi="Times New Roman"/>
          <w:b w:val="0"/>
          <w:i w:val="0"/>
          <w:color w:val="3427E1"/>
          <w:sz w:val="21"/>
          <w:u w:val="none"/>
        </w:rPr>
        <w:t>). These measurements exclude data transfer and optimizer updates, so they do not represent full training-step or end-to-end training time.</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 xml:space="preserve">The results quantify the combined cost of IGGA, GATH, and the auxiliary objectives; they do not separately profile spatial-mask computation, GATH aggregation, or </w:t>
      </w:r>
      <w:r>
        <w:rPr>
          <w:rFonts w:ascii="Times New Roman" w:hAnsi="Times New Roman"/>
          <w:b w:val="0"/>
          <w:i w:val="0"/>
          <w:color w:val="3427E1"/>
          <w:sz w:val="21"/>
          <w:u w:val="none"/>
        </w:rPr>
        <w:t>L</w:t>
      </w:r>
      <w:r>
        <w:rPr>
          <w:rFonts w:ascii="Times New Roman" w:hAnsi="Times New Roman"/>
          <w:b w:val="0"/>
          <w:i w:val="0"/>
          <w:color w:val="3427E1"/>
          <w:sz w:val="21"/>
          <w:u w:val="none"/>
          <w:vertAlign w:val="subscript"/>
        </w:rPr>
        <w:t>gate</w:t>
      </w:r>
      <w:r>
        <w:rPr>
          <w:rFonts w:ascii="Times New Roman" w:hAnsi="Times New Roman"/>
          <w:b w:val="0"/>
          <w:i w:val="0"/>
          <w:color w:val="3427E1"/>
          <w:sz w:val="21"/>
          <w:u w:val="none"/>
        </w:rPr>
        <w:t xml:space="preserve">. GATH is removed at inference, whereas IGGA remains active. Please see the table entitled </w:t>
      </w:r>
      <w:r>
        <w:rPr>
          <w:rFonts w:ascii="Times New Roman" w:hAnsi="Times New Roman"/>
          <w:b w:val="0"/>
          <w:i/>
          <w:color w:val="3427E1"/>
          <w:sz w:val="21"/>
          <w:u w:val="none"/>
        </w:rPr>
        <w:t>Efficiency comparison on one NVIDIA RTX 3090</w:t>
      </w:r>
      <w:r>
        <w:rPr>
          <w:rFonts w:ascii="Times New Roman" w:hAnsi="Times New Roman"/>
          <w:b w:val="0"/>
          <w:i w:val="0"/>
          <w:color w:val="3427E1"/>
          <w:sz w:val="21"/>
          <w:u w:val="none"/>
        </w:rPr>
        <w:t>.</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efficiency comparison and the accompanying discussion are reproduced below. </w:t>
      </w:r>
      <w:r>
        <w:rPr>
          <w:rFonts w:ascii="Times New Roman" w:hAnsi="Times New Roman"/>
          <w:color w:val="C45911"/>
          <w:sz w:val="21"/>
          <w:u w:val="single"/>
        </w:rPr>
        <w:t>[Section IV-C, Computational Efficiency]</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R1-C3：图 A：完整效率表及表题 “Efficiency comparison on one NVIDIA RTX 3090”，包含训练和推理设置说明（tab:efficiency，tex 717–748 行）。图 B：Computational Efficiency 两段正文（750–753 行）。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4:</w:t>
      </w:r>
    </w:p>
    <w:p>
      <w:pPr>
        <w:widowControl/>
        <w:jc w:val="left"/>
        <w:rPr>
          <w:rFonts w:ascii="Times New Roman" w:hAnsi="Times New Roman" w:cs="Times New Roman"/>
          <w:szCs w:val="21"/>
        </w:rPr>
      </w:pPr>
      <w:r>
        <w:rPr>
          <w:rFonts w:ascii="Times New Roman" w:hAnsi="Times New Roman"/>
          <w:b w:val="0"/>
          <w:i w:val="0"/>
          <w:color w:val="000000"/>
          <w:sz w:val="21"/>
          <w:u w:val="none"/>
        </w:rPr>
        <w:t>All experiments are conducted with Vicuna-7B-v1.5 as the sole LLM backbone. Given that the proposed modules (IGGA and GATH) are designed to be backbone-agnostic, it is important to validate their effectiveness across different LLM architectures and scales. At minimum, results with LLaMA-2-7B or LLaMA-3-8B would demonstrate generalizability. Additionally, the paper would benefit from experiments with a larger LLM (e.g., Vicuna-13B) to investigate whether the benefits of hierarchical spatial regulation persist or diminish at larger scales, as larger models may inherently exhibit different modality integration behaviors.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testing additional LLM families and scales would establish the scope of transferability more directly. Here, we retain Chat-Scene's Vicuna-7B-v1.5 backbone to evaluate the proposed geometric regulation within the same object-centric framework, without introducing backbone changes into the comparison.</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current results establish effectiveness in this setting, not empirical backbone independence. Section V identifies evaluation with other language-model backbones as future work, and our conclusions are restricted to the evaluated framework and benchmarks.</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corresponding discussion of backbone transferability is reproduced below. </w:t>
      </w:r>
      <w:r>
        <w:rPr>
          <w:rFonts w:ascii="Times New Roman" w:hAnsi="Times New Roman"/>
          <w:color w:val="C45911"/>
          <w:sz w:val="21"/>
          <w:u w:val="single"/>
        </w:rPr>
        <w:t>[Section V, Limitations and Future Work]</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R1-C4：截取 V 中 “In GATH, the selection of intermediate supervision layers is currently predefined” 及紧随的 “Evaluating adaptive layer selection strategies with different language-model backbones…”（tex 811 行中部两句）。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5:</w:t>
      </w:r>
    </w:p>
    <w:p>
      <w:pPr>
        <w:widowControl/>
        <w:jc w:val="left"/>
        <w:rPr>
          <w:rFonts w:ascii="Times New Roman" w:hAnsi="Times New Roman" w:cs="Times New Roman"/>
          <w:szCs w:val="21"/>
        </w:rPr>
      </w:pPr>
      <w:r>
        <w:rPr>
          <w:rFonts w:ascii="Times New Roman" w:hAnsi="Times New Roman"/>
          <w:b w:val="0"/>
          <w:i w:val="0"/>
          <w:color w:val="000000"/>
          <w:sz w:val="21"/>
          <w:u w:val="none"/>
        </w:rPr>
        <w:t>The performance improvements over Chat-Scene, while consistent, are relatively modest in absolute terms (e.g., +1.0</w:t>
      </w:r>
      <w:r>
        <w:rPr>
          <w:rFonts w:ascii="Times New Roman" w:hAnsi="Times New Roman"/>
          <w:b w:val="0"/>
          <w:i w:val="0"/>
          <w:color w:val="000000"/>
          <w:sz w:val="21"/>
          <w:u w:val="none"/>
        </w:rPr>
        <w:t>%</w:t>
      </w:r>
      <w:r>
        <w:rPr>
          <w:rFonts w:ascii="Times New Roman" w:hAnsi="Times New Roman"/>
          <w:b w:val="0"/>
          <w:i w:val="0"/>
          <w:color w:val="000000"/>
          <w:sz w:val="21"/>
          <w:u w:val="none"/>
        </w:rPr>
        <w:t xml:space="preserve"> Acc@0.25 on ScanRefer, +0.9</w:t>
      </w:r>
      <w:r>
        <w:rPr>
          <w:rFonts w:ascii="Times New Roman" w:hAnsi="Times New Roman"/>
          <w:b w:val="0"/>
          <w:i w:val="0"/>
          <w:color w:val="000000"/>
          <w:sz w:val="21"/>
          <w:u w:val="none"/>
        </w:rPr>
        <w:t>%</w:t>
      </w:r>
      <w:r>
        <w:rPr>
          <w:rFonts w:ascii="Times New Roman" w:hAnsi="Times New Roman"/>
          <w:b w:val="0"/>
          <w:i w:val="0"/>
          <w:color w:val="000000"/>
          <w:sz w:val="21"/>
          <w:u w:val="none"/>
        </w:rPr>
        <w:t xml:space="preserve"> Acc@0.5). The paper does not report standard deviations or confidence intervals across multiple runs, making it difficult to assess whether these gains are statistically significant. Given the inherent randomness in LLM fine-tuning with LoRA, the authors should report mean and standard deviation over at least three random seeds. Furthermore, the paper should discuss whether the LoRA rank (16), learning rate schedule, and loss weights (</w:t>
      </w:r>
      <w:r>
        <w:rPr>
          <w:rFonts w:ascii="Times New Roman" w:hAnsi="Times New Roman"/>
          <w:b w:val="0"/>
          <w:i w:val="0"/>
          <w:color w:val="000000"/>
          <w:sz w:val="21"/>
          <w:u w:val="none"/>
        </w:rPr>
        <w:t>λ</w:t>
      </w:r>
      <w:r>
        <w:rPr>
          <w:rFonts w:ascii="Times New Roman" w:hAnsi="Times New Roman"/>
          <w:b w:val="0"/>
          <w:i w:val="0"/>
          <w:color w:val="000000"/>
          <w:sz w:val="21"/>
          <w:u w:val="none"/>
          <w:vertAlign w:val="subscript"/>
        </w:rPr>
        <w:t>gate</w:t>
      </w:r>
      <w:r>
        <w:rPr>
          <w:rFonts w:ascii="Times New Roman" w:hAnsi="Times New Roman"/>
          <w:b w:val="0"/>
          <w:i w:val="0"/>
          <w:color w:val="000000"/>
          <w:sz w:val="21"/>
          <w:u w:val="none"/>
        </w:rPr>
        <w:t xml:space="preserve">=1.0, </w:t>
      </w:r>
      <w:r>
        <w:rPr>
          <w:rFonts w:ascii="Times New Roman" w:hAnsi="Times New Roman"/>
          <w:b w:val="0"/>
          <w:i w:val="0"/>
          <w:color w:val="000000"/>
          <w:sz w:val="21"/>
          <w:u w:val="none"/>
        </w:rPr>
        <w:t>λ</w:t>
      </w:r>
      <w:r>
        <w:rPr>
          <w:rFonts w:ascii="Times New Roman" w:hAnsi="Times New Roman"/>
          <w:b w:val="0"/>
          <w:i w:val="0"/>
          <w:color w:val="000000"/>
          <w:sz w:val="21"/>
          <w:u w:val="none"/>
          <w:vertAlign w:val="subscript"/>
        </w:rPr>
        <w:t>coord</w:t>
      </w:r>
      <w:r>
        <w:rPr>
          <w:rFonts w:ascii="Times New Roman" w:hAnsi="Times New Roman"/>
          <w:b w:val="0"/>
          <w:i w:val="0"/>
          <w:color w:val="000000"/>
          <w:sz w:val="21"/>
          <w:u w:val="none"/>
        </w:rPr>
        <w:t>=0.1) were tuned, and provide sensitivity analyses for these hyperparameters.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color w:val="3427E1"/>
          <w:sz w:val="21"/>
          <w:u w:val="none"/>
        </w:rPr>
        <w:t>[Response pending: three-seed results and the hyperparameter tuning/sensitivity analysis are not provided in the current materials. No statistical-significance claim is made.]</w:t>
      </w:r>
    </w:p>
    <w:p>
      <w:pPr>
        <w:pStyle w:val="2"/>
        <w:keepNext/>
        <w:widowControl/>
        <w:spacing w:before="100" w:beforeAutospacing="1" w:after="100" w:afterAutospacing="1" w:line="360" w:lineRule="auto"/>
        <w:rPr>
          <w:rFonts w:ascii="Times New Roman" w:hAnsi="Times New Roman" w:cs="Times New Roman"/>
          <w:sz w:val="24"/>
          <w:szCs w:val="24"/>
        </w:rPr>
      </w:pPr>
      <w:r>
        <w:rPr>
          <w:rFonts w:ascii="Times New Roman" w:hAnsi="Times New Roman"/>
          <w:b/>
          <w:i w:val="0"/>
          <w:color w:val="000000"/>
          <w:sz w:val="24"/>
          <w:u w:val="none"/>
        </w:rPr>
        <w:t>Response to Reviewer 2</w:t>
      </w:r>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1:</w:t>
      </w:r>
    </w:p>
    <w:p>
      <w:pPr>
        <w:widowControl/>
        <w:jc w:val="left"/>
        <w:rPr>
          <w:rFonts w:ascii="Times New Roman" w:hAnsi="Times New Roman" w:cs="Times New Roman"/>
          <w:szCs w:val="21"/>
        </w:rPr>
      </w:pPr>
      <w:r>
        <w:rPr>
          <w:rFonts w:ascii="Times New Roman" w:hAnsi="Times New Roman"/>
          <w:b w:val="0"/>
          <w:i w:val="0"/>
          <w:color w:val="000000"/>
          <w:sz w:val="21"/>
          <w:u w:val="none"/>
        </w:rPr>
        <w:t xml:space="preserve">The notation for multi-head attention requires further clarification. The current formulations of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sem</w:t>
      </w:r>
      <w:r>
        <w:rPr>
          <w:rFonts w:ascii="Times New Roman" w:hAnsi="Times New Roman"/>
          <w:b w:val="0"/>
          <w:i w:val="0"/>
          <w:color w:val="000000"/>
          <w:sz w:val="21"/>
          <w:u w:val="none"/>
        </w:rPr>
        <w:t xml:space="preserve"> and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fused</w:t>
      </w:r>
      <w:r>
        <w:rPr>
          <w:rFonts w:ascii="Times New Roman" w:hAnsi="Times New Roman"/>
          <w:b w:val="0"/>
          <w:i w:val="0"/>
          <w:color w:val="000000"/>
          <w:sz w:val="21"/>
          <w:u w:val="none"/>
        </w:rPr>
        <w:t xml:space="preserve"> do not explicitly include a head dimension, whereas the gating coefficient is written as </w:t>
      </w:r>
      <w:r>
        <w:rPr>
          <w:rFonts w:ascii="Times New Roman" w:hAnsi="Times New Roman"/>
          <w:b w:val="0"/>
          <w:i w:val="0"/>
          <w:color w:val="000000"/>
          <w:sz w:val="21"/>
          <w:u w:val="none"/>
        </w:rPr>
        <w:t>α</w:t>
      </w:r>
      <w:r>
        <w:rPr>
          <w:rFonts w:ascii="Times New Roman" w:hAnsi="Times New Roman"/>
          <w:b w:val="0"/>
          <w:i w:val="0"/>
          <w:color w:val="000000"/>
          <w:sz w:val="21"/>
          <w:u w:val="none"/>
          <w:vertAlign w:val="subscript"/>
        </w:rPr>
        <w:t>h</w:t>
      </w:r>
      <w:r>
        <w:rPr>
          <w:rFonts w:ascii="Times New Roman" w:hAnsi="Times New Roman"/>
          <w:b w:val="0"/>
          <w:i w:val="0"/>
          <w:color w:val="000000"/>
          <w:sz w:val="21"/>
          <w:u w:val="none"/>
        </w:rPr>
        <w:t xml:space="preserve">. The authors should use consistent head indices for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sem</w:t>
      </w:r>
      <w:r>
        <w:rPr>
          <w:rFonts w:ascii="Times New Roman" w:hAnsi="Times New Roman"/>
          <w:b w:val="0"/>
          <w:i w:val="0"/>
          <w:color w:val="000000"/>
          <w:sz w:val="21"/>
          <w:u w:val="none"/>
        </w:rPr>
        <w:t xml:space="preserve">, </w:t>
      </w:r>
      <w:r>
        <w:rPr>
          <w:rFonts w:ascii="Times New Roman" w:hAnsi="Times New Roman"/>
          <w:b/>
          <w:i w:val="0"/>
          <w:color w:val="000000"/>
          <w:sz w:val="21"/>
          <w:u w:val="none"/>
        </w:rPr>
        <w:t>M</w:t>
      </w:r>
      <w:r>
        <w:rPr>
          <w:rFonts w:ascii="Times New Roman" w:hAnsi="Times New Roman"/>
          <w:b w:val="0"/>
          <w:i w:val="0"/>
          <w:color w:val="000000"/>
          <w:sz w:val="21"/>
          <w:u w:val="none"/>
          <w:vertAlign w:val="subscript"/>
        </w:rPr>
        <w:t>spatial</w:t>
      </w:r>
      <w:r>
        <w:rPr>
          <w:rFonts w:ascii="Times New Roman" w:hAnsi="Times New Roman"/>
          <w:b w:val="0"/>
          <w:i w:val="0"/>
          <w:color w:val="000000"/>
          <w:sz w:val="21"/>
          <w:u w:val="none"/>
        </w:rPr>
        <w:t xml:space="preserve">, and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fused</w:t>
      </w:r>
      <w:r>
        <w:rPr>
          <w:rFonts w:ascii="Times New Roman" w:hAnsi="Times New Roman"/>
          <w:b w:val="0"/>
          <w:i w:val="0"/>
          <w:color w:val="000000"/>
          <w:sz w:val="21"/>
          <w:u w:val="none"/>
        </w:rPr>
        <w:t xml:space="preserve">, and explain the per-head computation, the aggregation of multi-head outputs, and the precise definition of </w:t>
      </w:r>
      <w:r>
        <w:rPr>
          <w:rFonts w:ascii="Times New Roman" w:hAnsi="Times New Roman"/>
          <w:b w:val="0"/>
          <w:i w:val="0"/>
          <w:color w:val="000000"/>
          <w:sz w:val="21"/>
          <w:u w:val="none"/>
        </w:rPr>
        <w:t>Normalize</w:t>
      </w:r>
      <w:r>
        <w:rPr>
          <w:rFonts w:ascii="Times New Roman" w:hAnsi="Times New Roman"/>
          <w:b w:val="0"/>
          <w:i w:val="0"/>
          <w:color w:val="000000"/>
          <w:sz w:val="21"/>
          <w:u w:val="none"/>
        </w:rPr>
        <w:t>(</w:t>
      </w:r>
      <w:r>
        <w:rPr>
          <w:rFonts w:ascii="Times New Roman" w:hAnsi="Times New Roman"/>
          <w:b w:val="0"/>
          <w:i w:val="0"/>
          <w:color w:val="000000"/>
          <w:sz w:val="21"/>
          <w:u w:val="none"/>
        </w:rPr>
        <w:t>∗</w:t>
      </w:r>
      <w:r>
        <w:rPr>
          <w:rFonts w:ascii="Times New Roman" w:hAnsi="Times New Roman"/>
          <w:b w:val="0"/>
          <w:i w:val="0"/>
          <w:color w:val="000000"/>
          <w:sz w:val="21"/>
          <w:u w:val="none"/>
        </w:rPr>
        <w:t>), so that the mathematical formulation fully corresponds to the implementation.</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Thank you for identifying the ambiguity in the IGGA formulation. We have revised the notation to explicitly index the query, key, value, semantic attention, fused attention, and output representations by attention head. We now state that the geometric compatibility matrix is shared across heads, whereas its contribution is controlled by an instruction-conditioned head-specific gate. We have also made the normalization operation after geometric modulation explicit and corrected the inconsistent object indices in the descriptor definition. These revisions align the mathematical description with the implementation and make the information flow through IGGA unambiguous.</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relevant IGGA formulations are reproduced below. </w:t>
      </w:r>
      <w:r>
        <w:rPr>
          <w:rFonts w:ascii="Times New Roman" w:hAnsi="Times New Roman"/>
          <w:color w:val="C45911"/>
          <w:sz w:val="21"/>
          <w:u w:val="single"/>
        </w:rPr>
        <w:t>[Section III-B, Instruction-Aware Geometric Gating Attention]</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R2-C1：按顺序截取相关公式及解释，可拆成三张：A 为逐头 Q/K/V 和语义注意力（tex 164–189 行）；B 为共享空间掩码、门控网络及维度说明（203–212、221–225 行）；C 为有效掩码、融合注意力和输出公式（234–250 行）。以论文当前内容为准，不额外补写 Normalize 定义或多头聚合说明。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2:</w:t>
      </w:r>
    </w:p>
    <w:p>
      <w:pPr>
        <w:widowControl/>
        <w:jc w:val="left"/>
        <w:rPr>
          <w:rFonts w:ascii="Times New Roman" w:hAnsi="Times New Roman" w:cs="Times New Roman"/>
          <w:szCs w:val="21"/>
        </w:rPr>
      </w:pPr>
      <w:r>
        <w:rPr>
          <w:rFonts w:ascii="Times New Roman" w:hAnsi="Times New Roman"/>
          <w:b w:val="0"/>
          <w:i w:val="0"/>
          <w:color w:val="000000"/>
          <w:sz w:val="21"/>
          <w:u w:val="none"/>
        </w:rPr>
        <w:t>The relationship between “instruction-aware” and “task-adaptive” should be clarified. The current gating supervision uses task types as priors. The authors should further explain the relationship between task-type supervision and instruction-content-driven routing.</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clarification. “Instruction-aware” describes the gate input: a pooled instruction embedding predicts the head-specific coefficients. “Task-adaptive” describes their regulation across task demands. During training, task labels supply soft gate targets, while the language modeling objective also optimizes the gates; these are complementary sources of supervision.</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 xml:space="preserve">The new analyses in Section IV-C examine both effects. Removing </w:t>
      </w:r>
      <w:r>
        <w:rPr>
          <w:rFonts w:ascii="Times New Roman" w:hAnsi="Times New Roman"/>
          <w:b w:val="0"/>
          <w:i w:val="0"/>
          <w:color w:val="3427E1"/>
          <w:sz w:val="21"/>
          <w:u w:val="none"/>
        </w:rPr>
        <w:t>L</w:t>
      </w:r>
      <w:r>
        <w:rPr>
          <w:rFonts w:ascii="Times New Roman" w:hAnsi="Times New Roman"/>
          <w:b w:val="0"/>
          <w:i w:val="0"/>
          <w:color w:val="3427E1"/>
          <w:sz w:val="21"/>
          <w:u w:val="none"/>
          <w:vertAlign w:val="subscript"/>
        </w:rPr>
        <w:t>gate</w:t>
      </w:r>
      <w:r>
        <w:rPr>
          <w:rFonts w:ascii="Times New Roman" w:hAnsi="Times New Roman"/>
          <w:b w:val="0"/>
          <w:i w:val="0"/>
          <w:color w:val="3427E1"/>
          <w:sz w:val="21"/>
          <w:u w:val="none"/>
        </w:rPr>
        <w:t xml:space="preserve"> lowers ScanRefer Acc@0.5 from 51.1</w:t>
      </w:r>
      <w:r>
        <w:rPr>
          <w:rFonts w:ascii="Times New Roman" w:hAnsi="Times New Roman"/>
          <w:b w:val="0"/>
          <w:i w:val="0"/>
          <w:color w:val="3427E1"/>
          <w:sz w:val="21"/>
          <w:u w:val="none"/>
        </w:rPr>
        <w:t>%</w:t>
      </w:r>
      <w:r>
        <w:rPr>
          <w:rFonts w:ascii="Times New Roman" w:hAnsi="Times New Roman"/>
          <w:b w:val="0"/>
          <w:i w:val="0"/>
          <w:color w:val="3427E1"/>
          <w:sz w:val="21"/>
          <w:u w:val="none"/>
        </w:rPr>
        <w:t xml:space="preserve"> to 50.9</w:t>
      </w:r>
      <w:r>
        <w:rPr>
          <w:rFonts w:ascii="Times New Roman" w:hAnsi="Times New Roman"/>
          <w:b w:val="0"/>
          <w:i w:val="0"/>
          <w:color w:val="3427E1"/>
          <w:sz w:val="21"/>
          <w:u w:val="none"/>
        </w:rPr>
        <w:t>%</w:t>
      </w:r>
      <w:r>
        <w:rPr>
          <w:rFonts w:ascii="Times New Roman" w:hAnsi="Times New Roman"/>
          <w:b w:val="0"/>
          <w:i w:val="0"/>
          <w:color w:val="3427E1"/>
          <w:sz w:val="21"/>
          <w:u w:val="none"/>
        </w:rPr>
        <w:t xml:space="preserve">. Within ScanRefer, mean gates also vary with instruction content despite a shared task prior. These findings support a coarse task prior with finer within-task variation, rather than routing independent of task supervision. See </w:t>
      </w:r>
      <w:r>
        <w:rPr>
          <w:rFonts w:ascii="Times New Roman" w:hAnsi="Times New Roman"/>
          <w:b w:val="0"/>
          <w:i/>
          <w:color w:val="3427E1"/>
          <w:sz w:val="21"/>
          <w:u w:val="none"/>
        </w:rPr>
        <w:t>Gating Granularity and Supervision</w:t>
      </w:r>
      <w:r>
        <w:rPr>
          <w:rFonts w:ascii="Times New Roman" w:hAnsi="Times New Roman"/>
          <w:b w:val="0"/>
          <w:i w:val="0"/>
          <w:color w:val="3427E1"/>
          <w:sz w:val="21"/>
          <w:u w:val="none"/>
        </w:rPr>
        <w:t xml:space="preserve"> and </w:t>
      </w:r>
      <w:r>
        <w:rPr>
          <w:rFonts w:ascii="Times New Roman" w:hAnsi="Times New Roman"/>
          <w:b w:val="0"/>
          <w:i/>
          <w:color w:val="3427E1"/>
          <w:sz w:val="21"/>
          <w:u w:val="none"/>
        </w:rPr>
        <w:t>Within-Task Gate Variation</w:t>
      </w:r>
      <w:r>
        <w:rPr>
          <w:rFonts w:ascii="Times New Roman" w:hAnsi="Times New Roman"/>
          <w:b w:val="0"/>
          <w:i w:val="0"/>
          <w:color w:val="3427E1"/>
          <w:sz w:val="21"/>
          <w:u w:val="none"/>
        </w:rPr>
        <w:t>.</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added analyses of gate supervision and within-task variation are provided below. </w:t>
      </w:r>
      <w:r>
        <w:rPr>
          <w:rFonts w:ascii="Times New Roman" w:hAnsi="Times New Roman"/>
          <w:color w:val="C45911"/>
          <w:sz w:val="21"/>
          <w:u w:val="single"/>
        </w:rPr>
        <w:t>[Section IV-C, Gating Granularity and Supervision; Within-Task Gate Variation]</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R2-C2：图 A：Gating Granularity and Supervision 中以 “Removing” 开头的段落（tex 543 行）。图 B：完整 “Within-task gate statistics on ScanRefer” 表及 Within-Task Gate Variation 两段（tab:within_task_gating，550–572 行）。表和段落若不相邻，可分开截图。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3:</w:t>
      </w:r>
    </w:p>
    <w:p>
      <w:pPr>
        <w:widowControl/>
        <w:jc w:val="left"/>
        <w:rPr>
          <w:rFonts w:ascii="Times New Roman" w:hAnsi="Times New Roman" w:cs="Times New Roman"/>
          <w:szCs w:val="21"/>
        </w:rPr>
      </w:pPr>
      <w:r>
        <w:rPr>
          <w:rFonts w:ascii="Times New Roman" w:hAnsi="Times New Roman"/>
          <w:b w:val="0"/>
          <w:i w:val="0"/>
          <w:color w:val="000000"/>
          <w:sz w:val="21"/>
          <w:u w:val="none"/>
        </w:rPr>
        <w:t>The advantage of the per-head design could be explained more clearly. Table 3 shows that learnable gating outperforms fixed gating, but it does not isolate the contribution of per-head gating from that of a shared scalar gate.</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suggestion. We added a learnable instruction-conditioned scalar shared by all heads, retaining GATH and the same four-dataset training protocol for all variants. Per-head gating raises ScanRefer Acc@0.5 from 50.6</w:t>
      </w:r>
      <w:r>
        <w:rPr>
          <w:rFonts w:ascii="Times New Roman" w:hAnsi="Times New Roman"/>
          <w:b w:val="0"/>
          <w:i w:val="0"/>
          <w:color w:val="3427E1"/>
          <w:sz w:val="21"/>
          <w:u w:val="none"/>
        </w:rPr>
        <w:t>%</w:t>
      </w:r>
      <w:r>
        <w:rPr>
          <w:rFonts w:ascii="Times New Roman" w:hAnsi="Times New Roman"/>
          <w:b w:val="0"/>
          <w:i w:val="0"/>
          <w:color w:val="3427E1"/>
          <w:sz w:val="21"/>
          <w:u w:val="none"/>
        </w:rPr>
        <w:t xml:space="preserve"> to 51.1</w:t>
      </w:r>
      <w:r>
        <w:rPr>
          <w:rFonts w:ascii="Times New Roman" w:hAnsi="Times New Roman"/>
          <w:b w:val="0"/>
          <w:i w:val="0"/>
          <w:color w:val="3427E1"/>
          <w:sz w:val="21"/>
          <w:u w:val="none"/>
        </w:rPr>
        <w:t>%</w:t>
      </w:r>
      <w:r>
        <w:rPr>
          <w:rFonts w:ascii="Times New Roman" w:hAnsi="Times New Roman"/>
          <w:b w:val="0"/>
          <w:i w:val="0"/>
          <w:color w:val="3427E1"/>
          <w:sz w:val="21"/>
          <w:u w:val="none"/>
        </w:rPr>
        <w:t>, Multi3DRefer F1@0.5 from 54.1</w:t>
      </w:r>
      <w:r>
        <w:rPr>
          <w:rFonts w:ascii="Times New Roman" w:hAnsi="Times New Roman"/>
          <w:b w:val="0"/>
          <w:i w:val="0"/>
          <w:color w:val="3427E1"/>
          <w:sz w:val="21"/>
          <w:u w:val="none"/>
        </w:rPr>
        <w:t>%</w:t>
      </w:r>
      <w:r>
        <w:rPr>
          <w:rFonts w:ascii="Times New Roman" w:hAnsi="Times New Roman"/>
          <w:b w:val="0"/>
          <w:i w:val="0"/>
          <w:color w:val="3427E1"/>
          <w:sz w:val="21"/>
          <w:u w:val="none"/>
        </w:rPr>
        <w:t xml:space="preserve"> to 54.6</w:t>
      </w:r>
      <w:r>
        <w:rPr>
          <w:rFonts w:ascii="Times New Roman" w:hAnsi="Times New Roman"/>
          <w:b w:val="0"/>
          <w:i w:val="0"/>
          <w:color w:val="3427E1"/>
          <w:sz w:val="21"/>
          <w:u w:val="none"/>
        </w:rPr>
        <w:t>%</w:t>
      </w:r>
      <w:r>
        <w:rPr>
          <w:rFonts w:ascii="Times New Roman" w:hAnsi="Times New Roman"/>
          <w:b w:val="0"/>
          <w:i w:val="0"/>
          <w:color w:val="3427E1"/>
          <w:sz w:val="21"/>
          <w:u w:val="none"/>
        </w:rPr>
        <w:t>, and ScanQA CIDEr from 88.6 to 89.9; Scan2Cap CIDEr@0.5 remains 77.2. Since both gates are learnable and instruction-conditioned, this comparison directly tests head granularity.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 xml:space="preserve">The original gating-design ablation was trained on ScanRefer and ScanQA only. The new controlled ablation uses all four datasets jointly, explaining the different reference scores across the two tables. The relevant comparisons are between variants within each training setting. See </w:t>
      </w:r>
      <w:r>
        <w:rPr>
          <w:rFonts w:ascii="Times New Roman" w:hAnsi="Times New Roman"/>
          <w:b w:val="0"/>
          <w:i/>
          <w:color w:val="3427E1"/>
          <w:sz w:val="21"/>
          <w:u w:val="none"/>
        </w:rPr>
        <w:t>Controlled ablation of gating granularity and gate supervision</w:t>
      </w:r>
      <w:r>
        <w:rPr>
          <w:rFonts w:ascii="Times New Roman" w:hAnsi="Times New Roman"/>
          <w:b w:val="0"/>
          <w:i w:val="0"/>
          <w:color w:val="3427E1"/>
          <w:sz w:val="21"/>
          <w:u w:val="none"/>
        </w:rPr>
        <w:t xml:space="preserve"> in Section IV-C.</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controlled ablation and the clarification of the training settings are reproduced below. </w:t>
      </w:r>
      <w:r>
        <w:rPr>
          <w:rFonts w:ascii="Times New Roman" w:hAnsi="Times New Roman"/>
          <w:color w:val="C45911"/>
          <w:sz w:val="21"/>
          <w:u w:val="single"/>
        </w:rPr>
        <w:t>[Section IV-C, Ablation Study]</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R2-C3：图 A：IV-C 开头完整段落，说明两组消融使用的训练数据不同（tex 445 行）。图 B：完整 “Controlled ablation of gating granularity and gate supervision” 表，连同表题和设置说明（tab:gating_granularity_prior，467–510 行）。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4:</w:t>
      </w:r>
    </w:p>
    <w:p>
      <w:pPr>
        <w:widowControl/>
        <w:jc w:val="left"/>
        <w:rPr>
          <w:rFonts w:ascii="Times New Roman" w:hAnsi="Times New Roman" w:cs="Times New Roman"/>
          <w:szCs w:val="21"/>
        </w:rPr>
      </w:pPr>
      <w:r>
        <w:rPr>
          <w:rFonts w:ascii="Times New Roman" w:hAnsi="Times New Roman"/>
          <w:b w:val="0"/>
          <w:i w:val="0"/>
          <w:color w:val="000000"/>
          <w:sz w:val="21"/>
          <w:u w:val="none"/>
        </w:rPr>
        <w:t>The relationship with the underlying framework should be stated more explicitly. The authors should clarify that GeoAnchor3D is built upon a Chat-Scene-style object-level representation framework and more clearly distinguish the proposed method from static fusion approaches.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comment. Section III-A now explicitly identifies the inherited Chat-Scene components: object-centric preprocessing, Mask3D proposals, object identifiers, Uni3D and DINOv2 features, and the language-model interface. IGGA adds instruction-conditioned geometric modulation to object–object attention, while GATH adds coordinate supervision to intermediate LLM representations during training. Unlike fixed fusion, IGGA adjusts geometric modulation by instruction and attention head. The contribution is thus defined within the retained object-centric framework.</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paragraph clarifying the inherited framework and the proposed modules is reproduced below. </w:t>
      </w:r>
      <w:r>
        <w:rPr>
          <w:rFonts w:ascii="Times New Roman" w:hAnsi="Times New Roman"/>
          <w:color w:val="C45911"/>
          <w:sz w:val="21"/>
          <w:u w:val="single"/>
        </w:rPr>
        <w:t>[Section III-A, Overview of GeoAnchor3D]</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R2-C4：截取从 “GeoAnchor3D follows the object-centric scene representation” 到 “the language-model backbone” 的完整蓝色段落（tex 147 行）。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5:</w:t>
      </w:r>
    </w:p>
    <w:p>
      <w:pPr>
        <w:widowControl/>
        <w:jc w:val="left"/>
        <w:rPr>
          <w:rFonts w:ascii="Times New Roman" w:hAnsi="Times New Roman" w:cs="Times New Roman"/>
          <w:szCs w:val="21"/>
        </w:rPr>
      </w:pPr>
      <w:r>
        <w:rPr>
          <w:rFonts w:ascii="Times New Roman" w:hAnsi="Times New Roman"/>
          <w:b w:val="0"/>
          <w:i w:val="0"/>
          <w:color w:val="000000"/>
          <w:sz w:val="21"/>
          <w:u w:val="none"/>
        </w:rPr>
        <w:t>The scope of the conclusions should be appropriately limited. The current evaluation mainly focuses on ScanNet-based indoor scenes and related tasks. The authors should avoid directly extending the conclusions to open-world settings, dynamic environments, or different 3D backbones.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the conclusions must match the evaluation scope. The revised Introduction and Conclusion restrict the empirical findings to the evaluated ScanNet-based indoor benchmarks. Section V explicitly distinguishes within-domain multi-task adaptation from unseen-task and cross-domain generalization, and lists outdoor environments, dynamic scenes, and different 3D backbones as untested directions.</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revised statements defining the evaluation scope are provided below. </w:t>
      </w:r>
      <w:r>
        <w:rPr>
          <w:rFonts w:ascii="Times New Roman" w:hAnsi="Times New Roman"/>
          <w:color w:val="C45911"/>
          <w:sz w:val="21"/>
          <w:u w:val="single"/>
        </w:rPr>
        <w:t>[Sections V and VI]</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R2-C5：图 A：V 中从 “All evaluated benchmarks are derived from ScanNet indoor scenes” 到该节结尾（tex 811 行后半部分）。图 B：Conclusion 最后两句，从 “Experiments on four ScanNet-based benchmarks” 开始（815 行）。 插图后删除本标注。】</w:t>
      </w:r>
    </w:p>
    <w:p>
      <w:pPr>
        <w:pStyle w:val="2"/>
        <w:keepNext/>
        <w:widowControl/>
        <w:spacing w:before="100" w:beforeAutospacing="1" w:after="100" w:afterAutospacing="1" w:line="360" w:lineRule="auto"/>
        <w:rPr>
          <w:rFonts w:ascii="Times New Roman" w:hAnsi="Times New Roman" w:cs="Times New Roman"/>
          <w:sz w:val="24"/>
          <w:szCs w:val="24"/>
        </w:rPr>
      </w:pPr>
      <w:r>
        <w:rPr>
          <w:rFonts w:ascii="Times New Roman" w:hAnsi="Times New Roman"/>
          <w:b/>
          <w:i w:val="0"/>
          <w:color w:val="000000"/>
          <w:sz w:val="24"/>
          <w:u w:val="none"/>
        </w:rPr>
        <w:t>Response to Reviewer 3</w:t>
      </w:r>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1:</w:t>
      </w:r>
    </w:p>
    <w:p>
      <w:pPr>
        <w:widowControl/>
        <w:jc w:val="left"/>
        <w:rPr>
          <w:rFonts w:ascii="Times New Roman" w:hAnsi="Times New Roman" w:cs="Times New Roman"/>
          <w:szCs w:val="21"/>
        </w:rPr>
      </w:pPr>
      <w:r>
        <w:rPr>
          <w:rFonts w:ascii="Times New Roman" w:hAnsi="Times New Roman"/>
          <w:b w:val="0"/>
          <w:i w:val="0"/>
          <w:color w:val="000000"/>
          <w:sz w:val="21"/>
          <w:u w:val="none"/>
        </w:rPr>
        <w:t>The distinction between “instruction-aware” routing and task-type supervision should be clarified more carefully.The paper emphasizes that IGGA adaptively regulates geometric information according to individual instructions. However, during training, the gating coefficients are explicitly encouraged toward for grounding tasks and for question answering and captioning tasks. This raises the question of whether IGGA truly learns fine-grained instruction-level routing, or mainly behaves as an implicit task classifier. The authors are encouraged to include an ablation without L, as well as a finer-grained analysis within the same task category according to instruction spatial complexity.</w:t>
      </w:r>
    </w:p>
    <w:p>
      <w:pPr>
        <w:widowControl/>
        <w:jc w:val="left"/>
        <w:rPr>
          <w:rFonts w:ascii="Times New Roman" w:hAnsi="Times New Roman" w:cs="Times New Roman"/>
          <w:szCs w:val="21"/>
        </w:rPr>
      </w:pPr>
      <w:r>
        <w:rPr>
          <w:rFonts w:ascii="Times New Roman" w:hAnsi="Times New Roman"/>
          <w:b w:val="0"/>
          <w:i/>
          <w:color w:val="000000"/>
          <w:sz w:val="21"/>
          <w:u w:val="none"/>
        </w:rPr>
        <w:t>[Source note: the supplied reviewer comment omits the numerical gate targets and the loss subscript. Check the original review before submission; the missing symbols have not been reconstructed.]</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 xml:space="preserve">We thank the reviewer for proposing these two tests. Section IV-C now reports an ablation without </w:t>
      </w:r>
      <w:r>
        <w:rPr>
          <w:rFonts w:ascii="Times New Roman" w:hAnsi="Times New Roman"/>
          <w:b w:val="0"/>
          <w:i w:val="0"/>
          <w:color w:val="3427E1"/>
          <w:sz w:val="21"/>
          <w:u w:val="none"/>
        </w:rPr>
        <w:t>L</w:t>
      </w:r>
      <w:r>
        <w:rPr>
          <w:rFonts w:ascii="Times New Roman" w:hAnsi="Times New Roman"/>
          <w:b w:val="0"/>
          <w:i w:val="0"/>
          <w:color w:val="3427E1"/>
          <w:sz w:val="21"/>
          <w:u w:val="none"/>
          <w:vertAlign w:val="subscript"/>
        </w:rPr>
        <w:t>gate</w:t>
      </w:r>
      <w:r>
        <w:rPr>
          <w:rFonts w:ascii="Times New Roman" w:hAnsi="Times New Roman"/>
          <w:b w:val="0"/>
          <w:i w:val="0"/>
          <w:color w:val="3427E1"/>
          <w:sz w:val="21"/>
          <w:u w:val="none"/>
        </w:rPr>
        <w:t xml:space="preserve"> and a within-task analysis grouped by the number of explicit spatial relations.</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Without the gate prior, ScanRefer Acc@0.5 and Multi3DRefer F1@0.5 decrease from 51.1</w:t>
      </w:r>
      <w:r>
        <w:rPr>
          <w:rFonts w:ascii="Times New Roman" w:hAnsi="Times New Roman"/>
          <w:b w:val="0"/>
          <w:i w:val="0"/>
          <w:color w:val="3427E1"/>
          <w:sz w:val="21"/>
          <w:u w:val="none"/>
        </w:rPr>
        <w:t>%</w:t>
      </w:r>
      <w:r>
        <w:rPr>
          <w:rFonts w:ascii="Times New Roman" w:hAnsi="Times New Roman"/>
          <w:b w:val="0"/>
          <w:i w:val="0"/>
          <w:color w:val="3427E1"/>
          <w:sz w:val="21"/>
          <w:u w:val="none"/>
        </w:rPr>
        <w:t>/54.6</w:t>
      </w:r>
      <w:r>
        <w:rPr>
          <w:rFonts w:ascii="Times New Roman" w:hAnsi="Times New Roman"/>
          <w:b w:val="0"/>
          <w:i w:val="0"/>
          <w:color w:val="3427E1"/>
          <w:sz w:val="21"/>
          <w:u w:val="none"/>
        </w:rPr>
        <w:t>%</w:t>
      </w:r>
      <w:r>
        <w:rPr>
          <w:rFonts w:ascii="Times New Roman" w:hAnsi="Times New Roman"/>
          <w:b w:val="0"/>
          <w:i w:val="0"/>
          <w:color w:val="3427E1"/>
          <w:sz w:val="21"/>
          <w:u w:val="none"/>
        </w:rPr>
        <w:t xml:space="preserve"> to 50.9</w:t>
      </w:r>
      <w:r>
        <w:rPr>
          <w:rFonts w:ascii="Times New Roman" w:hAnsi="Times New Roman"/>
          <w:b w:val="0"/>
          <w:i w:val="0"/>
          <w:color w:val="3427E1"/>
          <w:sz w:val="21"/>
          <w:u w:val="none"/>
        </w:rPr>
        <w:t>%</w:t>
      </w:r>
      <w:r>
        <w:rPr>
          <w:rFonts w:ascii="Times New Roman" w:hAnsi="Times New Roman"/>
          <w:b w:val="0"/>
          <w:i w:val="0"/>
          <w:color w:val="3427E1"/>
          <w:sz w:val="21"/>
          <w:u w:val="none"/>
        </w:rPr>
        <w:t>/54.4</w:t>
      </w:r>
      <w:r>
        <w:rPr>
          <w:rFonts w:ascii="Times New Roman" w:hAnsi="Times New Roman"/>
          <w:b w:val="0"/>
          <w:i w:val="0"/>
          <w:color w:val="3427E1"/>
          <w:sz w:val="21"/>
          <w:u w:val="none"/>
        </w:rPr>
        <w:t>%</w:t>
      </w:r>
      <w:r>
        <w:rPr>
          <w:rFonts w:ascii="Times New Roman" w:hAnsi="Times New Roman"/>
          <w:b w:val="0"/>
          <w:i w:val="0"/>
          <w:color w:val="3427E1"/>
          <w:sz w:val="21"/>
          <w:u w:val="none"/>
        </w:rPr>
        <w:t>. ScanQA results are mixed: BLEU-4 increases from 14.2 to 14.3, while CIDEr decreases from 89.9 to 89.7. Thus, the prior provides modest benefits in this comparison, but is not necessary for learning useful gates.</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Holding the task fixed on ScanRefer, mean gates are 0.8972, 0.8938, and 0.8846 for zero, one, and at least two explicit relations, respectively. This variation rules out a strictly constant task-level gate, but does not by itself prove fine-grained spatial understanding. Gates remain strongly influenced by the grounding prior, and their decrease with relation count should not be interpreted as reduced need for geometry. Retaining more unrestricted semantic attention is a possible explanation, rather than an established causal result.</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added gate-prior ablation and within-task analysis are reproduced below. </w:t>
      </w:r>
      <w:r>
        <w:rPr>
          <w:rFonts w:ascii="Times New Roman" w:hAnsi="Times New Roman"/>
          <w:color w:val="C45911"/>
          <w:sz w:val="21"/>
          <w:u w:val="single"/>
        </w:rPr>
        <w:t>[Section IV-C, Gating Granularity and Supervision; Within-Task Gate Variation]</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R3-C1：图 A：完整受控门控消融表，包含 w/o gate prior 和 Full per-head 行（tab:gating_granularity_prior，tex 467–510 行）。图 B：完整任务内门控统计表及其两段分析（tab:within_task_gating，550–572 行）。可复用 R2-C3 和 R2-C2 对应截图。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2:</w:t>
      </w:r>
    </w:p>
    <w:p>
      <w:pPr>
        <w:widowControl/>
        <w:jc w:val="left"/>
        <w:rPr>
          <w:rFonts w:ascii="Times New Roman" w:hAnsi="Times New Roman" w:cs="Times New Roman"/>
          <w:szCs w:val="21"/>
        </w:rPr>
      </w:pPr>
      <w:r>
        <w:rPr>
          <w:rFonts w:ascii="Times New Roman" w:hAnsi="Times New Roman"/>
          <w:b w:val="0"/>
          <w:i w:val="0"/>
          <w:color w:val="000000"/>
          <w:sz w:val="21"/>
          <w:u w:val="none"/>
        </w:rPr>
        <w:t>The ablation of the gating mechanism is insufficient to justify the necessity of per-head gating.Table III mainly compares a fixed (</w:t>
      </w:r>
      <w:r>
        <w:rPr>
          <w:rFonts w:ascii="Times New Roman" w:hAnsi="Times New Roman"/>
          <w:b w:val="0"/>
          <w:i w:val="0"/>
          <w:color w:val="000000"/>
          <w:sz w:val="21"/>
          <w:u w:val="none"/>
        </w:rPr>
        <w:t>α</w:t>
      </w:r>
      <w:r>
        <w:rPr>
          <w:rFonts w:ascii="Times New Roman" w:hAnsi="Times New Roman"/>
          <w:b w:val="0"/>
          <w:i w:val="0"/>
          <w:color w:val="000000"/>
          <w:sz w:val="21"/>
          <w:u w:val="none"/>
          <w:vertAlign w:val="subscript"/>
        </w:rPr>
        <w:t>h</w:t>
      </w:r>
      <w:r>
        <w:rPr>
          <w:rFonts w:ascii="Times New Roman" w:hAnsi="Times New Roman"/>
          <w:b w:val="0"/>
          <w:i w:val="0"/>
          <w:color w:val="000000"/>
          <w:sz w:val="21"/>
          <w:u w:val="none"/>
        </w:rPr>
        <w:t>=0.5) strategy with learnable gating. However, one of the key methodological claims is that per-head instruction-conditioned gating is superior to coarse or scalar routing. It would therefore be more convincing to compare scalar instruction-conditioned gating, layer-wise gating, and per-head gating under otherwise identical settings. Such experiments would better isolate whether the gain comes from learnability itself or specifically from the proposed per-head design.</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learnability and head granularity should be separated. The new ablation in Section IV-C retains GATH and jointly trains all variants on the four datasets. Per-head gating improves ten of eleven metrics over a dynamic shared scalar and ties Scan2Cap CIDEr@0.5. Both ScanRefer Acc@0.5 and Multi3DRefer F1@0.5 improve by 0.5 percentage points. Unlike this joint-training experiment, the original fixed-versus-learnable gating comparison used only ScanRefer and ScanQA for training; its scores are therefore not directly comparable across tables.</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scalar control tests granularity at IGGA's existing pre-LLM insertion point. Layer-wise gating would additionally change the insertion points and architecture, so it is not included in this controlled comparison. Our conclusion concerns per-head versus shared-scalar gating at the same location.</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scalar-versus-per-head comparison and its training setting are provided below. </w:t>
      </w:r>
      <w:r>
        <w:rPr>
          <w:rFonts w:ascii="Times New Roman" w:hAnsi="Times New Roman"/>
          <w:color w:val="C45911"/>
          <w:sz w:val="21"/>
          <w:u w:val="single"/>
        </w:rPr>
        <w:t>[Section IV-C, Ablation Study]</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R3-C2：图 A：IV-C 开头关于两组训练数据设置的段落（tex 445 行）。图 B：完整受控门控消融表（tab:gating_granularity_prior，467–510 行）。可复用 R2-C3 截图；不安排尚未开展的 layer-wise gating 实验截图。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3:</w:t>
      </w:r>
    </w:p>
    <w:p>
      <w:pPr>
        <w:widowControl/>
        <w:jc w:val="left"/>
        <w:rPr>
          <w:rFonts w:ascii="Times New Roman" w:hAnsi="Times New Roman" w:cs="Times New Roman"/>
          <w:szCs w:val="21"/>
        </w:rPr>
      </w:pPr>
      <w:r>
        <w:rPr>
          <w:rFonts w:ascii="Times New Roman" w:hAnsi="Times New Roman"/>
          <w:b w:val="0"/>
          <w:i w:val="0"/>
          <w:color w:val="000000"/>
          <w:sz w:val="21"/>
          <w:u w:val="none"/>
        </w:rPr>
        <w:t>The central motivation of “deep-layer geometric forgetting” lacks sufficiently direct quantitative evidence.The manuscript treats progressive geometric degradation in deeper LLM layers as one of its two major motivating problems, and GATH is explicitly designed to address this issue. However, the current evidence is largely conceptual or indirect. The paper would benefit substantially from layer-wise probing experiments, for example predicting object coordinates, relative positions, or spatial relations from hidden states at different depths. A comparison between the baseline and GeoAnchor3D could directly demonstrate whether geometric information indeed decays with depth and whether GATH alleviates this degradation.</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requesting direct evidence. We added independent linear probes for scene-centered object coordinates at layers 4, 8, 12, 16, 20, 24, 28, and 32 of the frozen models, using the same split of 76 training scenes and 24 held-out test scenes.</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GeoAnchor3D obtains lower RMSE and higher mean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at all eight depths. Average RMSE decreases from 1.3352 to 1.0609 (20.55</w:t>
      </w:r>
      <w:r>
        <w:rPr>
          <w:rFonts w:ascii="Times New Roman" w:hAnsi="Times New Roman"/>
          <w:b w:val="0"/>
          <w:i w:val="0"/>
          <w:color w:val="3427E1"/>
          <w:sz w:val="21"/>
          <w:u w:val="none"/>
        </w:rPr>
        <w:t>%</w:t>
      </w:r>
      <w:r>
        <w:rPr>
          <w:rFonts w:ascii="Times New Roman" w:hAnsi="Times New Roman"/>
          <w:b w:val="0"/>
          <w:i w:val="0"/>
          <w:color w:val="3427E1"/>
          <w:sz w:val="21"/>
          <w:u w:val="none"/>
        </w:rPr>
        <w:t>), and mean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increases from -0.0066 to 0.2540. At layer 32,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is 0.1876 versus -0.0489 for Chat-Scene. These results quantify stronger coordinate recoverability throughout the evaluated hierarchy, including deep layers.</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component ablation separately supports GATH's contribution to task performance. The probing experiment evaluates the complete framework and does not isolate GATH or establish strictly monotonic decay. Together, these analyses provide evidence of task benefits and framework-level geometric retention. Both are reported in Section IV-C.</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layer-wise probing results and the separate component ablation are reproduced below. </w:t>
      </w:r>
      <w:r>
        <w:rPr>
          <w:rFonts w:ascii="Times New Roman" w:hAnsi="Times New Roman"/>
          <w:color w:val="C45911"/>
          <w:sz w:val="21"/>
          <w:u w:val="single"/>
        </w:rPr>
        <w:t>[Section IV-C, Layer-Wise Geometric Recoverability; Module Contributions]</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R3-C3：图 A：完整 “Layer-wise linear probing of scene-centered object coordinates” 表及 Layer-Wise Geometric Recoverability 两段，保留冻结模型、场景划分及完整框架证据范围（tab:layerwise_probe，tex 674–711 行）。图 B：完整 IGGA/GATH 组件消融表（tab:final_ablation，418–439 行），用于支持 GATH 的任务贡献。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4:</w:t>
      </w:r>
    </w:p>
    <w:p>
      <w:pPr>
        <w:widowControl/>
        <w:jc w:val="left"/>
        <w:rPr>
          <w:rFonts w:ascii="Times New Roman" w:hAnsi="Times New Roman" w:cs="Times New Roman"/>
          <w:szCs w:val="21"/>
        </w:rPr>
      </w:pPr>
      <w:r>
        <w:rPr>
          <w:rFonts w:ascii="Times New Roman" w:hAnsi="Times New Roman"/>
          <w:b w:val="0"/>
          <w:i w:val="0"/>
          <w:color w:val="000000"/>
          <w:sz w:val="21"/>
          <w:u w:val="none"/>
        </w:rPr>
        <w:t>The justification for selecting intermediate layers for GATH should be strengthened.Table IV suggests that layers 17–24 achieve the best overall performance, but the numerical differences among different layer intervals are relatively small. Without variance estimates, it is difficult to determine whether the claimed inverted-U trend is statistically meaningful or simply caused by training fluctuations. Reporting mean and standard deviation over multiple runs, or validating the same phenomenon with another backbone, would provide stronger support for the argument that intermediate layers offer the optimal balance between geometric fidelity and semantic abstraction.</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the differences among layer intervals are modest. In Section IV-C, we have replaced the description of an inverted-U trend with the statement that performance varies across the selected layer intervals. Layers 17–24 achieve the highest ScanRefer Acc@0.5 (50.7</w:t>
      </w:r>
      <w:r>
        <w:rPr>
          <w:rFonts w:ascii="Times New Roman" w:hAnsi="Times New Roman"/>
          <w:b w:val="0"/>
          <w:i w:val="0"/>
          <w:color w:val="3427E1"/>
          <w:sz w:val="21"/>
          <w:u w:val="none"/>
        </w:rPr>
        <w:t>%</w:t>
      </w:r>
      <w:r>
        <w:rPr>
          <w:rFonts w:ascii="Times New Roman" w:hAnsi="Times New Roman"/>
          <w:b w:val="0"/>
          <w:i w:val="0"/>
          <w:color w:val="3427E1"/>
          <w:sz w:val="21"/>
          <w:u w:val="none"/>
        </w:rPr>
        <w:t>) and ScanQA CIDEr (87.9), although not the highest BLEU-4. These results support the selected interval under the evaluated setting.</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revised description of the layer-interval results is reproduced below. </w:t>
      </w:r>
      <w:r>
        <w:rPr>
          <w:rFonts w:ascii="Times New Roman" w:hAnsi="Times New Roman"/>
          <w:color w:val="C45911"/>
          <w:sz w:val="21"/>
          <w:u w:val="single"/>
        </w:rPr>
        <w:t>[Section IV-C, Feature Extraction Depth]</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R3-C4：截取 Feature Extraction Depth 中从 “Beyond the gating design” 到 “performance varies across the selected layer intervals” 的前三句，包含改后的蓝色句子（tex 598 行）。表中数值已在回复中列出，此处不必重复贴整张层区间表。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5:</w:t>
      </w:r>
    </w:p>
    <w:p>
      <w:pPr>
        <w:widowControl/>
        <w:jc w:val="left"/>
        <w:rPr>
          <w:rFonts w:ascii="Times New Roman" w:hAnsi="Times New Roman" w:cs="Times New Roman"/>
          <w:szCs w:val="21"/>
        </w:rPr>
      </w:pPr>
      <w:r>
        <w:rPr>
          <w:rFonts w:ascii="Times New Roman" w:hAnsi="Times New Roman"/>
          <w:b w:val="0"/>
          <w:i w:val="0"/>
          <w:color w:val="000000"/>
          <w:sz w:val="21"/>
          <w:u w:val="none"/>
        </w:rPr>
        <w:t>The relatively modest improvements over strong baselines warrant statistical stability analysis.For example, GeoAnchor3D improves ScanRefer Acc@0.5 from 50.2 to 51.1 compared with Chat-Scene, while the ScanQA CIDEr score increases from 87.7 to 89.9. At the same time, BLEU-4 is slightly lower on both ScanQA and Scan2Cap. Given the relatively small margins on several metrics, reporting results over multiple random seeds with mean and standard deviation would help establish whether the improvements consistently exceed normal optimization variance.</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color w:val="3427E1"/>
          <w:sz w:val="21"/>
          <w:u w:val="none"/>
        </w:rPr>
        <w:t>[Response pending: results over multiple random seeds are not provided in the current materials. The final response should report mean and standard deviation and retain the lower BLEU-4 results on ScanQA and Scan2Cap.]</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6:</w:t>
      </w:r>
    </w:p>
    <w:p>
      <w:pPr>
        <w:widowControl/>
        <w:jc w:val="left"/>
        <w:rPr>
          <w:rFonts w:ascii="Times New Roman" w:hAnsi="Times New Roman" w:cs="Times New Roman"/>
          <w:szCs w:val="21"/>
        </w:rPr>
      </w:pPr>
      <w:r>
        <w:rPr>
          <w:rFonts w:ascii="Times New Roman" w:hAnsi="Times New Roman"/>
          <w:b w:val="0"/>
          <w:i w:val="0"/>
          <w:color w:val="000000"/>
          <w:sz w:val="21"/>
          <w:u w:val="none"/>
        </w:rPr>
        <w:t>The claim of task-adaptive generalization is stronger than what is currently demonstrated.The evaluation covers grounding, question answering, and dense captioning, which is certainly broader than a single-task setting. However, these task categories are also included during training, so the experiments mainly demonstrate multi-task adaptation rather than genuine unseen-task generalization. A held-out-task experiment, where one task type is excluded during training and evaluated only at test time, would more directly support the claimed cross-task generalization ability.</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evaluating task families included in training does not establish unseen-task generalization. No held-out-task experiment is included in this revision. Section V now explicitly characterizes the results as within-domain multi-task adaptation and identifies held-out-task evaluation as future work. The Conclusion likewise excludes generalization to unseen task families from the supported claims.</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revised statement on unseen-task generalization is reproduced below. </w:t>
      </w:r>
      <w:r>
        <w:rPr>
          <w:rFonts w:ascii="Times New Roman" w:hAnsi="Times New Roman"/>
          <w:color w:val="C45911"/>
          <w:sz w:val="21"/>
          <w:u w:val="single"/>
        </w:rPr>
        <w:t>[Section V, Limitations and Future Work]</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R3-C6：截取 V 中从 “All evaluated benchmarks are derived from ScanNet indoor scenes” 到该节结尾（tex 811 行后半部分），包含训练和评估任务重合、within-domain multi-task adaptation 及 held-out task future work。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7:</w:t>
      </w:r>
    </w:p>
    <w:p>
      <w:pPr>
        <w:widowControl/>
        <w:jc w:val="left"/>
        <w:rPr>
          <w:rFonts w:ascii="Times New Roman" w:hAnsi="Times New Roman" w:cs="Times New Roman"/>
          <w:szCs w:val="21"/>
        </w:rPr>
      </w:pPr>
      <w:r>
        <w:rPr>
          <w:rFonts w:ascii="Times New Roman" w:hAnsi="Times New Roman"/>
          <w:b w:val="0"/>
          <w:i w:val="0"/>
          <w:color w:val="000000"/>
          <w:sz w:val="21"/>
          <w:u w:val="none"/>
        </w:rPr>
        <w:t>Domain generalization emains insufficiently evaluated because all four benchmarks are ScanNet-based.The manuscript evaluates ScanRefer, Multi3DRefer, ScanQA, and Scan2Cap, all of which are built upon ScanNet. Although these datasets represent different tasks, they do not provide strong evidence of scene-domain generalization. Since the proposed method explicitly relies on geometric relationships, evaluation on at least one dataset from a different 3D scene distribution would significantly strengthen the generalization claim. Otherwise, the manuscript should narrow its wording to multi-task generalization within the ScanNet domain.</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task diversity and scene-domain diversity are different. The Datasets paragraph in Section IV-A now states that all four benchmarks share the ScanNet indoor-scene distribution. Accordingly, the Introduction and Conclusion limit the findings to this domain, and Section V identifies cross-domain evaluation as future work. No experiment on a different scene distribution is included in the current revision.</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dataset-domain clarification and the revised conclusion are provided below. </w:t>
      </w:r>
      <w:r>
        <w:rPr>
          <w:rFonts w:ascii="Times New Roman" w:hAnsi="Times New Roman"/>
          <w:color w:val="C45911"/>
          <w:sz w:val="21"/>
          <w:u w:val="single"/>
        </w:rPr>
        <w:t>[Section IV-A, Datasets; Section VI, Conclusion]</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R3-C7：图 A：Datasets 中从 “Although the four benchmarks cover different task formulations” 到 “indoor-scene domain” 的两句蓝字（tex 383 行）。图 B：Conclusion 最后两句蓝字（815 行）。可复用 R2-C5 的结论截图。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8:</w:t>
      </w:r>
    </w:p>
    <w:p>
      <w:pPr>
        <w:widowControl/>
        <w:jc w:val="left"/>
        <w:rPr>
          <w:rFonts w:ascii="Times New Roman" w:hAnsi="Times New Roman" w:cs="Times New Roman"/>
          <w:szCs w:val="21"/>
        </w:rPr>
      </w:pPr>
      <w:r>
        <w:rPr>
          <w:rFonts w:ascii="Times New Roman" w:hAnsi="Times New Roman"/>
          <w:b w:val="0"/>
          <w:i w:val="0"/>
          <w:color w:val="000000"/>
          <w:sz w:val="21"/>
          <w:u w:val="none"/>
        </w:rPr>
        <w:t>The statement regarding “no additional inference overhead” should be made more precise.It is correct that GATH is used only during training and therefore introduces no inference-time cost. However, IGGA remains active during inference and involves the gating network, pairwise spatial masks, and additional attention-based fusion. Therefore, the manuscript should distinguish between “GATH introduces no inference overhead” and “GeoAnchor3D introduces no inference overhead.” The authors should ideally report parameter count, FLOPs, latency, GPU memory usage, or throughput to quantify the actual computational cost of IGGA.</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the zero-inference-overhead statement applies specifically to GATH, which is discarded at inference; IGGA remains active. Section IV-C reports 14.71M additional parameters (+0.216</w:t>
      </w:r>
      <w:r>
        <w:rPr>
          <w:rFonts w:ascii="Times New Roman" w:hAnsi="Times New Roman"/>
          <w:b w:val="0"/>
          <w:i w:val="0"/>
          <w:color w:val="3427E1"/>
          <w:sz w:val="21"/>
          <w:u w:val="none"/>
        </w:rPr>
        <w:t>%</w:t>
      </w:r>
      <w:r>
        <w:rPr>
          <w:rFonts w:ascii="Times New Roman" w:hAnsi="Times New Roman"/>
          <w:b w:val="0"/>
          <w:i w:val="0"/>
          <w:color w:val="3427E1"/>
          <w:sz w:val="21"/>
          <w:u w:val="none"/>
        </w:rPr>
        <w:t>) for the framework and peak allocated inference memory of 14.145 GiB versus 14.090 GiB for Chat-Scene (+0.39</w:t>
      </w:r>
      <w:r>
        <w:rPr>
          <w:rFonts w:ascii="Times New Roman" w:hAnsi="Times New Roman"/>
          <w:b w:val="0"/>
          <w:i w:val="0"/>
          <w:color w:val="3427E1"/>
          <w:sz w:val="21"/>
          <w:u w:val="none"/>
        </w:rPr>
        <w:t>%</w:t>
      </w:r>
      <w:r>
        <w:rPr>
          <w:rFonts w:ascii="Times New Roman" w:hAnsi="Times New Roman"/>
          <w:b w:val="0"/>
          <w:i w:val="0"/>
          <w:color w:val="3427E1"/>
          <w:sz w:val="21"/>
          <w:u w:val="none"/>
        </w:rPr>
        <w:t>).</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Both models are benchmarked with the same inputs and inference configuration: one RTX 3090, batch size 1, FlashAttention-2, and greedy generation of exactly 32 tokens. Measured latency is 1993.78 ms for GeoAnchor3D and 2491.18 ms for Chat-Scene. We report this as a measured result under the controlled benchmark, not an inherent acceleration property of IGGA. Thus, the framework incurs additional parameters and memory, while no latency penalty is observed in this setting.</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efficiency measurements and the clarification of inference-time costs are reproduced below. </w:t>
      </w:r>
      <w:r>
        <w:rPr>
          <w:rFonts w:ascii="Times New Roman" w:hAnsi="Times New Roman"/>
          <w:color w:val="C45911"/>
          <w:sz w:val="21"/>
          <w:u w:val="single"/>
        </w:rPr>
        <w:t>[Section IV-C, Computational Efficiency]</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R3-C8：图 A：完整效率表及表题中的测量设置（tab:efficiency，tex 717–748 行）。图 B：Computational Efficiency 两段，特别保留 “GATH … are not executed, while IGGA remains active” 及相同输入和配置说明（750–753 行）。可复用 R1-C3 截图。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9:</w:t>
      </w:r>
    </w:p>
    <w:p>
      <w:pPr>
        <w:widowControl/>
        <w:jc w:val="left"/>
        <w:rPr>
          <w:rFonts w:ascii="Times New Roman" w:hAnsi="Times New Roman" w:cs="Times New Roman"/>
          <w:szCs w:val="21"/>
        </w:rPr>
      </w:pPr>
      <w:r>
        <w:rPr>
          <w:rFonts w:ascii="Times New Roman" w:hAnsi="Times New Roman"/>
          <w:b w:val="0"/>
          <w:i w:val="0"/>
          <w:color w:val="000000"/>
          <w:sz w:val="21"/>
          <w:u w:val="none"/>
        </w:rPr>
        <w:t>The dependence on Mask3D proposals deserves more systematic robustness analysis.The entire framework relies on 100 object proposals extracted by Mask3D, followed by Uni3D and DINOv2 feature encoding. The authors also acknowledge that proposal quality may become a bottleneck in cluttered, occluded, or open-world environments. It would be useful to evaluate the method under different proposal qualities, for example using ground-truth proposals, alternative proposal generators, or artificially perturbed bounding boxes. Such experiments would reveal whether the gains of IGGA and GATH remain robust when the upstream detector is imperfect.</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these suggestions. The experiments retain Chat-Scene's predicted Mask3D proposals so that the comparison evaluates the proposed reasoning modules under a fixed upstream detector. This tests whether IGGA and GATH provide benefits with the same imperfect object inputs, without confounding those benefits with changes in proposal generation.</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It does not establish robustness across detector qualities. Section V explicitly acknowledges missed, severely fragmented, and merged proposals as limitations of downstream reasoning. Oracle proposals, alternative detectors, and box perturbations would characterize this separate robustness dimension; these experiments are not included, and our claims remain confined to the shared Mask3D setting.</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clarification of the inherited proposals and their limitations is reproduced below. </w:t>
      </w:r>
      <w:r>
        <w:rPr>
          <w:rFonts w:ascii="Times New Roman" w:hAnsi="Times New Roman"/>
          <w:color w:val="C45911"/>
          <w:sz w:val="21"/>
          <w:u w:val="single"/>
        </w:rPr>
        <w:t>[Section III-A, Overview of GeoAnchor3D; Section V, Limitations and Future Work]</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R3-C9：图 A：III-A 从 “GeoAnchor3D follows” 到 “the language-model backbone” 的完整段落（tex 147 行，可复用 R2-C4）。图 B：V 开头至 “dynamic proposal generation or open-vocabulary detection”（811 行，可复用 R1-C2）。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10:</w:t>
      </w:r>
    </w:p>
    <w:p>
      <w:pPr>
        <w:widowControl/>
        <w:jc w:val="left"/>
        <w:rPr>
          <w:rFonts w:ascii="Times New Roman" w:hAnsi="Times New Roman" w:cs="Times New Roman"/>
          <w:szCs w:val="21"/>
        </w:rPr>
      </w:pPr>
      <w:r>
        <w:rPr>
          <w:rFonts w:ascii="Times New Roman" w:hAnsi="Times New Roman"/>
          <w:b w:val="0"/>
          <w:i w:val="0"/>
          <w:color w:val="000000"/>
          <w:sz w:val="21"/>
          <w:u w:val="none"/>
        </w:rPr>
        <w:t>The evidence for topology preservation in GATH should not rely primarily on t-SNE visualization.Figure 8 shows that intermediate-layer representations exhibit clustering patterns related to physical X-axis positions, and this is used as evidence that GATH preserves spatial topology. However, t-SNE is designed mainly for visualization and does not reliably preserve global distances. Quantitative measurements would make this claim much stronger, such as the Spearman correlation between hidden-space distances and physical 3D distances, neighborhood-preservation metrics, relative-position probing accuracy, or linear-probe comparisons between the baseline and GATH-enabled models.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t-SNE should serve as qualitative support rather than a quantitative test of topology preservation. Section IV-C now provides linear coordinate probes: GeoAnchor3D improves RMSE and mean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at every evaluated depth, with average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increasing from -0.0066 to 0.2540. This directly measures coordinate recoverability. The component ablation addresses GATH's task contribution separately; neither analysis is presented as an isolated test of GATH's global-distance preservation.</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revised t-SNE discussion and the quantitative coordinate-probing results are provided below. </w:t>
      </w:r>
      <w:r>
        <w:rPr>
          <w:rFonts w:ascii="Times New Roman" w:hAnsi="Times New Roman"/>
          <w:color w:val="C45911"/>
          <w:sz w:val="21"/>
          <w:u w:val="single"/>
        </w:rPr>
        <w:t>[Section IV-D, Training Dynamics and Feature Geometry; Section IV-C, Layer-Wise Geometric Recoverability]</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R3-C10：图 A：IV-D 从 “To visualize the geometry of the intermediate representations” 开始的完整段落（tex 806 行），包含定性聚类与坐标可恢复性结果的联系。图 B：完整坐标探测表及结果段落（tab:layerwise_probe，674–711 行，可复用 R3-C3 图 A）。无需重复贴原有 t-SNE 图，重点展示修改后的解释。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11:</w:t>
      </w:r>
    </w:p>
    <w:p>
      <w:pPr>
        <w:widowControl/>
        <w:jc w:val="left"/>
        <w:rPr>
          <w:rFonts w:ascii="Times New Roman" w:hAnsi="Times New Roman" w:cs="Times New Roman"/>
          <w:szCs w:val="21"/>
        </w:rPr>
      </w:pPr>
      <w:r>
        <w:rPr>
          <w:rFonts w:ascii="Times New Roman" w:hAnsi="Times New Roman"/>
          <w:b w:val="0"/>
          <w:i w:val="0"/>
          <w:color w:val="000000"/>
          <w:sz w:val="21"/>
          <w:u w:val="none"/>
        </w:rPr>
        <w:t xml:space="preserve">The current references are authoritative; however, the proportion of recent literature is relatively low. It is recommended to incorporate more up-to-date studies published in 2025–2026, particularly from leading conferences and journals such as TGRS, ISPRS. For example: </w:t>
      </w:r>
      <w:r>
        <w:rPr>
          <w:rFonts w:ascii="Times New Roman" w:hAnsi="Times New Roman"/>
          <w:b w:val="0"/>
          <w:i w:val="0"/>
          <w:color w:val="000000"/>
          <w:sz w:val="21"/>
          <w:u w:val="none"/>
        </w:rPr>
        <w:t>https://doi.org/10.1016/j.jag.2026.105251</w:t>
      </w:r>
      <w:r>
        <w:rPr>
          <w:rFonts w:ascii="Times New Roman" w:hAnsi="Times New Roman"/>
          <w:b w:val="0"/>
          <w:i w:val="0"/>
          <w:color w:val="000000"/>
          <w:sz w:val="21"/>
          <w:u w:val="none"/>
        </w:rPr>
        <w:t xml:space="preserve"> ; </w:t>
      </w:r>
      <w:r>
        <w:rPr>
          <w:rFonts w:ascii="Times New Roman" w:hAnsi="Times New Roman"/>
          <w:b w:val="0"/>
          <w:i w:val="0"/>
          <w:color w:val="000000"/>
          <w:sz w:val="21"/>
          <w:u w:val="none"/>
        </w:rPr>
        <w:t>https://doi.org/10.1016/j.isprsjprs.2026.06.041</w:t>
      </w:r>
      <w:r>
        <w:rPr>
          <w:rFonts w:ascii="Times New Roman" w:hAnsi="Times New Roman"/>
          <w:b w:val="0"/>
          <w:i w:val="0"/>
          <w:color w:val="000000"/>
          <w:sz w:val="21"/>
          <w:u w:val="none"/>
        </w:rPr>
        <w:t xml:space="preserve">; </w:t>
      </w:r>
      <w:r>
        <w:rPr>
          <w:rFonts w:ascii="Times New Roman" w:hAnsi="Times New Roman"/>
          <w:b w:val="0"/>
          <w:i w:val="0"/>
          <w:color w:val="000000"/>
          <w:sz w:val="21"/>
          <w:u w:val="none"/>
        </w:rPr>
        <w:t>https://doi.org/10.1016/j.isprsjprs.2026.06.023</w:t>
      </w:r>
      <w:r>
        <w:rPr>
          <w:rFonts w:ascii="Times New Roman" w:hAnsi="Times New Roman"/>
          <w:b w:val="0"/>
          <w:i w:val="0"/>
          <w:color w:val="000000"/>
          <w:sz w:val="21"/>
          <w:u w:val="none"/>
        </w:rPr>
        <w:t>.</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these recommendations. The three suggested studies have been added to Section II-A, extending the discussion of spatial structure to terrain matching, cross-sensor correspondence, and DEM reconstruction. They provide broader geometric context; GeoAnchor3D focuses on instruction-conditioned object interaction for indoor multimodal scene understanding.</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added discussion and the corresponding references are reproduced below. </w:t>
      </w:r>
      <w:r>
        <w:rPr>
          <w:rFonts w:ascii="Times New Roman" w:hAnsi="Times New Roman"/>
          <w:color w:val="C45911"/>
          <w:sz w:val="21"/>
          <w:u w:val="single"/>
        </w:rPr>
        <w:t>[Section II-A, Cross-Modal Scene Understanding; References]</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R3-C11：图 A：II-A 中 “The importance of preserving spatial structure has also been recognized…” 完整蓝色句子及三个引用编号（tex 122 行）。图 B：最终编译 PDF 的 References 中对应的三条完整文献：huang2026underwater、gao2026arctic、huang2026contourlet。引用编号随最终编译结果确定。 插图后删除本标注。】</w:t>
      </w:r>
    </w:p>
    <w:sectPr w:rsidR="00113652" w:rsidRPr="00786E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B2E23" w14:textId="77777777" w:rsidR="00142BFD" w:rsidRDefault="00142BFD" w:rsidP="005A393A">
      <w:r>
        <w:separator/>
      </w:r>
    </w:p>
  </w:endnote>
  <w:endnote w:type="continuationSeparator" w:id="0">
    <w:p w14:paraId="44B9E0FB" w14:textId="77777777" w:rsidR="00142BFD" w:rsidRDefault="00142BFD" w:rsidP="005A3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6BAB4" w14:textId="77777777" w:rsidR="00142BFD" w:rsidRDefault="00142BFD" w:rsidP="005A393A">
      <w:r>
        <w:separator/>
      </w:r>
    </w:p>
  </w:footnote>
  <w:footnote w:type="continuationSeparator" w:id="0">
    <w:p w14:paraId="53DC0410" w14:textId="77777777" w:rsidR="00142BFD" w:rsidRDefault="00142BFD" w:rsidP="005A3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27657"/>
    <w:multiLevelType w:val="hybridMultilevel"/>
    <w:tmpl w:val="8EC0EDA0"/>
    <w:lvl w:ilvl="0" w:tplc="9FF4DD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62B45E2"/>
    <w:multiLevelType w:val="hybridMultilevel"/>
    <w:tmpl w:val="6D721E2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B503C9C"/>
    <w:multiLevelType w:val="hybridMultilevel"/>
    <w:tmpl w:val="EF86A3D4"/>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DCD1491"/>
    <w:multiLevelType w:val="hybridMultilevel"/>
    <w:tmpl w:val="7AC44168"/>
    <w:lvl w:ilvl="0" w:tplc="F5F8E13C">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9A2CE5"/>
    <w:multiLevelType w:val="hybridMultilevel"/>
    <w:tmpl w:val="B85ADDB4"/>
    <w:lvl w:ilvl="0" w:tplc="3AD677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DB0659"/>
    <w:multiLevelType w:val="hybridMultilevel"/>
    <w:tmpl w:val="5362443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1E15514A"/>
    <w:multiLevelType w:val="hybridMultilevel"/>
    <w:tmpl w:val="EC44B142"/>
    <w:lvl w:ilvl="0" w:tplc="55C86D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D7C26D6"/>
    <w:multiLevelType w:val="hybridMultilevel"/>
    <w:tmpl w:val="4948C6AC"/>
    <w:lvl w:ilvl="0" w:tplc="DCFC3C28">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3032A4F"/>
    <w:multiLevelType w:val="multilevel"/>
    <w:tmpl w:val="A2CE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A5EE1"/>
    <w:multiLevelType w:val="hybridMultilevel"/>
    <w:tmpl w:val="1C763ED2"/>
    <w:lvl w:ilvl="0" w:tplc="69A8D948">
      <w:start w:val="1"/>
      <w:numFmt w:val="decimal"/>
      <w:lvlText w:val="%1、"/>
      <w:lvlJc w:val="left"/>
      <w:pPr>
        <w:ind w:left="360" w:hanging="360"/>
      </w:pPr>
      <w:rPr>
        <w:rFonts w:ascii="Times New Roman" w:hAnsi="Times New Roman" w:cs="Times New Roman" w:hint="default"/>
        <w:b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A869E5"/>
    <w:multiLevelType w:val="multilevel"/>
    <w:tmpl w:val="9D3A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E5BBF"/>
    <w:multiLevelType w:val="hybridMultilevel"/>
    <w:tmpl w:val="0A0842A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B6D5588"/>
    <w:multiLevelType w:val="hybridMultilevel"/>
    <w:tmpl w:val="36E421E2"/>
    <w:lvl w:ilvl="0" w:tplc="A74C95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DE51C35"/>
    <w:multiLevelType w:val="hybridMultilevel"/>
    <w:tmpl w:val="FBB4B814"/>
    <w:lvl w:ilvl="0" w:tplc="E81881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5001775B"/>
    <w:multiLevelType w:val="hybridMultilevel"/>
    <w:tmpl w:val="AF68DC46"/>
    <w:lvl w:ilvl="0" w:tplc="AF84DAC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5D543C77"/>
    <w:multiLevelType w:val="hybridMultilevel"/>
    <w:tmpl w:val="BB8697B0"/>
    <w:lvl w:ilvl="0" w:tplc="A1FA5C2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F016A14"/>
    <w:multiLevelType w:val="hybridMultilevel"/>
    <w:tmpl w:val="90EE703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61CE7963"/>
    <w:multiLevelType w:val="hybridMultilevel"/>
    <w:tmpl w:val="4392B75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6293730A"/>
    <w:multiLevelType w:val="hybridMultilevel"/>
    <w:tmpl w:val="AEDCBE00"/>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674100EA"/>
    <w:multiLevelType w:val="multilevel"/>
    <w:tmpl w:val="6F4A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B2618"/>
    <w:multiLevelType w:val="hybridMultilevel"/>
    <w:tmpl w:val="59463046"/>
    <w:lvl w:ilvl="0" w:tplc="F76CB4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9EC239C"/>
    <w:multiLevelType w:val="multilevel"/>
    <w:tmpl w:val="9936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E7AC8"/>
    <w:multiLevelType w:val="hybridMultilevel"/>
    <w:tmpl w:val="15048C4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2"/>
  </w:num>
  <w:num w:numId="2">
    <w:abstractNumId w:val="9"/>
  </w:num>
  <w:num w:numId="3">
    <w:abstractNumId w:val="8"/>
  </w:num>
  <w:num w:numId="4">
    <w:abstractNumId w:val="10"/>
  </w:num>
  <w:num w:numId="5">
    <w:abstractNumId w:val="20"/>
  </w:num>
  <w:num w:numId="6">
    <w:abstractNumId w:val="5"/>
  </w:num>
  <w:num w:numId="7">
    <w:abstractNumId w:val="1"/>
  </w:num>
  <w:num w:numId="8">
    <w:abstractNumId w:val="17"/>
  </w:num>
  <w:num w:numId="9">
    <w:abstractNumId w:val="4"/>
  </w:num>
  <w:num w:numId="10">
    <w:abstractNumId w:val="14"/>
  </w:num>
  <w:num w:numId="11">
    <w:abstractNumId w:val="2"/>
  </w:num>
  <w:num w:numId="12">
    <w:abstractNumId w:val="16"/>
  </w:num>
  <w:num w:numId="13">
    <w:abstractNumId w:val="6"/>
  </w:num>
  <w:num w:numId="14">
    <w:abstractNumId w:val="11"/>
  </w:num>
  <w:num w:numId="15">
    <w:abstractNumId w:val="18"/>
  </w:num>
  <w:num w:numId="16">
    <w:abstractNumId w:val="22"/>
  </w:num>
  <w:num w:numId="17">
    <w:abstractNumId w:val="0"/>
  </w:num>
  <w:num w:numId="18">
    <w:abstractNumId w:val="15"/>
  </w:num>
  <w:num w:numId="19">
    <w:abstractNumId w:val="3"/>
  </w:num>
  <w:num w:numId="20">
    <w:abstractNumId w:val="19"/>
  </w:num>
  <w:num w:numId="21">
    <w:abstractNumId w:val="21"/>
  </w:num>
  <w:num w:numId="22">
    <w:abstractNumId w:val="13"/>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593"/>
    <w:rsid w:val="00000BF9"/>
    <w:rsid w:val="00003383"/>
    <w:rsid w:val="00007CDA"/>
    <w:rsid w:val="00022563"/>
    <w:rsid w:val="00024416"/>
    <w:rsid w:val="000273EF"/>
    <w:rsid w:val="0002752A"/>
    <w:rsid w:val="00027789"/>
    <w:rsid w:val="00031E26"/>
    <w:rsid w:val="00034747"/>
    <w:rsid w:val="000364C0"/>
    <w:rsid w:val="00042978"/>
    <w:rsid w:val="00053160"/>
    <w:rsid w:val="00054D3B"/>
    <w:rsid w:val="00055C1D"/>
    <w:rsid w:val="00060A06"/>
    <w:rsid w:val="00067EDB"/>
    <w:rsid w:val="000731A7"/>
    <w:rsid w:val="00075A78"/>
    <w:rsid w:val="00077B82"/>
    <w:rsid w:val="00095EEB"/>
    <w:rsid w:val="000A38FB"/>
    <w:rsid w:val="000A669D"/>
    <w:rsid w:val="000B35F9"/>
    <w:rsid w:val="000C652B"/>
    <w:rsid w:val="000D3CA6"/>
    <w:rsid w:val="000D67AE"/>
    <w:rsid w:val="000D77F2"/>
    <w:rsid w:val="000D7E96"/>
    <w:rsid w:val="000E06F8"/>
    <w:rsid w:val="000F6BB5"/>
    <w:rsid w:val="001006D5"/>
    <w:rsid w:val="00101308"/>
    <w:rsid w:val="001102F9"/>
    <w:rsid w:val="00111971"/>
    <w:rsid w:val="00113652"/>
    <w:rsid w:val="00122A7C"/>
    <w:rsid w:val="00124EB3"/>
    <w:rsid w:val="00127A36"/>
    <w:rsid w:val="00130396"/>
    <w:rsid w:val="00137652"/>
    <w:rsid w:val="00140728"/>
    <w:rsid w:val="00140F37"/>
    <w:rsid w:val="00141657"/>
    <w:rsid w:val="00142BFD"/>
    <w:rsid w:val="00150999"/>
    <w:rsid w:val="001522F5"/>
    <w:rsid w:val="00152624"/>
    <w:rsid w:val="0015286B"/>
    <w:rsid w:val="00155F59"/>
    <w:rsid w:val="001572F5"/>
    <w:rsid w:val="00157E12"/>
    <w:rsid w:val="0016436E"/>
    <w:rsid w:val="001721E6"/>
    <w:rsid w:val="0017377E"/>
    <w:rsid w:val="00180BCA"/>
    <w:rsid w:val="001876A0"/>
    <w:rsid w:val="001947AF"/>
    <w:rsid w:val="001968A1"/>
    <w:rsid w:val="0019720E"/>
    <w:rsid w:val="001A62E3"/>
    <w:rsid w:val="001B1BF9"/>
    <w:rsid w:val="001B7258"/>
    <w:rsid w:val="001C5530"/>
    <w:rsid w:val="001C6E50"/>
    <w:rsid w:val="001D48C4"/>
    <w:rsid w:val="001E0011"/>
    <w:rsid w:val="001E1CFA"/>
    <w:rsid w:val="001E3CCA"/>
    <w:rsid w:val="001F0047"/>
    <w:rsid w:val="001F1DD2"/>
    <w:rsid w:val="001F4DEB"/>
    <w:rsid w:val="00200F15"/>
    <w:rsid w:val="00202047"/>
    <w:rsid w:val="002067E8"/>
    <w:rsid w:val="00211C47"/>
    <w:rsid w:val="002167E4"/>
    <w:rsid w:val="00222C14"/>
    <w:rsid w:val="0022599F"/>
    <w:rsid w:val="00225BF0"/>
    <w:rsid w:val="002348E8"/>
    <w:rsid w:val="00243730"/>
    <w:rsid w:val="002446BE"/>
    <w:rsid w:val="00244D1C"/>
    <w:rsid w:val="00245757"/>
    <w:rsid w:val="002531E2"/>
    <w:rsid w:val="00263AFA"/>
    <w:rsid w:val="0028252E"/>
    <w:rsid w:val="0028345E"/>
    <w:rsid w:val="00292C4C"/>
    <w:rsid w:val="00292E9C"/>
    <w:rsid w:val="00296BEC"/>
    <w:rsid w:val="0029716B"/>
    <w:rsid w:val="002A6436"/>
    <w:rsid w:val="002A6D2D"/>
    <w:rsid w:val="002B18A6"/>
    <w:rsid w:val="002B404C"/>
    <w:rsid w:val="002B7C9F"/>
    <w:rsid w:val="002D2566"/>
    <w:rsid w:val="002D65E9"/>
    <w:rsid w:val="002E4623"/>
    <w:rsid w:val="002E542E"/>
    <w:rsid w:val="002F0529"/>
    <w:rsid w:val="002F205C"/>
    <w:rsid w:val="002F5F5D"/>
    <w:rsid w:val="00303F55"/>
    <w:rsid w:val="0030731B"/>
    <w:rsid w:val="003109E0"/>
    <w:rsid w:val="00314B91"/>
    <w:rsid w:val="00316BEA"/>
    <w:rsid w:val="003173F1"/>
    <w:rsid w:val="00322019"/>
    <w:rsid w:val="003268B6"/>
    <w:rsid w:val="0034038C"/>
    <w:rsid w:val="00341A8A"/>
    <w:rsid w:val="00341AEE"/>
    <w:rsid w:val="003422BB"/>
    <w:rsid w:val="00342BB0"/>
    <w:rsid w:val="00357BE1"/>
    <w:rsid w:val="003630CA"/>
    <w:rsid w:val="00363C85"/>
    <w:rsid w:val="00364C2A"/>
    <w:rsid w:val="003676BA"/>
    <w:rsid w:val="003719CD"/>
    <w:rsid w:val="00374A91"/>
    <w:rsid w:val="00375A9C"/>
    <w:rsid w:val="00392FD7"/>
    <w:rsid w:val="00394AB1"/>
    <w:rsid w:val="003977E8"/>
    <w:rsid w:val="003B042C"/>
    <w:rsid w:val="003C02DB"/>
    <w:rsid w:val="003C1B77"/>
    <w:rsid w:val="003D0824"/>
    <w:rsid w:val="003D10BA"/>
    <w:rsid w:val="003D119E"/>
    <w:rsid w:val="003D173A"/>
    <w:rsid w:val="003D7B29"/>
    <w:rsid w:val="003E2392"/>
    <w:rsid w:val="003E5E40"/>
    <w:rsid w:val="003F156B"/>
    <w:rsid w:val="00406050"/>
    <w:rsid w:val="004072F2"/>
    <w:rsid w:val="00407460"/>
    <w:rsid w:val="004075C7"/>
    <w:rsid w:val="004124A9"/>
    <w:rsid w:val="0042422C"/>
    <w:rsid w:val="00433943"/>
    <w:rsid w:val="004341E7"/>
    <w:rsid w:val="0044697E"/>
    <w:rsid w:val="004477F1"/>
    <w:rsid w:val="00450D9E"/>
    <w:rsid w:val="004528A3"/>
    <w:rsid w:val="00455399"/>
    <w:rsid w:val="00475800"/>
    <w:rsid w:val="00476A54"/>
    <w:rsid w:val="00481B32"/>
    <w:rsid w:val="00484205"/>
    <w:rsid w:val="00486622"/>
    <w:rsid w:val="004A286D"/>
    <w:rsid w:val="004A4676"/>
    <w:rsid w:val="004B7AA3"/>
    <w:rsid w:val="004C5DF6"/>
    <w:rsid w:val="004D2BE5"/>
    <w:rsid w:val="004D3A56"/>
    <w:rsid w:val="004D414B"/>
    <w:rsid w:val="004D5867"/>
    <w:rsid w:val="004E3EFA"/>
    <w:rsid w:val="004F39FF"/>
    <w:rsid w:val="004F4645"/>
    <w:rsid w:val="004F4C23"/>
    <w:rsid w:val="004F66E1"/>
    <w:rsid w:val="004F681E"/>
    <w:rsid w:val="004F7D08"/>
    <w:rsid w:val="00503627"/>
    <w:rsid w:val="00534F54"/>
    <w:rsid w:val="00552463"/>
    <w:rsid w:val="00555629"/>
    <w:rsid w:val="0055641E"/>
    <w:rsid w:val="00560928"/>
    <w:rsid w:val="005721C3"/>
    <w:rsid w:val="00574231"/>
    <w:rsid w:val="005812C9"/>
    <w:rsid w:val="00581466"/>
    <w:rsid w:val="00581AC5"/>
    <w:rsid w:val="00582BB6"/>
    <w:rsid w:val="00586B7F"/>
    <w:rsid w:val="00590283"/>
    <w:rsid w:val="00592402"/>
    <w:rsid w:val="0059344E"/>
    <w:rsid w:val="0059387A"/>
    <w:rsid w:val="005A393A"/>
    <w:rsid w:val="005A6678"/>
    <w:rsid w:val="005C7425"/>
    <w:rsid w:val="005E29B0"/>
    <w:rsid w:val="005E7B5E"/>
    <w:rsid w:val="005F1788"/>
    <w:rsid w:val="005F188F"/>
    <w:rsid w:val="0060786C"/>
    <w:rsid w:val="00610A0F"/>
    <w:rsid w:val="00614807"/>
    <w:rsid w:val="00621D71"/>
    <w:rsid w:val="00622425"/>
    <w:rsid w:val="00625E8B"/>
    <w:rsid w:val="00627304"/>
    <w:rsid w:val="00633466"/>
    <w:rsid w:val="00633A01"/>
    <w:rsid w:val="0063495C"/>
    <w:rsid w:val="006412FD"/>
    <w:rsid w:val="00641EAC"/>
    <w:rsid w:val="00643DFC"/>
    <w:rsid w:val="00644BBC"/>
    <w:rsid w:val="006547A3"/>
    <w:rsid w:val="00654F42"/>
    <w:rsid w:val="006726E4"/>
    <w:rsid w:val="006727DC"/>
    <w:rsid w:val="00672F7F"/>
    <w:rsid w:val="00675233"/>
    <w:rsid w:val="006758E2"/>
    <w:rsid w:val="00676D8C"/>
    <w:rsid w:val="00681BC4"/>
    <w:rsid w:val="006872DC"/>
    <w:rsid w:val="00696980"/>
    <w:rsid w:val="006A5B96"/>
    <w:rsid w:val="006B0455"/>
    <w:rsid w:val="006B5B96"/>
    <w:rsid w:val="006B659D"/>
    <w:rsid w:val="006B7E02"/>
    <w:rsid w:val="006C3728"/>
    <w:rsid w:val="006C445F"/>
    <w:rsid w:val="006C5AA7"/>
    <w:rsid w:val="006C6AFD"/>
    <w:rsid w:val="006D0BC6"/>
    <w:rsid w:val="006D2F46"/>
    <w:rsid w:val="006D68C2"/>
    <w:rsid w:val="006E3431"/>
    <w:rsid w:val="006F4D59"/>
    <w:rsid w:val="006F5598"/>
    <w:rsid w:val="006F69E7"/>
    <w:rsid w:val="007021BF"/>
    <w:rsid w:val="00702F20"/>
    <w:rsid w:val="00707593"/>
    <w:rsid w:val="00711943"/>
    <w:rsid w:val="00715946"/>
    <w:rsid w:val="00715C76"/>
    <w:rsid w:val="007206AA"/>
    <w:rsid w:val="00720C7C"/>
    <w:rsid w:val="007247F1"/>
    <w:rsid w:val="0073418F"/>
    <w:rsid w:val="00744FB3"/>
    <w:rsid w:val="007456A3"/>
    <w:rsid w:val="007458D7"/>
    <w:rsid w:val="007511FF"/>
    <w:rsid w:val="00751271"/>
    <w:rsid w:val="00756E8B"/>
    <w:rsid w:val="007618BB"/>
    <w:rsid w:val="00764F54"/>
    <w:rsid w:val="00772BC1"/>
    <w:rsid w:val="007770E6"/>
    <w:rsid w:val="00782097"/>
    <w:rsid w:val="00782CD7"/>
    <w:rsid w:val="007855AD"/>
    <w:rsid w:val="00786EC7"/>
    <w:rsid w:val="007A06AE"/>
    <w:rsid w:val="007A3D93"/>
    <w:rsid w:val="007A4789"/>
    <w:rsid w:val="007B03B0"/>
    <w:rsid w:val="007B0D32"/>
    <w:rsid w:val="007B1399"/>
    <w:rsid w:val="007B19A4"/>
    <w:rsid w:val="007B4DC1"/>
    <w:rsid w:val="007C0FB1"/>
    <w:rsid w:val="007C1913"/>
    <w:rsid w:val="007C7848"/>
    <w:rsid w:val="007D008A"/>
    <w:rsid w:val="007D46B4"/>
    <w:rsid w:val="007E5776"/>
    <w:rsid w:val="007F3927"/>
    <w:rsid w:val="007F3BD3"/>
    <w:rsid w:val="007F54D7"/>
    <w:rsid w:val="007F7F34"/>
    <w:rsid w:val="00802E25"/>
    <w:rsid w:val="00803DDC"/>
    <w:rsid w:val="0080518C"/>
    <w:rsid w:val="00811308"/>
    <w:rsid w:val="00811DB0"/>
    <w:rsid w:val="0081741E"/>
    <w:rsid w:val="008328E2"/>
    <w:rsid w:val="00832B22"/>
    <w:rsid w:val="0084606D"/>
    <w:rsid w:val="00846364"/>
    <w:rsid w:val="00853128"/>
    <w:rsid w:val="0085572D"/>
    <w:rsid w:val="00863826"/>
    <w:rsid w:val="0086662E"/>
    <w:rsid w:val="00871DAF"/>
    <w:rsid w:val="00872E38"/>
    <w:rsid w:val="008838D0"/>
    <w:rsid w:val="00886F2C"/>
    <w:rsid w:val="008936F2"/>
    <w:rsid w:val="008941FB"/>
    <w:rsid w:val="008A31A7"/>
    <w:rsid w:val="008A35B1"/>
    <w:rsid w:val="008A54D8"/>
    <w:rsid w:val="008B2728"/>
    <w:rsid w:val="008B27A8"/>
    <w:rsid w:val="008B5999"/>
    <w:rsid w:val="008B6960"/>
    <w:rsid w:val="008B702F"/>
    <w:rsid w:val="008C0098"/>
    <w:rsid w:val="008C0964"/>
    <w:rsid w:val="008C227A"/>
    <w:rsid w:val="008C36EA"/>
    <w:rsid w:val="008D3BE0"/>
    <w:rsid w:val="008E08DD"/>
    <w:rsid w:val="008F1B81"/>
    <w:rsid w:val="008F2D89"/>
    <w:rsid w:val="008F5E02"/>
    <w:rsid w:val="008F7677"/>
    <w:rsid w:val="0090690B"/>
    <w:rsid w:val="00910002"/>
    <w:rsid w:val="00910224"/>
    <w:rsid w:val="00911741"/>
    <w:rsid w:val="00915D84"/>
    <w:rsid w:val="00920211"/>
    <w:rsid w:val="00923864"/>
    <w:rsid w:val="00927336"/>
    <w:rsid w:val="00927AF5"/>
    <w:rsid w:val="00934A70"/>
    <w:rsid w:val="00935B7E"/>
    <w:rsid w:val="00936722"/>
    <w:rsid w:val="009379A9"/>
    <w:rsid w:val="00940AB6"/>
    <w:rsid w:val="0094218D"/>
    <w:rsid w:val="00950E12"/>
    <w:rsid w:val="0095720B"/>
    <w:rsid w:val="0095738B"/>
    <w:rsid w:val="00962A6C"/>
    <w:rsid w:val="00964F4E"/>
    <w:rsid w:val="00972C15"/>
    <w:rsid w:val="00974026"/>
    <w:rsid w:val="009773DF"/>
    <w:rsid w:val="0097760B"/>
    <w:rsid w:val="009A1D2B"/>
    <w:rsid w:val="009A63E8"/>
    <w:rsid w:val="009B12B0"/>
    <w:rsid w:val="009B2CBA"/>
    <w:rsid w:val="009C3C72"/>
    <w:rsid w:val="009D1DB2"/>
    <w:rsid w:val="009D5931"/>
    <w:rsid w:val="009E0020"/>
    <w:rsid w:val="009E18B8"/>
    <w:rsid w:val="009E2A66"/>
    <w:rsid w:val="009E2A6B"/>
    <w:rsid w:val="009E39A7"/>
    <w:rsid w:val="009E527D"/>
    <w:rsid w:val="009E688C"/>
    <w:rsid w:val="009E7B70"/>
    <w:rsid w:val="009F5EA7"/>
    <w:rsid w:val="009F6025"/>
    <w:rsid w:val="00A156F6"/>
    <w:rsid w:val="00A17C72"/>
    <w:rsid w:val="00A2363B"/>
    <w:rsid w:val="00A25369"/>
    <w:rsid w:val="00A32EE5"/>
    <w:rsid w:val="00A37AC8"/>
    <w:rsid w:val="00A4004B"/>
    <w:rsid w:val="00A4213E"/>
    <w:rsid w:val="00A42536"/>
    <w:rsid w:val="00A44BAB"/>
    <w:rsid w:val="00A51AB9"/>
    <w:rsid w:val="00A6321C"/>
    <w:rsid w:val="00A707A7"/>
    <w:rsid w:val="00A72C57"/>
    <w:rsid w:val="00A73FEA"/>
    <w:rsid w:val="00A803CF"/>
    <w:rsid w:val="00A8412F"/>
    <w:rsid w:val="00A85645"/>
    <w:rsid w:val="00A870A2"/>
    <w:rsid w:val="00A9352C"/>
    <w:rsid w:val="00A95023"/>
    <w:rsid w:val="00AA4E0A"/>
    <w:rsid w:val="00AA56ED"/>
    <w:rsid w:val="00AA5B42"/>
    <w:rsid w:val="00AA70CB"/>
    <w:rsid w:val="00AB0385"/>
    <w:rsid w:val="00AB0428"/>
    <w:rsid w:val="00AB0E4A"/>
    <w:rsid w:val="00AB2054"/>
    <w:rsid w:val="00AB76B8"/>
    <w:rsid w:val="00AC47E8"/>
    <w:rsid w:val="00AC7D72"/>
    <w:rsid w:val="00AD0218"/>
    <w:rsid w:val="00AD0E8A"/>
    <w:rsid w:val="00AD2037"/>
    <w:rsid w:val="00AD2098"/>
    <w:rsid w:val="00AE1C45"/>
    <w:rsid w:val="00AE77D1"/>
    <w:rsid w:val="00AF0761"/>
    <w:rsid w:val="00AF6E6B"/>
    <w:rsid w:val="00B03E54"/>
    <w:rsid w:val="00B10D66"/>
    <w:rsid w:val="00B13B4D"/>
    <w:rsid w:val="00B146C3"/>
    <w:rsid w:val="00B15FA0"/>
    <w:rsid w:val="00B16872"/>
    <w:rsid w:val="00B16F42"/>
    <w:rsid w:val="00B226B8"/>
    <w:rsid w:val="00B30BC0"/>
    <w:rsid w:val="00B322AF"/>
    <w:rsid w:val="00B33462"/>
    <w:rsid w:val="00B35045"/>
    <w:rsid w:val="00B4047C"/>
    <w:rsid w:val="00B40DA8"/>
    <w:rsid w:val="00B5010C"/>
    <w:rsid w:val="00B5682A"/>
    <w:rsid w:val="00B56BC0"/>
    <w:rsid w:val="00B57F11"/>
    <w:rsid w:val="00B64AC7"/>
    <w:rsid w:val="00B66024"/>
    <w:rsid w:val="00B679BC"/>
    <w:rsid w:val="00B70168"/>
    <w:rsid w:val="00B70603"/>
    <w:rsid w:val="00B71303"/>
    <w:rsid w:val="00B7403E"/>
    <w:rsid w:val="00B77906"/>
    <w:rsid w:val="00B822DE"/>
    <w:rsid w:val="00B8328C"/>
    <w:rsid w:val="00B83768"/>
    <w:rsid w:val="00B83DFB"/>
    <w:rsid w:val="00B851FB"/>
    <w:rsid w:val="00B900AC"/>
    <w:rsid w:val="00B94106"/>
    <w:rsid w:val="00B94B9A"/>
    <w:rsid w:val="00B966A5"/>
    <w:rsid w:val="00BA3CCA"/>
    <w:rsid w:val="00BA3EC4"/>
    <w:rsid w:val="00BA57E9"/>
    <w:rsid w:val="00BD0A23"/>
    <w:rsid w:val="00BD79C6"/>
    <w:rsid w:val="00BE187B"/>
    <w:rsid w:val="00BE3737"/>
    <w:rsid w:val="00BF1378"/>
    <w:rsid w:val="00C031E7"/>
    <w:rsid w:val="00C102D6"/>
    <w:rsid w:val="00C1444E"/>
    <w:rsid w:val="00C217DB"/>
    <w:rsid w:val="00C25BD2"/>
    <w:rsid w:val="00C301B0"/>
    <w:rsid w:val="00C33F61"/>
    <w:rsid w:val="00C4232E"/>
    <w:rsid w:val="00C43A48"/>
    <w:rsid w:val="00C52298"/>
    <w:rsid w:val="00C52DE0"/>
    <w:rsid w:val="00C54D4C"/>
    <w:rsid w:val="00C54E19"/>
    <w:rsid w:val="00C55ABF"/>
    <w:rsid w:val="00C60F2B"/>
    <w:rsid w:val="00C713A6"/>
    <w:rsid w:val="00C7357A"/>
    <w:rsid w:val="00C77C18"/>
    <w:rsid w:val="00C909ED"/>
    <w:rsid w:val="00C935A6"/>
    <w:rsid w:val="00C9773C"/>
    <w:rsid w:val="00CA268A"/>
    <w:rsid w:val="00CA44A3"/>
    <w:rsid w:val="00CB6774"/>
    <w:rsid w:val="00CC213B"/>
    <w:rsid w:val="00CC29A9"/>
    <w:rsid w:val="00CC731C"/>
    <w:rsid w:val="00CC7EAE"/>
    <w:rsid w:val="00CD100A"/>
    <w:rsid w:val="00CD4E9B"/>
    <w:rsid w:val="00CE27BE"/>
    <w:rsid w:val="00CE50E4"/>
    <w:rsid w:val="00CE5EC6"/>
    <w:rsid w:val="00CE66E4"/>
    <w:rsid w:val="00CE6C71"/>
    <w:rsid w:val="00CF2E32"/>
    <w:rsid w:val="00CF30F7"/>
    <w:rsid w:val="00CF71F8"/>
    <w:rsid w:val="00D02B05"/>
    <w:rsid w:val="00D12BCA"/>
    <w:rsid w:val="00D17823"/>
    <w:rsid w:val="00D22D96"/>
    <w:rsid w:val="00D257FE"/>
    <w:rsid w:val="00D32560"/>
    <w:rsid w:val="00D3561F"/>
    <w:rsid w:val="00D43E52"/>
    <w:rsid w:val="00D45C13"/>
    <w:rsid w:val="00D472DC"/>
    <w:rsid w:val="00D5179B"/>
    <w:rsid w:val="00D540D5"/>
    <w:rsid w:val="00D548D1"/>
    <w:rsid w:val="00D57D7C"/>
    <w:rsid w:val="00D62084"/>
    <w:rsid w:val="00D66B2E"/>
    <w:rsid w:val="00D67B85"/>
    <w:rsid w:val="00D707FB"/>
    <w:rsid w:val="00D726D3"/>
    <w:rsid w:val="00D73E04"/>
    <w:rsid w:val="00D74982"/>
    <w:rsid w:val="00D75B3F"/>
    <w:rsid w:val="00D77BC0"/>
    <w:rsid w:val="00D8369D"/>
    <w:rsid w:val="00D90F7B"/>
    <w:rsid w:val="00DA0E0B"/>
    <w:rsid w:val="00DA73B1"/>
    <w:rsid w:val="00DB0447"/>
    <w:rsid w:val="00DB1B19"/>
    <w:rsid w:val="00DB33A7"/>
    <w:rsid w:val="00DB41EE"/>
    <w:rsid w:val="00DB773B"/>
    <w:rsid w:val="00DD0142"/>
    <w:rsid w:val="00DD22CD"/>
    <w:rsid w:val="00DD4C56"/>
    <w:rsid w:val="00DD7591"/>
    <w:rsid w:val="00DE1A1E"/>
    <w:rsid w:val="00DE357C"/>
    <w:rsid w:val="00DF1D00"/>
    <w:rsid w:val="00DF304C"/>
    <w:rsid w:val="00DF6414"/>
    <w:rsid w:val="00DF690C"/>
    <w:rsid w:val="00DF7FC6"/>
    <w:rsid w:val="00E114B4"/>
    <w:rsid w:val="00E140D3"/>
    <w:rsid w:val="00E15F2D"/>
    <w:rsid w:val="00E17F4F"/>
    <w:rsid w:val="00E206C2"/>
    <w:rsid w:val="00E21563"/>
    <w:rsid w:val="00E360A8"/>
    <w:rsid w:val="00E41213"/>
    <w:rsid w:val="00E51C93"/>
    <w:rsid w:val="00E57C4C"/>
    <w:rsid w:val="00E73064"/>
    <w:rsid w:val="00E8315D"/>
    <w:rsid w:val="00E8648D"/>
    <w:rsid w:val="00E91DB0"/>
    <w:rsid w:val="00E94A5D"/>
    <w:rsid w:val="00E9608C"/>
    <w:rsid w:val="00E96993"/>
    <w:rsid w:val="00EA1C73"/>
    <w:rsid w:val="00EA22EB"/>
    <w:rsid w:val="00EA24C3"/>
    <w:rsid w:val="00EA2D22"/>
    <w:rsid w:val="00EA31BF"/>
    <w:rsid w:val="00EB121F"/>
    <w:rsid w:val="00EB1403"/>
    <w:rsid w:val="00EC0E25"/>
    <w:rsid w:val="00EC3CCD"/>
    <w:rsid w:val="00EC4250"/>
    <w:rsid w:val="00ED1436"/>
    <w:rsid w:val="00ED17E5"/>
    <w:rsid w:val="00EE2F9B"/>
    <w:rsid w:val="00EF26E9"/>
    <w:rsid w:val="00EF43BD"/>
    <w:rsid w:val="00EF60ED"/>
    <w:rsid w:val="00F0403E"/>
    <w:rsid w:val="00F135FE"/>
    <w:rsid w:val="00F21BCE"/>
    <w:rsid w:val="00F255AE"/>
    <w:rsid w:val="00F267CE"/>
    <w:rsid w:val="00F329E1"/>
    <w:rsid w:val="00F34C32"/>
    <w:rsid w:val="00F40737"/>
    <w:rsid w:val="00F50EEA"/>
    <w:rsid w:val="00F5216D"/>
    <w:rsid w:val="00F53314"/>
    <w:rsid w:val="00F5442E"/>
    <w:rsid w:val="00F54E77"/>
    <w:rsid w:val="00F56FBA"/>
    <w:rsid w:val="00F57383"/>
    <w:rsid w:val="00F65861"/>
    <w:rsid w:val="00F67D52"/>
    <w:rsid w:val="00F70E25"/>
    <w:rsid w:val="00F75218"/>
    <w:rsid w:val="00F77A6E"/>
    <w:rsid w:val="00F80540"/>
    <w:rsid w:val="00F82BCF"/>
    <w:rsid w:val="00FA4E5C"/>
    <w:rsid w:val="00FB737A"/>
    <w:rsid w:val="00FC0F3E"/>
    <w:rsid w:val="00FC1C96"/>
    <w:rsid w:val="00FC6EEB"/>
    <w:rsid w:val="00FD048F"/>
    <w:rsid w:val="00FE625E"/>
    <w:rsid w:val="00FF2B22"/>
    <w:rsid w:val="00FF7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6012E7E"/>
  <w15:chartTrackingRefBased/>
  <w15:docId w15:val="{93B8D514-57EB-4F1F-9D7D-28F1C112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1DB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477F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477F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1DB2"/>
    <w:rPr>
      <w:b/>
      <w:bCs/>
      <w:kern w:val="44"/>
      <w:sz w:val="44"/>
      <w:szCs w:val="44"/>
    </w:rPr>
  </w:style>
  <w:style w:type="character" w:customStyle="1" w:styleId="30">
    <w:name w:val="标题 3 字符"/>
    <w:basedOn w:val="a0"/>
    <w:link w:val="3"/>
    <w:uiPriority w:val="9"/>
    <w:rsid w:val="004477F1"/>
    <w:rPr>
      <w:b/>
      <w:bCs/>
      <w:sz w:val="32"/>
      <w:szCs w:val="32"/>
    </w:rPr>
  </w:style>
  <w:style w:type="character" w:styleId="a3">
    <w:name w:val="Strong"/>
    <w:basedOn w:val="a0"/>
    <w:uiPriority w:val="22"/>
    <w:qFormat/>
    <w:rsid w:val="004477F1"/>
    <w:rPr>
      <w:b/>
      <w:bCs/>
    </w:rPr>
  </w:style>
  <w:style w:type="paragraph" w:styleId="a4">
    <w:name w:val="Normal (Web)"/>
    <w:basedOn w:val="a"/>
    <w:uiPriority w:val="99"/>
    <w:semiHidden/>
    <w:unhideWhenUsed/>
    <w:rsid w:val="004477F1"/>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4477F1"/>
    <w:rPr>
      <w:rFonts w:asciiTheme="majorHAnsi" w:eastAsiaTheme="majorEastAsia" w:hAnsiTheme="majorHAnsi" w:cstheme="majorBidi"/>
      <w:b/>
      <w:bCs/>
      <w:sz w:val="32"/>
      <w:szCs w:val="32"/>
    </w:rPr>
  </w:style>
  <w:style w:type="paragraph" w:styleId="a5">
    <w:name w:val="List Paragraph"/>
    <w:basedOn w:val="a"/>
    <w:uiPriority w:val="34"/>
    <w:qFormat/>
    <w:rsid w:val="007458D7"/>
    <w:pPr>
      <w:ind w:firstLineChars="200" w:firstLine="420"/>
    </w:pPr>
  </w:style>
  <w:style w:type="paragraph" w:styleId="a6">
    <w:name w:val="header"/>
    <w:basedOn w:val="a"/>
    <w:link w:val="a7"/>
    <w:uiPriority w:val="99"/>
    <w:unhideWhenUsed/>
    <w:rsid w:val="005A393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5A393A"/>
    <w:rPr>
      <w:sz w:val="18"/>
      <w:szCs w:val="18"/>
    </w:rPr>
  </w:style>
  <w:style w:type="paragraph" w:styleId="a8">
    <w:name w:val="footer"/>
    <w:basedOn w:val="a"/>
    <w:link w:val="a9"/>
    <w:uiPriority w:val="99"/>
    <w:unhideWhenUsed/>
    <w:rsid w:val="005A393A"/>
    <w:pPr>
      <w:tabs>
        <w:tab w:val="center" w:pos="4153"/>
        <w:tab w:val="right" w:pos="8306"/>
      </w:tabs>
      <w:snapToGrid w:val="0"/>
      <w:jc w:val="left"/>
    </w:pPr>
    <w:rPr>
      <w:sz w:val="18"/>
      <w:szCs w:val="18"/>
    </w:rPr>
  </w:style>
  <w:style w:type="character" w:customStyle="1" w:styleId="a9">
    <w:name w:val="页脚 字符"/>
    <w:basedOn w:val="a0"/>
    <w:link w:val="a8"/>
    <w:uiPriority w:val="99"/>
    <w:rsid w:val="005A393A"/>
    <w:rPr>
      <w:sz w:val="18"/>
      <w:szCs w:val="18"/>
    </w:rPr>
  </w:style>
  <w:style w:type="character" w:customStyle="1" w:styleId="katex-mathml">
    <w:name w:val="katex-mathml"/>
    <w:basedOn w:val="a0"/>
    <w:rsid w:val="00B226B8"/>
  </w:style>
  <w:style w:type="character" w:customStyle="1" w:styleId="mord">
    <w:name w:val="mord"/>
    <w:basedOn w:val="a0"/>
    <w:rsid w:val="00B226B8"/>
  </w:style>
  <w:style w:type="character" w:customStyle="1" w:styleId="vlist-s">
    <w:name w:val="vlist-s"/>
    <w:basedOn w:val="a0"/>
    <w:rsid w:val="00B226B8"/>
  </w:style>
  <w:style w:type="character" w:customStyle="1" w:styleId="mrel">
    <w:name w:val="mrel"/>
    <w:basedOn w:val="a0"/>
    <w:rsid w:val="00B226B8"/>
  </w:style>
  <w:style w:type="character" w:customStyle="1" w:styleId="mbin">
    <w:name w:val="mbin"/>
    <w:basedOn w:val="a0"/>
    <w:rsid w:val="00B226B8"/>
  </w:style>
  <w:style w:type="character" w:customStyle="1" w:styleId="mopen">
    <w:name w:val="mopen"/>
    <w:basedOn w:val="a0"/>
    <w:rsid w:val="00B226B8"/>
  </w:style>
  <w:style w:type="character" w:customStyle="1" w:styleId="mclose">
    <w:name w:val="mclose"/>
    <w:basedOn w:val="a0"/>
    <w:rsid w:val="00B226B8"/>
  </w:style>
  <w:style w:type="character" w:styleId="aa">
    <w:name w:val="annotation reference"/>
    <w:basedOn w:val="a0"/>
    <w:uiPriority w:val="99"/>
    <w:semiHidden/>
    <w:unhideWhenUsed/>
    <w:rsid w:val="008D3BE0"/>
    <w:rPr>
      <w:sz w:val="21"/>
      <w:szCs w:val="21"/>
    </w:rPr>
  </w:style>
  <w:style w:type="paragraph" w:styleId="ab">
    <w:name w:val="annotation text"/>
    <w:basedOn w:val="a"/>
    <w:link w:val="ac"/>
    <w:uiPriority w:val="99"/>
    <w:unhideWhenUsed/>
    <w:rsid w:val="008D3BE0"/>
    <w:pPr>
      <w:jc w:val="left"/>
    </w:pPr>
  </w:style>
  <w:style w:type="character" w:customStyle="1" w:styleId="ac">
    <w:name w:val="批注文字 字符"/>
    <w:basedOn w:val="a0"/>
    <w:link w:val="ab"/>
    <w:uiPriority w:val="99"/>
    <w:rsid w:val="008D3BE0"/>
  </w:style>
  <w:style w:type="paragraph" w:styleId="ad">
    <w:name w:val="annotation subject"/>
    <w:basedOn w:val="ab"/>
    <w:next w:val="ab"/>
    <w:link w:val="ae"/>
    <w:uiPriority w:val="99"/>
    <w:semiHidden/>
    <w:unhideWhenUsed/>
    <w:rsid w:val="008D3BE0"/>
    <w:rPr>
      <w:b/>
      <w:bCs/>
    </w:rPr>
  </w:style>
  <w:style w:type="character" w:customStyle="1" w:styleId="ae">
    <w:name w:val="批注主题 字符"/>
    <w:basedOn w:val="ac"/>
    <w:link w:val="ad"/>
    <w:uiPriority w:val="99"/>
    <w:semiHidden/>
    <w:rsid w:val="008D3BE0"/>
    <w:rPr>
      <w:b/>
      <w:bCs/>
    </w:rPr>
  </w:style>
  <w:style w:type="character" w:styleId="af">
    <w:name w:val="Emphasis"/>
    <w:basedOn w:val="a0"/>
    <w:uiPriority w:val="20"/>
    <w:qFormat/>
    <w:rsid w:val="0028252E"/>
    <w:rPr>
      <w:i/>
      <w:iCs/>
    </w:rPr>
  </w:style>
  <w:style w:type="paragraph" w:styleId="HTML">
    <w:name w:val="HTML Preformatted"/>
    <w:basedOn w:val="a"/>
    <w:link w:val="HTML0"/>
    <w:uiPriority w:val="99"/>
    <w:semiHidden/>
    <w:unhideWhenUsed/>
    <w:rsid w:val="006F4D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6F4D59"/>
    <w:rPr>
      <w:rFonts w:ascii="宋体" w:eastAsia="宋体" w:hAnsi="宋体" w:cs="宋体"/>
      <w:kern w:val="0"/>
      <w:sz w:val="24"/>
      <w:szCs w:val="24"/>
    </w:rPr>
  </w:style>
  <w:style w:type="paragraph" w:customStyle="1" w:styleId="ds-markdown-paragraph">
    <w:name w:val="ds-markdown-paragraph"/>
    <w:basedOn w:val="a"/>
    <w:rsid w:val="007456A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97322">
      <w:bodyDiv w:val="1"/>
      <w:marLeft w:val="0"/>
      <w:marRight w:val="0"/>
      <w:marTop w:val="0"/>
      <w:marBottom w:val="0"/>
      <w:divBdr>
        <w:top w:val="none" w:sz="0" w:space="0" w:color="auto"/>
        <w:left w:val="none" w:sz="0" w:space="0" w:color="auto"/>
        <w:bottom w:val="none" w:sz="0" w:space="0" w:color="auto"/>
        <w:right w:val="none" w:sz="0" w:space="0" w:color="auto"/>
      </w:divBdr>
    </w:div>
    <w:div w:id="250547425">
      <w:bodyDiv w:val="1"/>
      <w:marLeft w:val="0"/>
      <w:marRight w:val="0"/>
      <w:marTop w:val="0"/>
      <w:marBottom w:val="0"/>
      <w:divBdr>
        <w:top w:val="none" w:sz="0" w:space="0" w:color="auto"/>
        <w:left w:val="none" w:sz="0" w:space="0" w:color="auto"/>
        <w:bottom w:val="none" w:sz="0" w:space="0" w:color="auto"/>
        <w:right w:val="none" w:sz="0" w:space="0" w:color="auto"/>
      </w:divBdr>
    </w:div>
    <w:div w:id="279797700">
      <w:bodyDiv w:val="1"/>
      <w:marLeft w:val="0"/>
      <w:marRight w:val="0"/>
      <w:marTop w:val="0"/>
      <w:marBottom w:val="0"/>
      <w:divBdr>
        <w:top w:val="none" w:sz="0" w:space="0" w:color="auto"/>
        <w:left w:val="none" w:sz="0" w:space="0" w:color="auto"/>
        <w:bottom w:val="none" w:sz="0" w:space="0" w:color="auto"/>
        <w:right w:val="none" w:sz="0" w:space="0" w:color="auto"/>
      </w:divBdr>
    </w:div>
    <w:div w:id="283315488">
      <w:bodyDiv w:val="1"/>
      <w:marLeft w:val="0"/>
      <w:marRight w:val="0"/>
      <w:marTop w:val="0"/>
      <w:marBottom w:val="0"/>
      <w:divBdr>
        <w:top w:val="none" w:sz="0" w:space="0" w:color="auto"/>
        <w:left w:val="none" w:sz="0" w:space="0" w:color="auto"/>
        <w:bottom w:val="none" w:sz="0" w:space="0" w:color="auto"/>
        <w:right w:val="none" w:sz="0" w:space="0" w:color="auto"/>
      </w:divBdr>
    </w:div>
    <w:div w:id="364184425">
      <w:bodyDiv w:val="1"/>
      <w:marLeft w:val="0"/>
      <w:marRight w:val="0"/>
      <w:marTop w:val="0"/>
      <w:marBottom w:val="0"/>
      <w:divBdr>
        <w:top w:val="none" w:sz="0" w:space="0" w:color="auto"/>
        <w:left w:val="none" w:sz="0" w:space="0" w:color="auto"/>
        <w:bottom w:val="none" w:sz="0" w:space="0" w:color="auto"/>
        <w:right w:val="none" w:sz="0" w:space="0" w:color="auto"/>
      </w:divBdr>
    </w:div>
    <w:div w:id="387529979">
      <w:bodyDiv w:val="1"/>
      <w:marLeft w:val="0"/>
      <w:marRight w:val="0"/>
      <w:marTop w:val="0"/>
      <w:marBottom w:val="0"/>
      <w:divBdr>
        <w:top w:val="none" w:sz="0" w:space="0" w:color="auto"/>
        <w:left w:val="none" w:sz="0" w:space="0" w:color="auto"/>
        <w:bottom w:val="none" w:sz="0" w:space="0" w:color="auto"/>
        <w:right w:val="none" w:sz="0" w:space="0" w:color="auto"/>
      </w:divBdr>
    </w:div>
    <w:div w:id="481191195">
      <w:bodyDiv w:val="1"/>
      <w:marLeft w:val="0"/>
      <w:marRight w:val="0"/>
      <w:marTop w:val="0"/>
      <w:marBottom w:val="0"/>
      <w:divBdr>
        <w:top w:val="none" w:sz="0" w:space="0" w:color="auto"/>
        <w:left w:val="none" w:sz="0" w:space="0" w:color="auto"/>
        <w:bottom w:val="none" w:sz="0" w:space="0" w:color="auto"/>
        <w:right w:val="none" w:sz="0" w:space="0" w:color="auto"/>
      </w:divBdr>
    </w:div>
    <w:div w:id="541401492">
      <w:bodyDiv w:val="1"/>
      <w:marLeft w:val="0"/>
      <w:marRight w:val="0"/>
      <w:marTop w:val="0"/>
      <w:marBottom w:val="0"/>
      <w:divBdr>
        <w:top w:val="none" w:sz="0" w:space="0" w:color="auto"/>
        <w:left w:val="none" w:sz="0" w:space="0" w:color="auto"/>
        <w:bottom w:val="none" w:sz="0" w:space="0" w:color="auto"/>
        <w:right w:val="none" w:sz="0" w:space="0" w:color="auto"/>
      </w:divBdr>
    </w:div>
    <w:div w:id="585722917">
      <w:bodyDiv w:val="1"/>
      <w:marLeft w:val="0"/>
      <w:marRight w:val="0"/>
      <w:marTop w:val="0"/>
      <w:marBottom w:val="0"/>
      <w:divBdr>
        <w:top w:val="none" w:sz="0" w:space="0" w:color="auto"/>
        <w:left w:val="none" w:sz="0" w:space="0" w:color="auto"/>
        <w:bottom w:val="none" w:sz="0" w:space="0" w:color="auto"/>
        <w:right w:val="none" w:sz="0" w:space="0" w:color="auto"/>
      </w:divBdr>
    </w:div>
    <w:div w:id="614940923">
      <w:bodyDiv w:val="1"/>
      <w:marLeft w:val="0"/>
      <w:marRight w:val="0"/>
      <w:marTop w:val="0"/>
      <w:marBottom w:val="0"/>
      <w:divBdr>
        <w:top w:val="none" w:sz="0" w:space="0" w:color="auto"/>
        <w:left w:val="none" w:sz="0" w:space="0" w:color="auto"/>
        <w:bottom w:val="none" w:sz="0" w:space="0" w:color="auto"/>
        <w:right w:val="none" w:sz="0" w:space="0" w:color="auto"/>
      </w:divBdr>
    </w:div>
    <w:div w:id="619921334">
      <w:bodyDiv w:val="1"/>
      <w:marLeft w:val="0"/>
      <w:marRight w:val="0"/>
      <w:marTop w:val="0"/>
      <w:marBottom w:val="0"/>
      <w:divBdr>
        <w:top w:val="none" w:sz="0" w:space="0" w:color="auto"/>
        <w:left w:val="none" w:sz="0" w:space="0" w:color="auto"/>
        <w:bottom w:val="none" w:sz="0" w:space="0" w:color="auto"/>
        <w:right w:val="none" w:sz="0" w:space="0" w:color="auto"/>
      </w:divBdr>
    </w:div>
    <w:div w:id="669332068">
      <w:bodyDiv w:val="1"/>
      <w:marLeft w:val="0"/>
      <w:marRight w:val="0"/>
      <w:marTop w:val="0"/>
      <w:marBottom w:val="0"/>
      <w:divBdr>
        <w:top w:val="none" w:sz="0" w:space="0" w:color="auto"/>
        <w:left w:val="none" w:sz="0" w:space="0" w:color="auto"/>
        <w:bottom w:val="none" w:sz="0" w:space="0" w:color="auto"/>
        <w:right w:val="none" w:sz="0" w:space="0" w:color="auto"/>
      </w:divBdr>
    </w:div>
    <w:div w:id="697242912">
      <w:bodyDiv w:val="1"/>
      <w:marLeft w:val="0"/>
      <w:marRight w:val="0"/>
      <w:marTop w:val="0"/>
      <w:marBottom w:val="0"/>
      <w:divBdr>
        <w:top w:val="none" w:sz="0" w:space="0" w:color="auto"/>
        <w:left w:val="none" w:sz="0" w:space="0" w:color="auto"/>
        <w:bottom w:val="none" w:sz="0" w:space="0" w:color="auto"/>
        <w:right w:val="none" w:sz="0" w:space="0" w:color="auto"/>
      </w:divBdr>
    </w:div>
    <w:div w:id="710494111">
      <w:bodyDiv w:val="1"/>
      <w:marLeft w:val="0"/>
      <w:marRight w:val="0"/>
      <w:marTop w:val="0"/>
      <w:marBottom w:val="0"/>
      <w:divBdr>
        <w:top w:val="none" w:sz="0" w:space="0" w:color="auto"/>
        <w:left w:val="none" w:sz="0" w:space="0" w:color="auto"/>
        <w:bottom w:val="none" w:sz="0" w:space="0" w:color="auto"/>
        <w:right w:val="none" w:sz="0" w:space="0" w:color="auto"/>
      </w:divBdr>
    </w:div>
    <w:div w:id="774325552">
      <w:bodyDiv w:val="1"/>
      <w:marLeft w:val="0"/>
      <w:marRight w:val="0"/>
      <w:marTop w:val="0"/>
      <w:marBottom w:val="0"/>
      <w:divBdr>
        <w:top w:val="none" w:sz="0" w:space="0" w:color="auto"/>
        <w:left w:val="none" w:sz="0" w:space="0" w:color="auto"/>
        <w:bottom w:val="none" w:sz="0" w:space="0" w:color="auto"/>
        <w:right w:val="none" w:sz="0" w:space="0" w:color="auto"/>
      </w:divBdr>
    </w:div>
    <w:div w:id="778331907">
      <w:bodyDiv w:val="1"/>
      <w:marLeft w:val="0"/>
      <w:marRight w:val="0"/>
      <w:marTop w:val="0"/>
      <w:marBottom w:val="0"/>
      <w:divBdr>
        <w:top w:val="none" w:sz="0" w:space="0" w:color="auto"/>
        <w:left w:val="none" w:sz="0" w:space="0" w:color="auto"/>
        <w:bottom w:val="none" w:sz="0" w:space="0" w:color="auto"/>
        <w:right w:val="none" w:sz="0" w:space="0" w:color="auto"/>
      </w:divBdr>
      <w:divsChild>
        <w:div w:id="318268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847119">
      <w:bodyDiv w:val="1"/>
      <w:marLeft w:val="0"/>
      <w:marRight w:val="0"/>
      <w:marTop w:val="0"/>
      <w:marBottom w:val="0"/>
      <w:divBdr>
        <w:top w:val="none" w:sz="0" w:space="0" w:color="auto"/>
        <w:left w:val="none" w:sz="0" w:space="0" w:color="auto"/>
        <w:bottom w:val="none" w:sz="0" w:space="0" w:color="auto"/>
        <w:right w:val="none" w:sz="0" w:space="0" w:color="auto"/>
      </w:divBdr>
    </w:div>
    <w:div w:id="834760523">
      <w:bodyDiv w:val="1"/>
      <w:marLeft w:val="0"/>
      <w:marRight w:val="0"/>
      <w:marTop w:val="0"/>
      <w:marBottom w:val="0"/>
      <w:divBdr>
        <w:top w:val="none" w:sz="0" w:space="0" w:color="auto"/>
        <w:left w:val="none" w:sz="0" w:space="0" w:color="auto"/>
        <w:bottom w:val="none" w:sz="0" w:space="0" w:color="auto"/>
        <w:right w:val="none" w:sz="0" w:space="0" w:color="auto"/>
      </w:divBdr>
    </w:div>
    <w:div w:id="867530136">
      <w:bodyDiv w:val="1"/>
      <w:marLeft w:val="0"/>
      <w:marRight w:val="0"/>
      <w:marTop w:val="0"/>
      <w:marBottom w:val="0"/>
      <w:divBdr>
        <w:top w:val="none" w:sz="0" w:space="0" w:color="auto"/>
        <w:left w:val="none" w:sz="0" w:space="0" w:color="auto"/>
        <w:bottom w:val="none" w:sz="0" w:space="0" w:color="auto"/>
        <w:right w:val="none" w:sz="0" w:space="0" w:color="auto"/>
      </w:divBdr>
    </w:div>
    <w:div w:id="903838449">
      <w:bodyDiv w:val="1"/>
      <w:marLeft w:val="0"/>
      <w:marRight w:val="0"/>
      <w:marTop w:val="0"/>
      <w:marBottom w:val="0"/>
      <w:divBdr>
        <w:top w:val="none" w:sz="0" w:space="0" w:color="auto"/>
        <w:left w:val="none" w:sz="0" w:space="0" w:color="auto"/>
        <w:bottom w:val="none" w:sz="0" w:space="0" w:color="auto"/>
        <w:right w:val="none" w:sz="0" w:space="0" w:color="auto"/>
      </w:divBdr>
      <w:divsChild>
        <w:div w:id="1124739573">
          <w:marLeft w:val="0"/>
          <w:marRight w:val="0"/>
          <w:marTop w:val="0"/>
          <w:marBottom w:val="0"/>
          <w:divBdr>
            <w:top w:val="none" w:sz="0" w:space="0" w:color="auto"/>
            <w:left w:val="none" w:sz="0" w:space="0" w:color="auto"/>
            <w:bottom w:val="none" w:sz="0" w:space="0" w:color="auto"/>
            <w:right w:val="none" w:sz="0" w:space="0" w:color="auto"/>
          </w:divBdr>
          <w:divsChild>
            <w:div w:id="1995988096">
              <w:marLeft w:val="0"/>
              <w:marRight w:val="0"/>
              <w:marTop w:val="0"/>
              <w:marBottom w:val="0"/>
              <w:divBdr>
                <w:top w:val="none" w:sz="0" w:space="0" w:color="auto"/>
                <w:left w:val="none" w:sz="0" w:space="0" w:color="auto"/>
                <w:bottom w:val="none" w:sz="0" w:space="0" w:color="auto"/>
                <w:right w:val="none" w:sz="0" w:space="0" w:color="auto"/>
              </w:divBdr>
              <w:divsChild>
                <w:div w:id="1781493270">
                  <w:marLeft w:val="0"/>
                  <w:marRight w:val="0"/>
                  <w:marTop w:val="0"/>
                  <w:marBottom w:val="0"/>
                  <w:divBdr>
                    <w:top w:val="none" w:sz="0" w:space="0" w:color="auto"/>
                    <w:left w:val="none" w:sz="0" w:space="0" w:color="auto"/>
                    <w:bottom w:val="none" w:sz="0" w:space="0" w:color="auto"/>
                    <w:right w:val="none" w:sz="0" w:space="0" w:color="auto"/>
                  </w:divBdr>
                  <w:divsChild>
                    <w:div w:id="772282195">
                      <w:marLeft w:val="0"/>
                      <w:marRight w:val="0"/>
                      <w:marTop w:val="0"/>
                      <w:marBottom w:val="0"/>
                      <w:divBdr>
                        <w:top w:val="none" w:sz="0" w:space="0" w:color="auto"/>
                        <w:left w:val="none" w:sz="0" w:space="0" w:color="auto"/>
                        <w:bottom w:val="none" w:sz="0" w:space="0" w:color="auto"/>
                        <w:right w:val="none" w:sz="0" w:space="0" w:color="auto"/>
                      </w:divBdr>
                      <w:divsChild>
                        <w:div w:id="1488204788">
                          <w:marLeft w:val="0"/>
                          <w:marRight w:val="0"/>
                          <w:marTop w:val="0"/>
                          <w:marBottom w:val="0"/>
                          <w:divBdr>
                            <w:top w:val="none" w:sz="0" w:space="0" w:color="auto"/>
                            <w:left w:val="none" w:sz="0" w:space="0" w:color="auto"/>
                            <w:bottom w:val="none" w:sz="0" w:space="0" w:color="auto"/>
                            <w:right w:val="none" w:sz="0" w:space="0" w:color="auto"/>
                          </w:divBdr>
                          <w:divsChild>
                            <w:div w:id="6954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644852">
      <w:bodyDiv w:val="1"/>
      <w:marLeft w:val="0"/>
      <w:marRight w:val="0"/>
      <w:marTop w:val="0"/>
      <w:marBottom w:val="0"/>
      <w:divBdr>
        <w:top w:val="none" w:sz="0" w:space="0" w:color="auto"/>
        <w:left w:val="none" w:sz="0" w:space="0" w:color="auto"/>
        <w:bottom w:val="none" w:sz="0" w:space="0" w:color="auto"/>
        <w:right w:val="none" w:sz="0" w:space="0" w:color="auto"/>
      </w:divBdr>
    </w:div>
    <w:div w:id="1332417636">
      <w:bodyDiv w:val="1"/>
      <w:marLeft w:val="0"/>
      <w:marRight w:val="0"/>
      <w:marTop w:val="0"/>
      <w:marBottom w:val="0"/>
      <w:divBdr>
        <w:top w:val="none" w:sz="0" w:space="0" w:color="auto"/>
        <w:left w:val="none" w:sz="0" w:space="0" w:color="auto"/>
        <w:bottom w:val="none" w:sz="0" w:space="0" w:color="auto"/>
        <w:right w:val="none" w:sz="0" w:space="0" w:color="auto"/>
      </w:divBdr>
    </w:div>
    <w:div w:id="1332486640">
      <w:bodyDiv w:val="1"/>
      <w:marLeft w:val="0"/>
      <w:marRight w:val="0"/>
      <w:marTop w:val="0"/>
      <w:marBottom w:val="0"/>
      <w:divBdr>
        <w:top w:val="none" w:sz="0" w:space="0" w:color="auto"/>
        <w:left w:val="none" w:sz="0" w:space="0" w:color="auto"/>
        <w:bottom w:val="none" w:sz="0" w:space="0" w:color="auto"/>
        <w:right w:val="none" w:sz="0" w:space="0" w:color="auto"/>
      </w:divBdr>
    </w:div>
    <w:div w:id="1403486131">
      <w:bodyDiv w:val="1"/>
      <w:marLeft w:val="0"/>
      <w:marRight w:val="0"/>
      <w:marTop w:val="0"/>
      <w:marBottom w:val="0"/>
      <w:divBdr>
        <w:top w:val="none" w:sz="0" w:space="0" w:color="auto"/>
        <w:left w:val="none" w:sz="0" w:space="0" w:color="auto"/>
        <w:bottom w:val="none" w:sz="0" w:space="0" w:color="auto"/>
        <w:right w:val="none" w:sz="0" w:space="0" w:color="auto"/>
      </w:divBdr>
    </w:div>
    <w:div w:id="1641768227">
      <w:bodyDiv w:val="1"/>
      <w:marLeft w:val="0"/>
      <w:marRight w:val="0"/>
      <w:marTop w:val="0"/>
      <w:marBottom w:val="0"/>
      <w:divBdr>
        <w:top w:val="none" w:sz="0" w:space="0" w:color="auto"/>
        <w:left w:val="none" w:sz="0" w:space="0" w:color="auto"/>
        <w:bottom w:val="none" w:sz="0" w:space="0" w:color="auto"/>
        <w:right w:val="none" w:sz="0" w:space="0" w:color="auto"/>
      </w:divBdr>
    </w:div>
    <w:div w:id="1720275176">
      <w:bodyDiv w:val="1"/>
      <w:marLeft w:val="0"/>
      <w:marRight w:val="0"/>
      <w:marTop w:val="0"/>
      <w:marBottom w:val="0"/>
      <w:divBdr>
        <w:top w:val="none" w:sz="0" w:space="0" w:color="auto"/>
        <w:left w:val="none" w:sz="0" w:space="0" w:color="auto"/>
        <w:bottom w:val="none" w:sz="0" w:space="0" w:color="auto"/>
        <w:right w:val="none" w:sz="0" w:space="0" w:color="auto"/>
      </w:divBdr>
      <w:divsChild>
        <w:div w:id="1413434223">
          <w:marLeft w:val="0"/>
          <w:marRight w:val="0"/>
          <w:marTop w:val="0"/>
          <w:marBottom w:val="450"/>
          <w:divBdr>
            <w:top w:val="none" w:sz="0" w:space="0" w:color="auto"/>
            <w:left w:val="none" w:sz="0" w:space="0" w:color="auto"/>
            <w:bottom w:val="none" w:sz="0" w:space="0" w:color="auto"/>
            <w:right w:val="none" w:sz="0" w:space="0" w:color="auto"/>
          </w:divBdr>
        </w:div>
      </w:divsChild>
    </w:div>
    <w:div w:id="1759054424">
      <w:bodyDiv w:val="1"/>
      <w:marLeft w:val="0"/>
      <w:marRight w:val="0"/>
      <w:marTop w:val="0"/>
      <w:marBottom w:val="0"/>
      <w:divBdr>
        <w:top w:val="none" w:sz="0" w:space="0" w:color="auto"/>
        <w:left w:val="none" w:sz="0" w:space="0" w:color="auto"/>
        <w:bottom w:val="none" w:sz="0" w:space="0" w:color="auto"/>
        <w:right w:val="none" w:sz="0" w:space="0" w:color="auto"/>
      </w:divBdr>
    </w:div>
    <w:div w:id="1768118701">
      <w:bodyDiv w:val="1"/>
      <w:marLeft w:val="0"/>
      <w:marRight w:val="0"/>
      <w:marTop w:val="0"/>
      <w:marBottom w:val="0"/>
      <w:divBdr>
        <w:top w:val="none" w:sz="0" w:space="0" w:color="auto"/>
        <w:left w:val="none" w:sz="0" w:space="0" w:color="auto"/>
        <w:bottom w:val="none" w:sz="0" w:space="0" w:color="auto"/>
        <w:right w:val="none" w:sz="0" w:space="0" w:color="auto"/>
      </w:divBdr>
      <w:divsChild>
        <w:div w:id="1168133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047610">
      <w:bodyDiv w:val="1"/>
      <w:marLeft w:val="0"/>
      <w:marRight w:val="0"/>
      <w:marTop w:val="0"/>
      <w:marBottom w:val="0"/>
      <w:divBdr>
        <w:top w:val="none" w:sz="0" w:space="0" w:color="auto"/>
        <w:left w:val="none" w:sz="0" w:space="0" w:color="auto"/>
        <w:bottom w:val="none" w:sz="0" w:space="0" w:color="auto"/>
        <w:right w:val="none" w:sz="0" w:space="0" w:color="auto"/>
      </w:divBdr>
    </w:div>
    <w:div w:id="1939168692">
      <w:bodyDiv w:val="1"/>
      <w:marLeft w:val="0"/>
      <w:marRight w:val="0"/>
      <w:marTop w:val="0"/>
      <w:marBottom w:val="0"/>
      <w:divBdr>
        <w:top w:val="none" w:sz="0" w:space="0" w:color="auto"/>
        <w:left w:val="none" w:sz="0" w:space="0" w:color="auto"/>
        <w:bottom w:val="none" w:sz="0" w:space="0" w:color="auto"/>
        <w:right w:val="none" w:sz="0" w:space="0" w:color="auto"/>
      </w:divBdr>
    </w:div>
    <w:div w:id="1993025191">
      <w:bodyDiv w:val="1"/>
      <w:marLeft w:val="0"/>
      <w:marRight w:val="0"/>
      <w:marTop w:val="0"/>
      <w:marBottom w:val="0"/>
      <w:divBdr>
        <w:top w:val="none" w:sz="0" w:space="0" w:color="auto"/>
        <w:left w:val="none" w:sz="0" w:space="0" w:color="auto"/>
        <w:bottom w:val="none" w:sz="0" w:space="0" w:color="auto"/>
        <w:right w:val="none" w:sz="0" w:space="0" w:color="auto"/>
      </w:divBdr>
    </w:div>
    <w:div w:id="1994331900">
      <w:bodyDiv w:val="1"/>
      <w:marLeft w:val="0"/>
      <w:marRight w:val="0"/>
      <w:marTop w:val="0"/>
      <w:marBottom w:val="0"/>
      <w:divBdr>
        <w:top w:val="none" w:sz="0" w:space="0" w:color="auto"/>
        <w:left w:val="none" w:sz="0" w:space="0" w:color="auto"/>
        <w:bottom w:val="none" w:sz="0" w:space="0" w:color="auto"/>
        <w:right w:val="none" w:sz="0" w:space="0" w:color="auto"/>
      </w:divBdr>
    </w:div>
    <w:div w:id="206814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37" Type="http://schemas.openxmlformats.org/officeDocument/2006/relationships/theme" Target="theme/theme1.xml"/><Relationship Id="rId5" Type="http://schemas.openxmlformats.org/officeDocument/2006/relationships/footnotes" Target="footnotes.xml"/><Relationship Id="rId36" Type="http://schemas.openxmlformats.org/officeDocument/2006/relationships/fontTable" Target="fontTable.xml"/><Relationship Id="rId4" Type="http://schemas.openxmlformats.org/officeDocument/2006/relationships/webSettings" Target="webSettings.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3270</TotalTime>
  <Pages>15</Pages>
  <Words>3518</Words>
  <Characters>20056</Characters>
  <Application>Microsoft Office Word</Application>
  <DocSecurity>0</DocSecurity>
  <Lines>167</Lines>
  <Paragraphs>47</Paragraphs>
  <ScaleCrop>false</ScaleCrop>
  <Company/>
  <LinksUpToDate>false</LinksUpToDate>
  <CharactersWithSpaces>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GeoAnchor3D: Responses to Reviewers</dc:title>
  <dc:subject/>
  <dc:creator/>
  <cp:keywords/>
  <dc:description/>
  <cp:lastModifiedBy/>
  <cp:revision>555</cp:revision>
  <dcterms:created xsi:type="dcterms:W3CDTF">2025-11-11T09:58:00Z</dcterms:created>
  <dcterms:modified xsi:type="dcterms:W3CDTF">2026-01-04T21:45:00Z</dcterms:modified>
</cp:coreProperties>
</file>