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4"/>
        </w:rPr>
        <w:t>表3-2  非功能需求分析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tcBorders>
              <w:top sz="12" val="single" color="000000"/>
              <w:start sz="0" val="none" color="auto"/>
              <w:end sz="0" val="none" 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需求类别</w:t>
            </w:r>
          </w:p>
        </w:tc>
        <w:tc>
          <w:tcPr>
            <w:tcW w:type="dxa" w:w="7370"/>
            <w:tcBorders>
              <w:top sz="12" val="single" color="000000"/>
              <w:start sz="0" val="none" color="auto"/>
              <w:end sz="0" val="none" color="auto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需求描述</w:t>
            </w:r>
          </w:p>
        </w:tc>
      </w:tr>
      <w:tr>
        <w:tc>
          <w:tcPr>
            <w:tcW w:type="dxa" w:w="1701"/>
            <w:tcBorders>
              <w:top sz="6" val="single" color="000000"/>
              <w:start sz="0" val="none" color="auto"/>
              <w:end sz="0" val="none" 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性能需求</w:t>
            </w:r>
          </w:p>
        </w:tc>
        <w:tc>
          <w:tcPr>
            <w:tcW w:type="dxa" w:w="7370"/>
            <w:tcBorders>
              <w:top sz="6" val="single" color="000000"/>
              <w:start sz="0" val="none" color="auto"/>
              <w:end sz="0" val="none" color="auto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平均响应时间不超过3秒，关键操作最大响应时间不超过5秒。通过多层缓存策略和音频预加载机制实现切歌秒播。排行榜数据启动时后台预加载到磁盘缓存。</w:t>
            </w:r>
          </w:p>
        </w:tc>
      </w:tr>
      <w:tr>
        <w:tc>
          <w:tcPr>
            <w:tcW w:type="dxa" w:w="1701"/>
            <w:tcBorders>
              <w:start sz="0" val="none" color="auto"/>
              <w:end sz="0" val="none" 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安全性需求</w:t>
            </w:r>
          </w:p>
        </w:tc>
        <w:tc>
          <w:tcPr>
            <w:tcW w:type="dxa" w:w="7370"/>
            <w:tcBorders>
              <w:start sz="0" val="none" color="auto"/>
              <w:end sz="0" val="none" color="auto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采用安全可靠的用户认证机制，敏感数据加密存储和传输。采用HTTPS协议进行数据加密传输。基于用户角色的权限控制，限制不同用户对系统功能的访问权限。</w:t>
            </w:r>
          </w:p>
        </w:tc>
      </w:tr>
      <w:tr>
        <w:tc>
          <w:tcPr>
            <w:tcW w:type="dxa" w:w="1701"/>
            <w:tcBorders>
              <w:bottom sz="12" val="single" color="000000"/>
              <w:start sz="0" val="none" color="auto"/>
              <w:end sz="0" val="none" 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兼容性需求</w:t>
            </w:r>
          </w:p>
        </w:tc>
        <w:tc>
          <w:tcPr>
            <w:tcW w:type="dxa" w:w="7370"/>
            <w:tcBorders>
              <w:bottom sz="12" val="single" color="000000"/>
              <w:start sz="0" val="none" color="auto"/>
              <w:end sz="0" val="none" color="auto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兼容Chrome、Firefox、Safari、Edge等主流现代浏览器。采用响应式设计，界面根据屏幕尺寸自动适配，在不同设备上获得良好的视觉和操作体验。</w:t>
            </w:r>
          </w:p>
        </w:tc>
      </w:tr>
    </w:tbl>
    <w:p/>
    <w:p>
      <w:pPr>
        <w:jc w:val="center"/>
      </w:pPr>
      <w:r>
        <w:rPr>
          <w:rFonts w:ascii="宋体" w:hAnsi="宋体" w:eastAsia="宋体"/>
          <w:b/>
          <w:sz w:val="24"/>
        </w:rPr>
        <w:t>表3-3  可行性分析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tcBorders>
              <w:top sz="12" val="single" color="000000"/>
              <w:start sz="0" val="none" color="auto"/>
              <w:end sz="0" val="none" 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可行性类别</w:t>
            </w:r>
          </w:p>
        </w:tc>
        <w:tc>
          <w:tcPr>
            <w:tcW w:type="dxa" w:w="7370"/>
            <w:tcBorders>
              <w:top sz="12" val="single" color="000000"/>
              <w:start sz="0" val="none" color="auto"/>
              <w:end sz="0" val="none" color="auto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可行性分析</w:t>
            </w:r>
          </w:p>
        </w:tc>
      </w:tr>
      <w:tr>
        <w:tc>
          <w:tcPr>
            <w:tcW w:type="dxa" w:w="1701"/>
            <w:tcBorders>
              <w:top sz="6" val="single" color="000000"/>
              <w:start sz="0" val="none" color="auto"/>
              <w:end sz="0" val="none" 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技术可行性</w:t>
            </w:r>
          </w:p>
        </w:tc>
        <w:tc>
          <w:tcPr>
            <w:tcW w:type="dxa" w:w="7370"/>
            <w:tcBorders>
              <w:top sz="6" val="single" color="000000"/>
              <w:start sz="0" val="none" color="auto"/>
              <w:end sz="0" val="none" color="auto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React 19、TypeScript 6、Vite 8、Tailwind CSS 4等技术栈均为成熟的前端技术，拥有完善的文档和活跃的社区支持。Express.js作为后端框架技术成熟。NeteaseCloudMusicApi提供了丰富的API接口。开发在技术层面完全可行。</w:t>
            </w:r>
          </w:p>
        </w:tc>
      </w:tr>
      <w:tr>
        <w:tc>
          <w:tcPr>
            <w:tcW w:type="dxa" w:w="1701"/>
            <w:tcBorders>
              <w:start sz="0" val="none" color="auto"/>
              <w:end sz="0" val="none" 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经济可行性</w:t>
            </w:r>
          </w:p>
        </w:tc>
        <w:tc>
          <w:tcPr>
            <w:tcW w:type="dxa" w:w="7370"/>
            <w:tcBorders>
              <w:start sz="0" val="none" color="auto"/>
              <w:end sz="0" val="none" color="auto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播放器采用开源技术栈，无需购买商业软件许可证。开发工具和运行环境均可免费获取，开发成本较低。</w:t>
            </w:r>
          </w:p>
        </w:tc>
      </w:tr>
      <w:tr>
        <w:tc>
          <w:tcPr>
            <w:tcW w:type="dxa" w:w="1701"/>
            <w:tcBorders>
              <w:bottom sz="12" val="single" color="000000"/>
              <w:start sz="0" val="none" color="auto"/>
              <w:end sz="0" val="none" color="auto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操作可行性</w:t>
            </w:r>
          </w:p>
        </w:tc>
        <w:tc>
          <w:tcPr>
            <w:tcW w:type="dxa" w:w="7370"/>
            <w:tcBorders>
              <w:bottom sz="12" val="single" color="000000"/>
              <w:start sz="0" val="none" color="auto"/>
              <w:end sz="0" val="none" color="auto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播放器采用B/S架构，用户通过浏览器即可访问使用，无需安装额外客户端。界面设计简洁直观，具有良好的易用性。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