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4ACE" w14:textId="5314793A" w:rsidR="001477E6" w:rsidRDefault="001477E6"/>
    <w:sdt>
      <w:sdtPr>
        <w:id w:val="22910564"/>
        <w:docPartObj>
          <w:docPartGallery w:val="Cover Pages"/>
          <w:docPartUnique/>
        </w:docPartObj>
      </w:sdtPr>
      <w:sdtEndPr>
        <w:rPr>
          <w:rFonts w:ascii="Times New Roman" w:eastAsia="Times New Roman" w:hAnsi="Times New Roman" w:cs="Times New Roman"/>
          <w:b/>
          <w:sz w:val="24"/>
          <w:szCs w:val="24"/>
        </w:rPr>
      </w:sdtEndPr>
      <w:sdtContent>
        <w:p w14:paraId="29FB051F" w14:textId="445DB165" w:rsidR="00DE5F2E" w:rsidRDefault="00DE5F2E">
          <w:r>
            <w:rPr>
              <w:noProof/>
            </w:rPr>
            <mc:AlternateContent>
              <mc:Choice Requires="wps">
                <w:drawing>
                  <wp:anchor distT="0" distB="0" distL="114300" distR="114300" simplePos="0" relativeHeight="251663360" behindDoc="0" locked="0" layoutInCell="1" allowOverlap="1" wp14:anchorId="1381D74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7906CA7" w14:textId="11507746" w:rsidR="00C7275A" w:rsidRDefault="001477E6">
                                    <w:pPr>
                                      <w:pStyle w:val="NoSpacing"/>
                                      <w:spacing w:after="480"/>
                                      <w:rPr>
                                        <w:i/>
                                        <w:color w:val="262626" w:themeColor="text1" w:themeTint="D9"/>
                                        <w:sz w:val="32"/>
                                        <w:szCs w:val="32"/>
                                      </w:rPr>
                                    </w:pPr>
                                    <w:r>
                                      <w:rPr>
                                        <w:i/>
                                        <w:color w:val="262626" w:themeColor="text1" w:themeTint="D9"/>
                                        <w:sz w:val="32"/>
                                        <w:szCs w:val="32"/>
                                      </w:rPr>
                                      <w:t>Chad Nelson and Adrienne Russell</w:t>
                                    </w:r>
                                  </w:p>
                                </w:sdtContent>
                              </w:sdt>
                              <w:p w14:paraId="5AA53335" w14:textId="77777777" w:rsidR="00C7275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C7275A">
                                      <w:rPr>
                                        <w:i/>
                                        <w:color w:val="262626" w:themeColor="text1" w:themeTint="D9"/>
                                        <w:sz w:val="26"/>
                                        <w:szCs w:val="26"/>
                                      </w:rPr>
                                      <w:t>Econ 398</w:t>
                                    </w:r>
                                  </w:sdtContent>
                                </w:sdt>
                                <w:r w:rsidR="00C7275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C7275A">
                                      <w:rPr>
                                        <w:i/>
                                        <w:color w:val="262626" w:themeColor="text1" w:themeTint="D9"/>
                                        <w:sz w:val="26"/>
                                        <w:szCs w:val="26"/>
                                      </w:rPr>
                                      <w:t>Pope 003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81D74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7906CA7" w14:textId="11507746" w:rsidR="00C7275A" w:rsidRDefault="001477E6">
                              <w:pPr>
                                <w:pStyle w:val="NoSpacing"/>
                                <w:spacing w:after="480"/>
                                <w:rPr>
                                  <w:i/>
                                  <w:color w:val="262626" w:themeColor="text1" w:themeTint="D9"/>
                                  <w:sz w:val="32"/>
                                  <w:szCs w:val="32"/>
                                </w:rPr>
                              </w:pPr>
                              <w:r>
                                <w:rPr>
                                  <w:i/>
                                  <w:color w:val="262626" w:themeColor="text1" w:themeTint="D9"/>
                                  <w:sz w:val="32"/>
                                  <w:szCs w:val="32"/>
                                </w:rPr>
                                <w:t>Chad Nelson and Adrienne Russell</w:t>
                              </w:r>
                            </w:p>
                          </w:sdtContent>
                        </w:sdt>
                        <w:p w14:paraId="5AA53335" w14:textId="77777777" w:rsidR="00C7275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C7275A">
                                <w:rPr>
                                  <w:i/>
                                  <w:color w:val="262626" w:themeColor="text1" w:themeTint="D9"/>
                                  <w:sz w:val="26"/>
                                  <w:szCs w:val="26"/>
                                </w:rPr>
                                <w:t>Econ 398</w:t>
                              </w:r>
                            </w:sdtContent>
                          </w:sdt>
                          <w:r w:rsidR="00C7275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C7275A">
                                <w:rPr>
                                  <w:i/>
                                  <w:color w:val="262626" w:themeColor="text1" w:themeTint="D9"/>
                                  <w:sz w:val="26"/>
                                  <w:szCs w:val="26"/>
                                </w:rPr>
                                <w:t>Pope 003</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72B780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217E05D"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" strokecolor="#272727 [2749]" strokeweight="2.25pt">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59A7C2A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80"/>
                                    <w:szCs w:val="8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BD93DD1" w14:textId="623A4C17" w:rsidR="00C7275A" w:rsidRDefault="001477E6">
                                    <w:pPr>
                                      <w:pStyle w:val="NoSpacing"/>
                                      <w:spacing w:after="900"/>
                                      <w:rPr>
                                        <w:rFonts w:asciiTheme="majorHAnsi" w:hAnsiTheme="majorHAnsi"/>
                                        <w:i/>
                                        <w:caps/>
                                        <w:color w:val="262626" w:themeColor="text1" w:themeTint="D9"/>
                                        <w:sz w:val="120"/>
                                        <w:szCs w:val="120"/>
                                      </w:rPr>
                                    </w:pPr>
                                    <w:r>
                                      <w:rPr>
                                        <w:rFonts w:ascii="Times New Roman" w:hAnsi="Times New Roman" w:cs="Times New Roman"/>
                                        <w:i/>
                                        <w:caps/>
                                        <w:color w:val="262626" w:themeColor="text1" w:themeTint="D9"/>
                                        <w:sz w:val="80"/>
                                        <w:szCs w:val="80"/>
                                      </w:rPr>
                                      <w:t xml:space="preserve">The </w:t>
                                    </w:r>
                                    <w:r w:rsidR="00C7275A" w:rsidRPr="00DE5F2E">
                                      <w:rPr>
                                        <w:rFonts w:ascii="Times New Roman" w:hAnsi="Times New Roman" w:cs="Times New Roman"/>
                                        <w:i/>
                                        <w:caps/>
                                        <w:color w:val="262626" w:themeColor="text1" w:themeTint="D9"/>
                                        <w:sz w:val="80"/>
                                        <w:szCs w:val="80"/>
                                      </w:rPr>
                                      <w:t>Effect of bui</w:t>
                                    </w:r>
                                    <w:r w:rsidR="00C7275A">
                                      <w:rPr>
                                        <w:rFonts w:ascii="Times New Roman" w:hAnsi="Times New Roman" w:cs="Times New Roman"/>
                                        <w:i/>
                                        <w:caps/>
                                        <w:color w:val="262626" w:themeColor="text1" w:themeTint="D9"/>
                                        <w:sz w:val="80"/>
                                        <w:szCs w:val="80"/>
                                      </w:rPr>
                                      <w:t xml:space="preserve">lding </w:t>
                                    </w:r>
                                    <w:r w:rsidR="00C7275A" w:rsidRPr="00DE5F2E">
                                      <w:rPr>
                                        <w:rFonts w:ascii="Times New Roman" w:hAnsi="Times New Roman" w:cs="Times New Roman"/>
                                        <w:i/>
                                        <w:caps/>
                                        <w:color w:val="262626" w:themeColor="text1" w:themeTint="D9"/>
                                        <w:sz w:val="80"/>
                                        <w:szCs w:val="80"/>
                                      </w:rPr>
                                      <w:t>temple</w:t>
                                    </w:r>
                                    <w:r w:rsidR="00C7275A">
                                      <w:rPr>
                                        <w:rFonts w:ascii="Times New Roman" w:hAnsi="Times New Roman" w:cs="Times New Roman"/>
                                        <w:i/>
                                        <w:caps/>
                                        <w:color w:val="262626" w:themeColor="text1" w:themeTint="D9"/>
                                        <w:sz w:val="80"/>
                                        <w:szCs w:val="80"/>
                                      </w:rPr>
                                      <w:t>s</w:t>
                                    </w:r>
                                    <w:r w:rsidR="00C7275A" w:rsidRPr="00DE5F2E">
                                      <w:rPr>
                                        <w:rFonts w:ascii="Times New Roman" w:hAnsi="Times New Roman" w:cs="Times New Roman"/>
                                        <w:i/>
                                        <w:caps/>
                                        <w:color w:val="262626" w:themeColor="text1" w:themeTint="D9"/>
                                        <w:sz w:val="80"/>
                                        <w:szCs w:val="80"/>
                                      </w:rPr>
                                      <w:t xml:space="preserve"> on</w:t>
                                    </w:r>
                                    <w:r w:rsidR="00C7275A">
                                      <w:rPr>
                                        <w:rFonts w:ascii="Times New Roman" w:hAnsi="Times New Roman" w:cs="Times New Roman"/>
                                        <w:i/>
                                        <w:caps/>
                                        <w:color w:val="262626" w:themeColor="text1" w:themeTint="D9"/>
                                        <w:sz w:val="80"/>
                                        <w:szCs w:val="80"/>
                                      </w:rPr>
                                      <w:t xml:space="preserve"> surrounding</w:t>
                                    </w:r>
                                    <w:r w:rsidR="00C7275A" w:rsidRPr="00DE5F2E">
                                      <w:rPr>
                                        <w:rFonts w:ascii="Times New Roman" w:hAnsi="Times New Roman" w:cs="Times New Roman"/>
                                        <w:i/>
                                        <w:caps/>
                                        <w:color w:val="262626" w:themeColor="text1" w:themeTint="D9"/>
                                        <w:sz w:val="80"/>
                                        <w:szCs w:val="80"/>
                                      </w:rPr>
                                      <w:t xml:space="preserve"> housing prices</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254795" w14:textId="77777777" w:rsidR="00C7275A" w:rsidRPr="00DE5F2E" w:rsidRDefault="00C7275A">
                                    <w:pPr>
                                      <w:pStyle w:val="NoSpacing"/>
                                      <w:rPr>
                                        <w:rFonts w:ascii="Times New Roman" w:hAnsi="Times New Roman" w:cs="Times New Roman"/>
                                        <w:i/>
                                        <w:color w:val="262626" w:themeColor="text1" w:themeTint="D9"/>
                                        <w:sz w:val="36"/>
                                        <w:szCs w:val="36"/>
                                      </w:rPr>
                                    </w:pPr>
                                    <w:r w:rsidRPr="00DE5F2E">
                                      <w:rPr>
                                        <w:rFonts w:ascii="Times New Roman" w:hAnsi="Times New Roman" w:cs="Times New Roman"/>
                                        <w:color w:val="262626" w:themeColor="text1" w:themeTint="D9"/>
                                        <w:sz w:val="36"/>
                                        <w:szCs w:val="36"/>
                                      </w:rPr>
                                      <w:t>A difference-in-differences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9A7C2AF" id="Text Box 38" o:spid="_x0000_s1027" type="#_x0000_t202" alt="Title: Title and subtitle" style="position:absolute;margin-left:0;margin-top:0;width:435.75pt;height:214.55pt;z-index:25166131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imes New Roman" w:hAnsi="Times New Roman" w:cs="Times New Roman"/>
                              <w:i/>
                              <w:caps/>
                              <w:color w:val="262626" w:themeColor="text1" w:themeTint="D9"/>
                              <w:sz w:val="80"/>
                              <w:szCs w:val="8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BD93DD1" w14:textId="623A4C17" w:rsidR="00C7275A" w:rsidRDefault="001477E6">
                              <w:pPr>
                                <w:pStyle w:val="NoSpacing"/>
                                <w:spacing w:after="900"/>
                                <w:rPr>
                                  <w:rFonts w:asciiTheme="majorHAnsi" w:hAnsiTheme="majorHAnsi"/>
                                  <w:i/>
                                  <w:caps/>
                                  <w:color w:val="262626" w:themeColor="text1" w:themeTint="D9"/>
                                  <w:sz w:val="120"/>
                                  <w:szCs w:val="120"/>
                                </w:rPr>
                              </w:pPr>
                              <w:r>
                                <w:rPr>
                                  <w:rFonts w:ascii="Times New Roman" w:hAnsi="Times New Roman" w:cs="Times New Roman"/>
                                  <w:i/>
                                  <w:caps/>
                                  <w:color w:val="262626" w:themeColor="text1" w:themeTint="D9"/>
                                  <w:sz w:val="80"/>
                                  <w:szCs w:val="80"/>
                                </w:rPr>
                                <w:t xml:space="preserve">The </w:t>
                              </w:r>
                              <w:r w:rsidR="00C7275A" w:rsidRPr="00DE5F2E">
                                <w:rPr>
                                  <w:rFonts w:ascii="Times New Roman" w:hAnsi="Times New Roman" w:cs="Times New Roman"/>
                                  <w:i/>
                                  <w:caps/>
                                  <w:color w:val="262626" w:themeColor="text1" w:themeTint="D9"/>
                                  <w:sz w:val="80"/>
                                  <w:szCs w:val="80"/>
                                </w:rPr>
                                <w:t>Effect of bui</w:t>
                              </w:r>
                              <w:r w:rsidR="00C7275A">
                                <w:rPr>
                                  <w:rFonts w:ascii="Times New Roman" w:hAnsi="Times New Roman" w:cs="Times New Roman"/>
                                  <w:i/>
                                  <w:caps/>
                                  <w:color w:val="262626" w:themeColor="text1" w:themeTint="D9"/>
                                  <w:sz w:val="80"/>
                                  <w:szCs w:val="80"/>
                                </w:rPr>
                                <w:t xml:space="preserve">lding </w:t>
                              </w:r>
                              <w:r w:rsidR="00C7275A" w:rsidRPr="00DE5F2E">
                                <w:rPr>
                                  <w:rFonts w:ascii="Times New Roman" w:hAnsi="Times New Roman" w:cs="Times New Roman"/>
                                  <w:i/>
                                  <w:caps/>
                                  <w:color w:val="262626" w:themeColor="text1" w:themeTint="D9"/>
                                  <w:sz w:val="80"/>
                                  <w:szCs w:val="80"/>
                                </w:rPr>
                                <w:t>temple</w:t>
                              </w:r>
                              <w:r w:rsidR="00C7275A">
                                <w:rPr>
                                  <w:rFonts w:ascii="Times New Roman" w:hAnsi="Times New Roman" w:cs="Times New Roman"/>
                                  <w:i/>
                                  <w:caps/>
                                  <w:color w:val="262626" w:themeColor="text1" w:themeTint="D9"/>
                                  <w:sz w:val="80"/>
                                  <w:szCs w:val="80"/>
                                </w:rPr>
                                <w:t>s</w:t>
                              </w:r>
                              <w:r w:rsidR="00C7275A" w:rsidRPr="00DE5F2E">
                                <w:rPr>
                                  <w:rFonts w:ascii="Times New Roman" w:hAnsi="Times New Roman" w:cs="Times New Roman"/>
                                  <w:i/>
                                  <w:caps/>
                                  <w:color w:val="262626" w:themeColor="text1" w:themeTint="D9"/>
                                  <w:sz w:val="80"/>
                                  <w:szCs w:val="80"/>
                                </w:rPr>
                                <w:t xml:space="preserve"> on</w:t>
                              </w:r>
                              <w:r w:rsidR="00C7275A">
                                <w:rPr>
                                  <w:rFonts w:ascii="Times New Roman" w:hAnsi="Times New Roman" w:cs="Times New Roman"/>
                                  <w:i/>
                                  <w:caps/>
                                  <w:color w:val="262626" w:themeColor="text1" w:themeTint="D9"/>
                                  <w:sz w:val="80"/>
                                  <w:szCs w:val="80"/>
                                </w:rPr>
                                <w:t xml:space="preserve"> surrounding</w:t>
                              </w:r>
                              <w:r w:rsidR="00C7275A" w:rsidRPr="00DE5F2E">
                                <w:rPr>
                                  <w:rFonts w:ascii="Times New Roman" w:hAnsi="Times New Roman" w:cs="Times New Roman"/>
                                  <w:i/>
                                  <w:caps/>
                                  <w:color w:val="262626" w:themeColor="text1" w:themeTint="D9"/>
                                  <w:sz w:val="80"/>
                                  <w:szCs w:val="80"/>
                                </w:rPr>
                                <w:t xml:space="preserve"> housing prices</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254795" w14:textId="77777777" w:rsidR="00C7275A" w:rsidRPr="00DE5F2E" w:rsidRDefault="00C7275A">
                              <w:pPr>
                                <w:pStyle w:val="NoSpacing"/>
                                <w:rPr>
                                  <w:rFonts w:ascii="Times New Roman" w:hAnsi="Times New Roman" w:cs="Times New Roman"/>
                                  <w:i/>
                                  <w:color w:val="262626" w:themeColor="text1" w:themeTint="D9"/>
                                  <w:sz w:val="36"/>
                                  <w:szCs w:val="36"/>
                                </w:rPr>
                              </w:pPr>
                              <w:r w:rsidRPr="00DE5F2E">
                                <w:rPr>
                                  <w:rFonts w:ascii="Times New Roman" w:hAnsi="Times New Roman" w:cs="Times New Roman"/>
                                  <w:color w:val="262626" w:themeColor="text1" w:themeTint="D9"/>
                                  <w:sz w:val="36"/>
                                  <w:szCs w:val="36"/>
                                </w:rPr>
                                <w:t>A difference-in-differences analysis</w:t>
                              </w:r>
                            </w:p>
                          </w:sdtContent>
                        </w:sdt>
                      </w:txbxContent>
                    </v:textbox>
                    <w10:wrap anchorx="page" anchory="page"/>
                  </v:shape>
                </w:pict>
              </mc:Fallback>
            </mc:AlternateContent>
          </w:r>
        </w:p>
        <w:p w14:paraId="1E0044B7" w14:textId="77777777" w:rsidR="00DE5F2E" w:rsidRDefault="00DE5F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Content>
    </w:sdt>
    <w:p w14:paraId="0B58DAC7" w14:textId="77777777" w:rsidR="002463FD" w:rsidRDefault="00C7275A">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ACDC3E8" w14:textId="77777777" w:rsidR="002463FD" w:rsidRDefault="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Church of Jesus Christ of Latter-day Saints is a worldwide institution that was founded in the United States in the 1800s. The culminating act of worship for members of the Church takes place in temples</w:t>
      </w:r>
      <w:r w:rsidR="00264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64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beautiful, ornate buildings that only members</w:t>
      </w:r>
      <w:r w:rsidR="00B311E6">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may </w:t>
      </w:r>
      <w:r w:rsidR="006D717E">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As such, the Church places a high priority on erecting temples throughout the world. These temples can be associated with plausible positive and negative externalities. Among the positive externalities, one could argue that the spotless, well-kept, publicly available grounds and the quiet, almost reverent aura surrounding temples would give external benefit to the surrounding communities. Conversely, the building of a temple could increase traffic a</w:t>
      </w:r>
      <w:r w:rsidR="00B311E6">
        <w:rPr>
          <w:rFonts w:ascii="Times New Roman" w:eastAsia="Times New Roman" w:hAnsi="Times New Roman" w:cs="Times New Roman"/>
          <w:sz w:val="24"/>
          <w:szCs w:val="24"/>
        </w:rPr>
        <w:t>nd tourist presence in the area</w:t>
      </w:r>
      <w:r>
        <w:rPr>
          <w:rFonts w:ascii="Times New Roman" w:eastAsia="Times New Roman" w:hAnsi="Times New Roman" w:cs="Times New Roman"/>
          <w:sz w:val="24"/>
          <w:szCs w:val="24"/>
        </w:rPr>
        <w:t xml:space="preserve"> and be a perceived encroachment on others’ religious (or lack of) religious beliefs. In our study, we seek to understand the effect of building a temple on surrounding housing prices, specifically in the state of Arizona. We considered Arizona to be the best place to conduct this analysis due to the availability of housing data as well as the relatively large number of temples built in such a small time period. In investigating this causal effect, we hoped to determine if the “temple effect” was a net benefit or cost to surrounding communities. </w:t>
      </w:r>
    </w:p>
    <w:p w14:paraId="72E17D49" w14:textId="77777777" w:rsidR="002463FD" w:rsidRPr="008F4E89" w:rsidRDefault="00C7275A" w:rsidP="006505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To this point, there has been minimal work published regarding the effect of Latter-day Saint temples on surrounding housing prices, although there has been much speculation on the topic through anecdotal evidence in the news</w:t>
      </w:r>
      <w:r w:rsidR="00253748">
        <w:rPr>
          <w:rStyle w:val="EndnoteReference"/>
          <w:rFonts w:ascii="Times New Roman" w:eastAsia="Times New Roman" w:hAnsi="Times New Roman" w:cs="Times New Roman"/>
          <w:sz w:val="24"/>
          <w:szCs w:val="24"/>
        </w:rPr>
        <w:endnoteReference w:id="1"/>
      </w:r>
      <w:r w:rsidR="00656C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one paper that we found investigating this specific question uses multiple regression as the identification strategy, and purposely avoids looking at temples in areas with high concentr</w:t>
      </w:r>
      <w:r w:rsidR="00A225C6">
        <w:rPr>
          <w:rFonts w:ascii="Times New Roman" w:eastAsia="Times New Roman" w:hAnsi="Times New Roman" w:cs="Times New Roman"/>
          <w:sz w:val="24"/>
          <w:szCs w:val="24"/>
        </w:rPr>
        <w:t>ations of members of the Church</w:t>
      </w:r>
      <w:r w:rsidR="00A225C6">
        <w:rPr>
          <w:rStyle w:val="EndnoteReference"/>
          <w:rFonts w:ascii="Times New Roman" w:eastAsia="Times New Roman" w:hAnsi="Times New Roman" w:cs="Times New Roman"/>
          <w:sz w:val="24"/>
          <w:szCs w:val="24"/>
        </w:rPr>
        <w:endnoteReference w:id="2"/>
      </w:r>
      <w:r>
        <w:rPr>
          <w:rFonts w:ascii="Times New Roman" w:eastAsia="Times New Roman" w:hAnsi="Times New Roman" w:cs="Times New Roman"/>
          <w:sz w:val="24"/>
          <w:szCs w:val="24"/>
        </w:rPr>
        <w:t xml:space="preserve">, both of which are different from the methodology this paper employs. In a broader sense, there has been some </w:t>
      </w:r>
      <w:r>
        <w:rPr>
          <w:rFonts w:ascii="Times New Roman" w:eastAsia="Times New Roman" w:hAnsi="Times New Roman" w:cs="Times New Roman"/>
          <w:sz w:val="24"/>
          <w:szCs w:val="24"/>
        </w:rPr>
        <w:lastRenderedPageBreak/>
        <w:t>work done on the effect of places of worship affecting surrounding hou</w:t>
      </w:r>
      <w:r w:rsidR="008F4E89">
        <w:rPr>
          <w:rFonts w:ascii="Times New Roman" w:eastAsia="Times New Roman" w:hAnsi="Times New Roman" w:cs="Times New Roman"/>
          <w:sz w:val="24"/>
          <w:szCs w:val="24"/>
        </w:rPr>
        <w:t>sing prices, with mixed results</w:t>
      </w:r>
      <w:r w:rsidR="008F4E89" w:rsidRPr="008F4E89">
        <w:rPr>
          <w:color w:val="000000"/>
        </w:rPr>
        <w:t xml:space="preserve"> </w:t>
      </w:r>
      <w:r w:rsidR="008F4E89" w:rsidRPr="008F4E89">
        <w:rPr>
          <w:rFonts w:ascii="Times New Roman" w:eastAsia="Times New Roman" w:hAnsi="Times New Roman" w:cs="Times New Roman"/>
          <w:color w:val="000000"/>
          <w:sz w:val="24"/>
          <w:szCs w:val="24"/>
          <w:lang w:val="en-US"/>
        </w:rPr>
        <w:t>(Brandt et al., 2013)</w:t>
      </w:r>
      <w:r w:rsidR="008F4E89">
        <w:rPr>
          <w:rStyle w:val="EndnoteReference"/>
          <w:rFonts w:ascii="Times New Roman" w:eastAsia="Times New Roman" w:hAnsi="Times New Roman" w:cs="Times New Roman"/>
          <w:sz w:val="24"/>
          <w:szCs w:val="24"/>
        </w:rPr>
        <w:endnoteReference w:id="3"/>
      </w:r>
      <w:r w:rsidR="008F4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work will therefore advance this line of research by adding a unique perspective on the effect of Latter-day Saint temples on housing prices. </w:t>
      </w:r>
    </w:p>
    <w:p w14:paraId="4F9049D6" w14:textId="77777777" w:rsidR="002463FD" w:rsidRDefault="00C7275A">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
    <w:p w14:paraId="6D6D7B5E" w14:textId="77777777" w:rsidR="002463FD" w:rsidRDefault="00C727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analysis of the “temple effect” uses data from multiple sources. First, we found a list of temple locations and dedication dates through the Church of Jesus Christ of Latter-day Saints website</w:t>
      </w:r>
      <w:r w:rsidR="00656C9E">
        <w:rPr>
          <w:rStyle w:val="EndnoteReference"/>
          <w:rFonts w:ascii="Times New Roman" w:eastAsia="Times New Roman" w:hAnsi="Times New Roman" w:cs="Times New Roman"/>
          <w:sz w:val="24"/>
          <w:szCs w:val="24"/>
        </w:rPr>
        <w:endnoteReference w:id="4"/>
      </w:r>
      <w:r w:rsidR="0070371A">
        <w:rPr>
          <w:rFonts w:ascii="Times New Roman" w:eastAsia="Times New Roman" w:hAnsi="Times New Roman" w:cs="Times New Roman"/>
          <w:sz w:val="24"/>
          <w:szCs w:val="24"/>
        </w:rPr>
        <w:t>.</w:t>
      </w:r>
      <w:r w:rsidR="00656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this list, we took the five temples that had been dedicated in Arizona between the years of 2000 and 2020. These five temples (Snowflake, Phoenix, Gilbert, Gila Valley, Tucson) are located in four counties (Navajo, Maricopa, Graham, Pima). We collected data on the temple statistics by hand from various sources</w:t>
      </w:r>
      <w:r w:rsidR="00656C9E">
        <w:rPr>
          <w:rStyle w:val="EndnoteReference"/>
          <w:rFonts w:ascii="Times New Roman" w:eastAsia="Times New Roman" w:hAnsi="Times New Roman" w:cs="Times New Roman"/>
          <w:sz w:val="24"/>
          <w:szCs w:val="24"/>
        </w:rPr>
        <w:endnoteReference w:id="5"/>
      </w:r>
      <w:r w:rsidR="0070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(latitudes and longitudes, square footage of each temple, acreage of temple lots, groundbreaking and dedication dates). </w:t>
      </w:r>
    </w:p>
    <w:p w14:paraId="1C22C32E" w14:textId="77777777" w:rsidR="002463FD" w:rsidRDefault="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other main dataset is micro-level data on housing sales in the four counties where the temples of interest were built, which we received from Dr. Pope. This data includes the location of individual homes, their sale prices and dates, and relevant characteristics such as the year the home was built, number of bedrooms/bathrooms, lot size, etc. Although this dataset was mostly complete, there were a few issues with missing data. We manually filled in some of the gaps with missing data by looking up the specific values by home on Zillow</w:t>
      </w:r>
      <w:r w:rsidR="0070371A">
        <w:rPr>
          <w:rStyle w:val="EndnoteReference"/>
          <w:rFonts w:ascii="Times New Roman" w:eastAsia="Times New Roman" w:hAnsi="Times New Roman" w:cs="Times New Roman"/>
          <w:sz w:val="24"/>
          <w:szCs w:val="24"/>
        </w:rPr>
        <w:endnoteReference w:id="6"/>
      </w:r>
      <w:r w:rsidR="00703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bathroom count variable required the most attention, followed by the year built and lot size variables.  In total, we updated nearly 150 data points. Our efforts to fix as many missing values as possible were crucial in order to have enough observations to conduct a proper analysis. We also dropped all observations that sold for over $2 million to remove the outliers.</w:t>
      </w:r>
    </w:p>
    <w:p w14:paraId="7CA68344" w14:textId="77777777" w:rsidR="002463FD" w:rsidRDefault="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then supplemented these controls with information on county popu</w:t>
      </w:r>
      <w:r w:rsidR="009503F8">
        <w:rPr>
          <w:rFonts w:ascii="Times New Roman" w:eastAsia="Times New Roman" w:hAnsi="Times New Roman" w:cs="Times New Roman"/>
          <w:sz w:val="24"/>
          <w:szCs w:val="24"/>
        </w:rPr>
        <w:t>lation from US Census records.</w:t>
      </w:r>
      <w:r w:rsidR="009503F8">
        <w:rPr>
          <w:rStyle w:val="EndnoteReference"/>
          <w:rFonts w:ascii="Times New Roman" w:eastAsia="Times New Roman" w:hAnsi="Times New Roman" w:cs="Times New Roman"/>
          <w:sz w:val="24"/>
          <w:szCs w:val="24"/>
        </w:rPr>
        <w:endnoteReference w:id="7"/>
      </w:r>
      <w:r w:rsidR="009503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micro-level nature of our data lends itself well to our difference-in-differences identification strategy which will be discussed in the next section.</w:t>
      </w:r>
    </w:p>
    <w:p w14:paraId="1B06B374" w14:textId="77777777" w:rsidR="001F057E" w:rsidRDefault="00C7275A" w:rsidP="00DA66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shows summary statistics organized by temple and </w:t>
      </w:r>
      <w:r w:rsidR="001F057E">
        <w:rPr>
          <w:rFonts w:ascii="Times New Roman" w:eastAsia="Times New Roman" w:hAnsi="Times New Roman" w:cs="Times New Roman"/>
          <w:sz w:val="24"/>
          <w:szCs w:val="24"/>
        </w:rPr>
        <w:t>by home location based on the specified radii.</w:t>
      </w:r>
      <w:r>
        <w:rPr>
          <w:rFonts w:ascii="Times New Roman" w:eastAsia="Times New Roman" w:hAnsi="Times New Roman" w:cs="Times New Roman"/>
          <w:sz w:val="24"/>
          <w:szCs w:val="24"/>
        </w:rPr>
        <w:t xml:space="preserve"> As shown, only three of the original five temples remain. The Snowflake Temple area had no observa</w:t>
      </w:r>
      <w:r w:rsidR="00264AE8">
        <w:rPr>
          <w:rFonts w:ascii="Times New Roman" w:eastAsia="Times New Roman" w:hAnsi="Times New Roman" w:cs="Times New Roman"/>
          <w:sz w:val="24"/>
          <w:szCs w:val="24"/>
        </w:rPr>
        <w:t>tions before its</w:t>
      </w:r>
      <w:r w:rsidR="001F057E">
        <w:rPr>
          <w:rFonts w:ascii="Times New Roman" w:eastAsia="Times New Roman" w:hAnsi="Times New Roman" w:cs="Times New Roman"/>
          <w:sz w:val="24"/>
          <w:szCs w:val="24"/>
        </w:rPr>
        <w:t xml:space="preserve"> dedication date (treatment)</w:t>
      </w:r>
      <w:r>
        <w:rPr>
          <w:rFonts w:ascii="Times New Roman" w:eastAsia="Times New Roman" w:hAnsi="Times New Roman" w:cs="Times New Roman"/>
          <w:sz w:val="24"/>
          <w:szCs w:val="24"/>
        </w:rPr>
        <w:t xml:space="preserve"> and the Gila Valley Temple area did not have any observations after treatment. The Gilbert Temple area has by far the most observations while the other two areas seem to be somewhat limited.</w:t>
      </w:r>
    </w:p>
    <w:p w14:paraId="6B1F2468" w14:textId="77777777" w:rsidR="002463FD" w:rsidRDefault="00C727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1</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2025"/>
        <w:gridCol w:w="1200"/>
        <w:gridCol w:w="1185"/>
        <w:gridCol w:w="1185"/>
        <w:gridCol w:w="1185"/>
        <w:gridCol w:w="1185"/>
        <w:gridCol w:w="1185"/>
      </w:tblGrid>
      <w:tr w:rsidR="002463FD" w14:paraId="3CE2F27A" w14:textId="77777777" w:rsidTr="002636BD">
        <w:trPr>
          <w:trHeight w:val="242"/>
        </w:trPr>
        <w:tc>
          <w:tcPr>
            <w:tcW w:w="2025" w:type="dxa"/>
            <w:vMerge w:val="restart"/>
            <w:tcBorders>
              <w:top w:val="nil"/>
              <w:left w:val="nil"/>
              <w:bottom w:val="single" w:sz="8" w:space="0" w:color="000000"/>
              <w:right w:val="nil"/>
            </w:tcBorders>
            <w:tcMar>
              <w:top w:w="100" w:type="dxa"/>
              <w:left w:w="100" w:type="dxa"/>
              <w:bottom w:w="100" w:type="dxa"/>
              <w:right w:w="100" w:type="dxa"/>
            </w:tcMar>
            <w:vAlign w:val="bottom"/>
          </w:tcPr>
          <w:p w14:paraId="24C49D9F"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Pre-Treatment</w:t>
            </w:r>
          </w:p>
          <w:p w14:paraId="25DFAFB6" w14:textId="77777777" w:rsidR="002463FD" w:rsidRDefault="00C7275A">
            <w:pPr>
              <w:jc w:val="center"/>
              <w:rPr>
                <w:rFonts w:ascii="Times New Roman" w:eastAsia="Times New Roman" w:hAnsi="Times New Roman" w:cs="Times New Roman"/>
                <w:b/>
                <w:i/>
                <w:color w:val="0000FF"/>
                <w:sz w:val="21"/>
                <w:szCs w:val="21"/>
              </w:rPr>
            </w:pPr>
            <w:r>
              <w:rPr>
                <w:rFonts w:ascii="Times New Roman" w:eastAsia="Times New Roman" w:hAnsi="Times New Roman" w:cs="Times New Roman"/>
                <w:b/>
                <w:i/>
                <w:color w:val="0000FF"/>
                <w:sz w:val="21"/>
                <w:szCs w:val="21"/>
              </w:rPr>
              <w:t>Post-Treatment</w:t>
            </w:r>
          </w:p>
        </w:tc>
        <w:tc>
          <w:tcPr>
            <w:tcW w:w="2385" w:type="dxa"/>
            <w:gridSpan w:val="2"/>
            <w:tcBorders>
              <w:top w:val="nil"/>
              <w:left w:val="nil"/>
              <w:bottom w:val="single" w:sz="8" w:space="0" w:color="7F7F7F"/>
              <w:right w:val="nil"/>
            </w:tcBorders>
            <w:tcMar>
              <w:top w:w="100" w:type="dxa"/>
              <w:left w:w="100" w:type="dxa"/>
              <w:bottom w:w="100" w:type="dxa"/>
              <w:right w:w="100" w:type="dxa"/>
            </w:tcMar>
          </w:tcPr>
          <w:p w14:paraId="11648F85"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Gilbert Temple</w:t>
            </w:r>
          </w:p>
        </w:tc>
        <w:tc>
          <w:tcPr>
            <w:tcW w:w="2370" w:type="dxa"/>
            <w:gridSpan w:val="2"/>
            <w:tcBorders>
              <w:top w:val="nil"/>
              <w:left w:val="nil"/>
              <w:bottom w:val="single" w:sz="8" w:space="0" w:color="7F7F7F"/>
              <w:right w:val="nil"/>
            </w:tcBorders>
            <w:shd w:val="clear" w:color="auto" w:fill="auto"/>
            <w:tcMar>
              <w:top w:w="100" w:type="dxa"/>
              <w:left w:w="100" w:type="dxa"/>
              <w:bottom w:w="100" w:type="dxa"/>
              <w:right w:w="100" w:type="dxa"/>
            </w:tcMar>
          </w:tcPr>
          <w:p w14:paraId="59E28FD8"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Phoenix Temple</w:t>
            </w:r>
          </w:p>
        </w:tc>
        <w:tc>
          <w:tcPr>
            <w:tcW w:w="2370" w:type="dxa"/>
            <w:gridSpan w:val="2"/>
            <w:tcBorders>
              <w:top w:val="nil"/>
              <w:left w:val="nil"/>
              <w:bottom w:val="single" w:sz="8" w:space="0" w:color="7F7F7F"/>
              <w:right w:val="nil"/>
            </w:tcBorders>
            <w:shd w:val="clear" w:color="auto" w:fill="auto"/>
            <w:tcMar>
              <w:top w:w="100" w:type="dxa"/>
              <w:left w:w="100" w:type="dxa"/>
              <w:bottom w:w="100" w:type="dxa"/>
              <w:right w:w="100" w:type="dxa"/>
            </w:tcMar>
          </w:tcPr>
          <w:p w14:paraId="63B549F4"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Tucson Temple</w:t>
            </w:r>
          </w:p>
        </w:tc>
      </w:tr>
      <w:tr w:rsidR="002463FD" w14:paraId="2B6660E6" w14:textId="77777777" w:rsidTr="002636BD">
        <w:trPr>
          <w:trHeight w:val="494"/>
        </w:trPr>
        <w:tc>
          <w:tcPr>
            <w:tcW w:w="2025" w:type="dxa"/>
            <w:vMerge/>
            <w:tcBorders>
              <w:bottom w:val="single" w:sz="8" w:space="0" w:color="000000"/>
              <w:right w:val="nil"/>
            </w:tcBorders>
            <w:shd w:val="clear" w:color="auto" w:fill="auto"/>
            <w:tcMar>
              <w:top w:w="100" w:type="dxa"/>
              <w:left w:w="100" w:type="dxa"/>
              <w:bottom w:w="100" w:type="dxa"/>
              <w:right w:w="100" w:type="dxa"/>
            </w:tcMar>
          </w:tcPr>
          <w:p w14:paraId="697D0E2E" w14:textId="77777777" w:rsidR="002463FD" w:rsidRDefault="002463FD">
            <w:pPr>
              <w:widowControl w:val="0"/>
              <w:pBdr>
                <w:top w:val="nil"/>
                <w:left w:val="nil"/>
                <w:bottom w:val="nil"/>
                <w:right w:val="nil"/>
                <w:between w:val="nil"/>
              </w:pBdr>
              <w:rPr>
                <w:rFonts w:ascii="Times New Roman" w:eastAsia="Times New Roman" w:hAnsi="Times New Roman" w:cs="Times New Roman"/>
                <w:sz w:val="24"/>
                <w:szCs w:val="24"/>
              </w:rPr>
            </w:pPr>
          </w:p>
        </w:tc>
        <w:tc>
          <w:tcPr>
            <w:tcW w:w="1200" w:type="dxa"/>
            <w:tcBorders>
              <w:top w:val="nil"/>
              <w:left w:val="nil"/>
              <w:bottom w:val="single" w:sz="8" w:space="0" w:color="000000"/>
              <w:right w:val="nil"/>
            </w:tcBorders>
            <w:shd w:val="clear" w:color="auto" w:fill="F2F2F2"/>
            <w:tcMar>
              <w:top w:w="100" w:type="dxa"/>
              <w:left w:w="100" w:type="dxa"/>
              <w:bottom w:w="100" w:type="dxa"/>
              <w:right w:w="100" w:type="dxa"/>
            </w:tcMar>
          </w:tcPr>
          <w:p w14:paraId="7D95EF12"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0-0.75 Miles</w:t>
            </w:r>
          </w:p>
        </w:tc>
        <w:tc>
          <w:tcPr>
            <w:tcW w:w="1185" w:type="dxa"/>
            <w:tcBorders>
              <w:top w:val="nil"/>
              <w:left w:val="nil"/>
              <w:bottom w:val="single" w:sz="8" w:space="0" w:color="000000"/>
              <w:right w:val="nil"/>
            </w:tcBorders>
            <w:shd w:val="clear" w:color="auto" w:fill="F2F2F2"/>
            <w:tcMar>
              <w:top w:w="100" w:type="dxa"/>
              <w:left w:w="100" w:type="dxa"/>
              <w:bottom w:w="100" w:type="dxa"/>
              <w:right w:w="100" w:type="dxa"/>
            </w:tcMar>
          </w:tcPr>
          <w:p w14:paraId="7C01891C"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0.75-1.25 Miles</w:t>
            </w:r>
          </w:p>
        </w:tc>
        <w:tc>
          <w:tcPr>
            <w:tcW w:w="1185" w:type="dxa"/>
            <w:tcBorders>
              <w:top w:val="nil"/>
              <w:left w:val="nil"/>
              <w:bottom w:val="single" w:sz="8" w:space="0" w:color="000000"/>
              <w:right w:val="nil"/>
            </w:tcBorders>
            <w:shd w:val="clear" w:color="auto" w:fill="F2F2F2"/>
            <w:tcMar>
              <w:top w:w="100" w:type="dxa"/>
              <w:left w:w="100" w:type="dxa"/>
              <w:bottom w:w="100" w:type="dxa"/>
              <w:right w:w="100" w:type="dxa"/>
            </w:tcMar>
          </w:tcPr>
          <w:p w14:paraId="61F5F5E0"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0-0.75 Miles</w:t>
            </w:r>
          </w:p>
        </w:tc>
        <w:tc>
          <w:tcPr>
            <w:tcW w:w="1185" w:type="dxa"/>
            <w:tcBorders>
              <w:top w:val="nil"/>
              <w:left w:val="nil"/>
              <w:bottom w:val="single" w:sz="8" w:space="0" w:color="000000"/>
              <w:right w:val="nil"/>
            </w:tcBorders>
            <w:shd w:val="clear" w:color="auto" w:fill="F2F2F2"/>
            <w:tcMar>
              <w:top w:w="100" w:type="dxa"/>
              <w:left w:w="100" w:type="dxa"/>
              <w:bottom w:w="100" w:type="dxa"/>
              <w:right w:w="100" w:type="dxa"/>
            </w:tcMar>
          </w:tcPr>
          <w:p w14:paraId="33E67236"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0.75-1.25 Miles</w:t>
            </w:r>
          </w:p>
        </w:tc>
        <w:tc>
          <w:tcPr>
            <w:tcW w:w="1185" w:type="dxa"/>
            <w:tcBorders>
              <w:top w:val="nil"/>
              <w:left w:val="nil"/>
              <w:bottom w:val="single" w:sz="8" w:space="0" w:color="000000"/>
              <w:right w:val="nil"/>
            </w:tcBorders>
            <w:shd w:val="clear" w:color="auto" w:fill="F2F2F2"/>
            <w:tcMar>
              <w:top w:w="100" w:type="dxa"/>
              <w:left w:w="100" w:type="dxa"/>
              <w:bottom w:w="100" w:type="dxa"/>
              <w:right w:w="100" w:type="dxa"/>
            </w:tcMar>
          </w:tcPr>
          <w:p w14:paraId="2AB8414F"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0-0.75 Miles</w:t>
            </w:r>
          </w:p>
        </w:tc>
        <w:tc>
          <w:tcPr>
            <w:tcW w:w="1185" w:type="dxa"/>
            <w:tcBorders>
              <w:top w:val="nil"/>
              <w:left w:val="nil"/>
              <w:bottom w:val="single" w:sz="8" w:space="0" w:color="000000"/>
              <w:right w:val="nil"/>
            </w:tcBorders>
            <w:shd w:val="clear" w:color="auto" w:fill="F2F2F2"/>
            <w:tcMar>
              <w:top w:w="100" w:type="dxa"/>
              <w:left w:w="100" w:type="dxa"/>
              <w:bottom w:w="100" w:type="dxa"/>
              <w:right w:w="100" w:type="dxa"/>
            </w:tcMar>
          </w:tcPr>
          <w:p w14:paraId="79AE364F" w14:textId="77777777" w:rsidR="002463FD" w:rsidRDefault="00C7275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0.75-1.25 Miles</w:t>
            </w:r>
          </w:p>
        </w:tc>
      </w:tr>
      <w:tr w:rsidR="002463FD" w14:paraId="3335D2AE" w14:textId="77777777" w:rsidTr="002636BD">
        <w:trPr>
          <w:trHeight w:val="15"/>
        </w:trPr>
        <w:tc>
          <w:tcPr>
            <w:tcW w:w="2025" w:type="dxa"/>
            <w:tcBorders>
              <w:top w:val="nil"/>
              <w:left w:val="nil"/>
              <w:bottom w:val="nil"/>
              <w:right w:val="single" w:sz="8" w:space="0" w:color="7F7F7F"/>
            </w:tcBorders>
            <w:shd w:val="clear" w:color="auto" w:fill="auto"/>
            <w:tcMar>
              <w:top w:w="100" w:type="dxa"/>
              <w:left w:w="100" w:type="dxa"/>
              <w:bottom w:w="100" w:type="dxa"/>
              <w:right w:w="100" w:type="dxa"/>
            </w:tcMar>
          </w:tcPr>
          <w:p w14:paraId="11A0161F" w14:textId="77777777" w:rsidR="002463FD" w:rsidRDefault="001F057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Count o</w:t>
            </w:r>
            <w:r w:rsidR="00C7275A">
              <w:rPr>
                <w:rFonts w:ascii="Times New Roman" w:eastAsia="Times New Roman" w:hAnsi="Times New Roman" w:cs="Times New Roman"/>
                <w:b/>
                <w:sz w:val="21"/>
                <w:szCs w:val="21"/>
              </w:rPr>
              <w:t>f Observations</w:t>
            </w:r>
          </w:p>
        </w:tc>
        <w:tc>
          <w:tcPr>
            <w:tcW w:w="1200" w:type="dxa"/>
            <w:tcBorders>
              <w:top w:val="nil"/>
              <w:left w:val="nil"/>
              <w:bottom w:val="nil"/>
              <w:right w:val="nil"/>
            </w:tcBorders>
            <w:shd w:val="clear" w:color="auto" w:fill="auto"/>
            <w:tcMar>
              <w:top w:w="100" w:type="dxa"/>
              <w:left w:w="100" w:type="dxa"/>
              <w:bottom w:w="100" w:type="dxa"/>
              <w:right w:w="100" w:type="dxa"/>
            </w:tcMar>
          </w:tcPr>
          <w:p w14:paraId="457D7070"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p w14:paraId="784F55F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16</w:t>
            </w:r>
          </w:p>
        </w:tc>
        <w:tc>
          <w:tcPr>
            <w:tcW w:w="1185" w:type="dxa"/>
            <w:tcBorders>
              <w:top w:val="nil"/>
              <w:left w:val="nil"/>
              <w:bottom w:val="nil"/>
              <w:right w:val="nil"/>
            </w:tcBorders>
            <w:shd w:val="clear" w:color="auto" w:fill="auto"/>
            <w:tcMar>
              <w:top w:w="100" w:type="dxa"/>
              <w:left w:w="100" w:type="dxa"/>
              <w:bottom w:w="100" w:type="dxa"/>
              <w:right w:w="100" w:type="dxa"/>
            </w:tcMar>
          </w:tcPr>
          <w:p w14:paraId="16A210C5"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334</w:t>
            </w:r>
          </w:p>
          <w:p w14:paraId="626A0AD7"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41</w:t>
            </w:r>
          </w:p>
        </w:tc>
        <w:tc>
          <w:tcPr>
            <w:tcW w:w="1185" w:type="dxa"/>
            <w:tcBorders>
              <w:top w:val="nil"/>
              <w:left w:val="nil"/>
              <w:bottom w:val="nil"/>
              <w:right w:val="nil"/>
            </w:tcBorders>
            <w:shd w:val="clear" w:color="auto" w:fill="auto"/>
            <w:tcMar>
              <w:top w:w="100" w:type="dxa"/>
              <w:left w:w="100" w:type="dxa"/>
              <w:bottom w:w="100" w:type="dxa"/>
              <w:right w:w="100" w:type="dxa"/>
            </w:tcMar>
          </w:tcPr>
          <w:p w14:paraId="192EB991"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3091B2E3"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7</w:t>
            </w:r>
          </w:p>
        </w:tc>
        <w:tc>
          <w:tcPr>
            <w:tcW w:w="1185" w:type="dxa"/>
            <w:tcBorders>
              <w:top w:val="nil"/>
              <w:left w:val="nil"/>
              <w:bottom w:val="nil"/>
              <w:right w:val="nil"/>
            </w:tcBorders>
            <w:shd w:val="clear" w:color="auto" w:fill="auto"/>
            <w:tcMar>
              <w:top w:w="100" w:type="dxa"/>
              <w:left w:w="100" w:type="dxa"/>
              <w:bottom w:w="100" w:type="dxa"/>
              <w:right w:w="100" w:type="dxa"/>
            </w:tcMar>
          </w:tcPr>
          <w:p w14:paraId="608885AE"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p w14:paraId="707D4E8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13</w:t>
            </w:r>
          </w:p>
        </w:tc>
        <w:tc>
          <w:tcPr>
            <w:tcW w:w="1185" w:type="dxa"/>
            <w:tcBorders>
              <w:top w:val="nil"/>
              <w:left w:val="nil"/>
              <w:bottom w:val="nil"/>
              <w:right w:val="nil"/>
            </w:tcBorders>
            <w:shd w:val="clear" w:color="auto" w:fill="auto"/>
            <w:tcMar>
              <w:top w:w="100" w:type="dxa"/>
              <w:left w:w="100" w:type="dxa"/>
              <w:bottom w:w="100" w:type="dxa"/>
              <w:right w:w="100" w:type="dxa"/>
            </w:tcMar>
          </w:tcPr>
          <w:p w14:paraId="123AADF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14:paraId="702FDE2D"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w:t>
            </w:r>
          </w:p>
        </w:tc>
        <w:tc>
          <w:tcPr>
            <w:tcW w:w="1185" w:type="dxa"/>
            <w:tcBorders>
              <w:top w:val="nil"/>
              <w:left w:val="nil"/>
              <w:bottom w:val="nil"/>
              <w:right w:val="nil"/>
            </w:tcBorders>
            <w:shd w:val="clear" w:color="auto" w:fill="auto"/>
            <w:tcMar>
              <w:top w:w="100" w:type="dxa"/>
              <w:left w:w="100" w:type="dxa"/>
              <w:bottom w:w="100" w:type="dxa"/>
              <w:right w:w="100" w:type="dxa"/>
            </w:tcMar>
          </w:tcPr>
          <w:p w14:paraId="776B4633"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69711B6B"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4</w:t>
            </w:r>
          </w:p>
        </w:tc>
      </w:tr>
      <w:tr w:rsidR="002463FD" w14:paraId="7BFB1DFC" w14:textId="77777777" w:rsidTr="002636BD">
        <w:trPr>
          <w:trHeight w:val="521"/>
        </w:trPr>
        <w:tc>
          <w:tcPr>
            <w:tcW w:w="2025" w:type="dxa"/>
            <w:tcBorders>
              <w:top w:val="nil"/>
              <w:left w:val="nil"/>
              <w:bottom w:val="nil"/>
              <w:right w:val="single" w:sz="8" w:space="0" w:color="7F7F7F"/>
            </w:tcBorders>
            <w:shd w:val="clear" w:color="auto" w:fill="F2F2F2"/>
            <w:tcMar>
              <w:top w:w="100" w:type="dxa"/>
              <w:left w:w="100" w:type="dxa"/>
              <w:bottom w:w="100" w:type="dxa"/>
              <w:right w:w="100" w:type="dxa"/>
            </w:tcMar>
          </w:tcPr>
          <w:p w14:paraId="32E02BE3"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Avg Selling Price</w:t>
            </w:r>
          </w:p>
        </w:tc>
        <w:tc>
          <w:tcPr>
            <w:tcW w:w="1200" w:type="dxa"/>
            <w:tcBorders>
              <w:top w:val="nil"/>
              <w:left w:val="nil"/>
              <w:bottom w:val="nil"/>
              <w:right w:val="nil"/>
            </w:tcBorders>
            <w:shd w:val="clear" w:color="auto" w:fill="F2F2F2"/>
            <w:tcMar>
              <w:top w:w="100" w:type="dxa"/>
              <w:left w:w="100" w:type="dxa"/>
              <w:bottom w:w="100" w:type="dxa"/>
              <w:right w:w="100" w:type="dxa"/>
            </w:tcMar>
          </w:tcPr>
          <w:p w14:paraId="5D0072AA"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$427,993</w:t>
            </w:r>
          </w:p>
          <w:p w14:paraId="753BBD5E"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$443,367</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0FDCC8A5"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$322,617</w:t>
            </w:r>
          </w:p>
          <w:p w14:paraId="240A216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$341,332</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33B066DA"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$403,794</w:t>
            </w:r>
          </w:p>
          <w:p w14:paraId="11668B65"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$402,871</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25FE5F2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$280,687</w:t>
            </w:r>
          </w:p>
          <w:p w14:paraId="2A94731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$312,465</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1C102E19"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$529,674</w:t>
            </w:r>
          </w:p>
          <w:p w14:paraId="33C52869"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$418,000</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2DAC07E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$395,666</w:t>
            </w:r>
          </w:p>
          <w:p w14:paraId="3BB7245F"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$276,250</w:t>
            </w:r>
          </w:p>
        </w:tc>
      </w:tr>
      <w:tr w:rsidR="002463FD" w14:paraId="33B5B14A" w14:textId="77777777" w:rsidTr="002636BD">
        <w:trPr>
          <w:trHeight w:val="422"/>
        </w:trPr>
        <w:tc>
          <w:tcPr>
            <w:tcW w:w="2025" w:type="dxa"/>
            <w:tcBorders>
              <w:top w:val="nil"/>
              <w:left w:val="nil"/>
              <w:bottom w:val="nil"/>
              <w:right w:val="single" w:sz="8" w:space="0" w:color="7F7F7F"/>
            </w:tcBorders>
            <w:shd w:val="clear" w:color="auto" w:fill="auto"/>
            <w:tcMar>
              <w:top w:w="100" w:type="dxa"/>
              <w:left w:w="100" w:type="dxa"/>
              <w:bottom w:w="100" w:type="dxa"/>
              <w:right w:w="100" w:type="dxa"/>
            </w:tcMar>
          </w:tcPr>
          <w:p w14:paraId="6BBA45B4"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Avg Year Built</w:t>
            </w:r>
          </w:p>
        </w:tc>
        <w:tc>
          <w:tcPr>
            <w:tcW w:w="1200" w:type="dxa"/>
            <w:tcBorders>
              <w:top w:val="nil"/>
              <w:left w:val="nil"/>
              <w:bottom w:val="nil"/>
              <w:right w:val="nil"/>
            </w:tcBorders>
            <w:shd w:val="clear" w:color="auto" w:fill="auto"/>
            <w:tcMar>
              <w:top w:w="100" w:type="dxa"/>
              <w:left w:w="100" w:type="dxa"/>
              <w:bottom w:w="100" w:type="dxa"/>
              <w:right w:w="100" w:type="dxa"/>
            </w:tcMar>
          </w:tcPr>
          <w:p w14:paraId="6410FFA7"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2011</w:t>
            </w:r>
          </w:p>
          <w:p w14:paraId="7B2C8DD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2014</w:t>
            </w:r>
          </w:p>
        </w:tc>
        <w:tc>
          <w:tcPr>
            <w:tcW w:w="1185" w:type="dxa"/>
            <w:tcBorders>
              <w:top w:val="nil"/>
              <w:left w:val="nil"/>
              <w:bottom w:val="nil"/>
              <w:right w:val="nil"/>
            </w:tcBorders>
            <w:shd w:val="clear" w:color="auto" w:fill="auto"/>
            <w:tcMar>
              <w:top w:w="100" w:type="dxa"/>
              <w:left w:w="100" w:type="dxa"/>
              <w:bottom w:w="100" w:type="dxa"/>
              <w:right w:w="100" w:type="dxa"/>
            </w:tcMar>
          </w:tcPr>
          <w:p w14:paraId="774A920C"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2012</w:t>
            </w:r>
          </w:p>
          <w:p w14:paraId="02D1DCDC"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2012</w:t>
            </w:r>
          </w:p>
        </w:tc>
        <w:tc>
          <w:tcPr>
            <w:tcW w:w="1185" w:type="dxa"/>
            <w:tcBorders>
              <w:top w:val="nil"/>
              <w:left w:val="nil"/>
              <w:bottom w:val="nil"/>
              <w:right w:val="nil"/>
            </w:tcBorders>
            <w:shd w:val="clear" w:color="auto" w:fill="auto"/>
            <w:tcMar>
              <w:top w:w="100" w:type="dxa"/>
              <w:left w:w="100" w:type="dxa"/>
              <w:bottom w:w="100" w:type="dxa"/>
              <w:right w:w="100" w:type="dxa"/>
            </w:tcMar>
          </w:tcPr>
          <w:p w14:paraId="4812993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1985</w:t>
            </w:r>
          </w:p>
          <w:p w14:paraId="0C8BF2A1"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1988</w:t>
            </w:r>
          </w:p>
        </w:tc>
        <w:tc>
          <w:tcPr>
            <w:tcW w:w="1185" w:type="dxa"/>
            <w:tcBorders>
              <w:top w:val="nil"/>
              <w:left w:val="nil"/>
              <w:bottom w:val="nil"/>
              <w:right w:val="nil"/>
            </w:tcBorders>
            <w:shd w:val="clear" w:color="auto" w:fill="auto"/>
            <w:tcMar>
              <w:top w:w="100" w:type="dxa"/>
              <w:left w:w="100" w:type="dxa"/>
              <w:bottom w:w="100" w:type="dxa"/>
              <w:right w:w="100" w:type="dxa"/>
            </w:tcMar>
          </w:tcPr>
          <w:p w14:paraId="6FE7BE56"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2007</w:t>
            </w:r>
          </w:p>
          <w:p w14:paraId="287DDDC2"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1991</w:t>
            </w:r>
          </w:p>
        </w:tc>
        <w:tc>
          <w:tcPr>
            <w:tcW w:w="1185" w:type="dxa"/>
            <w:tcBorders>
              <w:top w:val="nil"/>
              <w:left w:val="nil"/>
              <w:bottom w:val="nil"/>
              <w:right w:val="nil"/>
            </w:tcBorders>
            <w:shd w:val="clear" w:color="auto" w:fill="auto"/>
            <w:tcMar>
              <w:top w:w="100" w:type="dxa"/>
              <w:left w:w="100" w:type="dxa"/>
              <w:bottom w:w="100" w:type="dxa"/>
              <w:right w:w="100" w:type="dxa"/>
            </w:tcMar>
          </w:tcPr>
          <w:p w14:paraId="7FB12055"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2003</w:t>
            </w:r>
          </w:p>
          <w:p w14:paraId="49325A4F"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1968</w:t>
            </w:r>
          </w:p>
        </w:tc>
        <w:tc>
          <w:tcPr>
            <w:tcW w:w="1185" w:type="dxa"/>
            <w:tcBorders>
              <w:top w:val="nil"/>
              <w:left w:val="nil"/>
              <w:bottom w:val="nil"/>
              <w:right w:val="nil"/>
            </w:tcBorders>
            <w:shd w:val="clear" w:color="auto" w:fill="auto"/>
            <w:tcMar>
              <w:top w:w="100" w:type="dxa"/>
              <w:left w:w="100" w:type="dxa"/>
              <w:bottom w:w="100" w:type="dxa"/>
              <w:right w:w="100" w:type="dxa"/>
            </w:tcMar>
          </w:tcPr>
          <w:p w14:paraId="2BBF653D"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1977</w:t>
            </w:r>
          </w:p>
          <w:p w14:paraId="689B9526"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1978</w:t>
            </w:r>
          </w:p>
        </w:tc>
      </w:tr>
      <w:tr w:rsidR="002463FD" w14:paraId="51B82A65" w14:textId="77777777" w:rsidTr="002636BD">
        <w:trPr>
          <w:trHeight w:val="332"/>
        </w:trPr>
        <w:tc>
          <w:tcPr>
            <w:tcW w:w="2025" w:type="dxa"/>
            <w:tcBorders>
              <w:top w:val="nil"/>
              <w:left w:val="nil"/>
              <w:bottom w:val="nil"/>
              <w:right w:val="single" w:sz="8" w:space="0" w:color="7F7F7F"/>
            </w:tcBorders>
            <w:shd w:val="clear" w:color="auto" w:fill="F2F2F2"/>
            <w:tcMar>
              <w:top w:w="100" w:type="dxa"/>
              <w:left w:w="100" w:type="dxa"/>
              <w:bottom w:w="100" w:type="dxa"/>
              <w:right w:w="100" w:type="dxa"/>
            </w:tcMar>
          </w:tcPr>
          <w:p w14:paraId="5C5F3F98"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Avg Lot Size (Acres)</w:t>
            </w:r>
          </w:p>
        </w:tc>
        <w:tc>
          <w:tcPr>
            <w:tcW w:w="1200" w:type="dxa"/>
            <w:tcBorders>
              <w:top w:val="nil"/>
              <w:left w:val="nil"/>
              <w:bottom w:val="nil"/>
              <w:right w:val="nil"/>
            </w:tcBorders>
            <w:shd w:val="clear" w:color="auto" w:fill="F2F2F2"/>
            <w:tcMar>
              <w:top w:w="100" w:type="dxa"/>
              <w:left w:w="100" w:type="dxa"/>
              <w:bottom w:w="100" w:type="dxa"/>
              <w:right w:w="100" w:type="dxa"/>
            </w:tcMar>
          </w:tcPr>
          <w:p w14:paraId="4D1790A5"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p w14:paraId="1C14EF66"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.21</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6A30CD48"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p w14:paraId="6D4029F5"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.20</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51967DEF"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p w14:paraId="156A2340"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.84</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23D71788"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p w14:paraId="0DAE889D"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.37</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7BBB9818"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p w14:paraId="66C6BF3C"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1.0</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71A35E00"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p w14:paraId="235A13D9"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.51</w:t>
            </w:r>
          </w:p>
        </w:tc>
      </w:tr>
      <w:tr w:rsidR="002463FD" w14:paraId="1DB78972" w14:textId="77777777" w:rsidTr="002636BD">
        <w:trPr>
          <w:trHeight w:val="197"/>
        </w:trPr>
        <w:tc>
          <w:tcPr>
            <w:tcW w:w="2025" w:type="dxa"/>
            <w:tcBorders>
              <w:top w:val="nil"/>
              <w:left w:val="nil"/>
              <w:bottom w:val="nil"/>
              <w:right w:val="single" w:sz="8" w:space="0" w:color="7F7F7F"/>
            </w:tcBorders>
            <w:shd w:val="clear" w:color="auto" w:fill="auto"/>
            <w:tcMar>
              <w:top w:w="100" w:type="dxa"/>
              <w:left w:w="100" w:type="dxa"/>
              <w:bottom w:w="100" w:type="dxa"/>
              <w:right w:w="100" w:type="dxa"/>
            </w:tcMar>
          </w:tcPr>
          <w:p w14:paraId="213F583C" w14:textId="77777777" w:rsidR="001F057E"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Avg Home Size </w:t>
            </w:r>
          </w:p>
          <w:p w14:paraId="1628ACB9"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(Sq Ft)</w:t>
            </w:r>
          </w:p>
        </w:tc>
        <w:tc>
          <w:tcPr>
            <w:tcW w:w="1200" w:type="dxa"/>
            <w:tcBorders>
              <w:top w:val="nil"/>
              <w:left w:val="nil"/>
              <w:bottom w:val="nil"/>
              <w:right w:val="nil"/>
            </w:tcBorders>
            <w:shd w:val="clear" w:color="auto" w:fill="auto"/>
            <w:tcMar>
              <w:top w:w="100" w:type="dxa"/>
              <w:left w:w="100" w:type="dxa"/>
              <w:bottom w:w="100" w:type="dxa"/>
              <w:right w:w="100" w:type="dxa"/>
            </w:tcMar>
          </w:tcPr>
          <w:p w14:paraId="3176EE27"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3,651</w:t>
            </w:r>
          </w:p>
          <w:p w14:paraId="3A9B29CE"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3,126</w:t>
            </w:r>
          </w:p>
        </w:tc>
        <w:tc>
          <w:tcPr>
            <w:tcW w:w="1185" w:type="dxa"/>
            <w:tcBorders>
              <w:top w:val="nil"/>
              <w:left w:val="nil"/>
              <w:bottom w:val="nil"/>
              <w:right w:val="nil"/>
            </w:tcBorders>
            <w:shd w:val="clear" w:color="auto" w:fill="auto"/>
            <w:tcMar>
              <w:top w:w="100" w:type="dxa"/>
              <w:left w:w="100" w:type="dxa"/>
              <w:bottom w:w="100" w:type="dxa"/>
              <w:right w:w="100" w:type="dxa"/>
            </w:tcMar>
          </w:tcPr>
          <w:p w14:paraId="6D9FA34B"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2,800</w:t>
            </w:r>
          </w:p>
          <w:p w14:paraId="20485DD3"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2,703</w:t>
            </w:r>
          </w:p>
        </w:tc>
        <w:tc>
          <w:tcPr>
            <w:tcW w:w="1185" w:type="dxa"/>
            <w:tcBorders>
              <w:top w:val="nil"/>
              <w:left w:val="nil"/>
              <w:bottom w:val="nil"/>
              <w:right w:val="nil"/>
            </w:tcBorders>
            <w:shd w:val="clear" w:color="auto" w:fill="auto"/>
            <w:tcMar>
              <w:top w:w="100" w:type="dxa"/>
              <w:left w:w="100" w:type="dxa"/>
              <w:bottom w:w="100" w:type="dxa"/>
              <w:right w:w="100" w:type="dxa"/>
            </w:tcMar>
          </w:tcPr>
          <w:p w14:paraId="13441895"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2,953</w:t>
            </w:r>
          </w:p>
          <w:p w14:paraId="366FD70F"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3,002</w:t>
            </w:r>
          </w:p>
        </w:tc>
        <w:tc>
          <w:tcPr>
            <w:tcW w:w="1185" w:type="dxa"/>
            <w:tcBorders>
              <w:top w:val="nil"/>
              <w:left w:val="nil"/>
              <w:bottom w:val="nil"/>
              <w:right w:val="nil"/>
            </w:tcBorders>
            <w:shd w:val="clear" w:color="auto" w:fill="auto"/>
            <w:tcMar>
              <w:top w:w="100" w:type="dxa"/>
              <w:left w:w="100" w:type="dxa"/>
              <w:bottom w:w="100" w:type="dxa"/>
              <w:right w:w="100" w:type="dxa"/>
            </w:tcMar>
          </w:tcPr>
          <w:p w14:paraId="7B9A2680"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2,290</w:t>
            </w:r>
          </w:p>
          <w:p w14:paraId="63C3E459"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2,417</w:t>
            </w:r>
          </w:p>
        </w:tc>
        <w:tc>
          <w:tcPr>
            <w:tcW w:w="1185" w:type="dxa"/>
            <w:tcBorders>
              <w:top w:val="nil"/>
              <w:left w:val="nil"/>
              <w:bottom w:val="nil"/>
              <w:right w:val="nil"/>
            </w:tcBorders>
            <w:shd w:val="clear" w:color="auto" w:fill="auto"/>
            <w:tcMar>
              <w:top w:w="100" w:type="dxa"/>
              <w:left w:w="100" w:type="dxa"/>
              <w:bottom w:w="100" w:type="dxa"/>
              <w:right w:w="100" w:type="dxa"/>
            </w:tcMar>
          </w:tcPr>
          <w:p w14:paraId="6D1C213E"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3,063</w:t>
            </w:r>
          </w:p>
          <w:p w14:paraId="6B342B7A"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3,128</w:t>
            </w:r>
          </w:p>
        </w:tc>
        <w:tc>
          <w:tcPr>
            <w:tcW w:w="1185" w:type="dxa"/>
            <w:tcBorders>
              <w:top w:val="nil"/>
              <w:left w:val="nil"/>
              <w:bottom w:val="nil"/>
              <w:right w:val="nil"/>
            </w:tcBorders>
            <w:shd w:val="clear" w:color="auto" w:fill="auto"/>
            <w:tcMar>
              <w:top w:w="100" w:type="dxa"/>
              <w:left w:w="100" w:type="dxa"/>
              <w:bottom w:w="100" w:type="dxa"/>
              <w:right w:w="100" w:type="dxa"/>
            </w:tcMar>
          </w:tcPr>
          <w:p w14:paraId="4B74CD26"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2,704</w:t>
            </w:r>
          </w:p>
          <w:p w14:paraId="5AEEFEF3"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1,973</w:t>
            </w:r>
          </w:p>
        </w:tc>
      </w:tr>
      <w:tr w:rsidR="002463FD" w14:paraId="7BCAC069" w14:textId="77777777" w:rsidTr="002636BD">
        <w:trPr>
          <w:trHeight w:val="350"/>
        </w:trPr>
        <w:tc>
          <w:tcPr>
            <w:tcW w:w="2025" w:type="dxa"/>
            <w:tcBorders>
              <w:top w:val="nil"/>
              <w:left w:val="nil"/>
              <w:bottom w:val="nil"/>
              <w:right w:val="single" w:sz="8" w:space="0" w:color="7F7F7F"/>
            </w:tcBorders>
            <w:shd w:val="clear" w:color="auto" w:fill="F2F2F2"/>
            <w:tcMar>
              <w:top w:w="100" w:type="dxa"/>
              <w:left w:w="100" w:type="dxa"/>
              <w:bottom w:w="100" w:type="dxa"/>
              <w:right w:w="100" w:type="dxa"/>
            </w:tcMar>
          </w:tcPr>
          <w:p w14:paraId="252093BC" w14:textId="77777777" w:rsidR="002463FD" w:rsidRDefault="00C7275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Avg Plumbing Fixtures</w:t>
            </w:r>
          </w:p>
        </w:tc>
        <w:tc>
          <w:tcPr>
            <w:tcW w:w="1200" w:type="dxa"/>
            <w:tcBorders>
              <w:top w:val="nil"/>
              <w:left w:val="nil"/>
              <w:bottom w:val="nil"/>
              <w:right w:val="nil"/>
            </w:tcBorders>
            <w:shd w:val="clear" w:color="auto" w:fill="F2F2F2"/>
            <w:tcMar>
              <w:top w:w="100" w:type="dxa"/>
              <w:left w:w="100" w:type="dxa"/>
              <w:bottom w:w="100" w:type="dxa"/>
              <w:right w:w="100" w:type="dxa"/>
            </w:tcMar>
          </w:tcPr>
          <w:p w14:paraId="6DD06B69"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p w14:paraId="6FB58C5C"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12.3</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22D690F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p w14:paraId="1C836091"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11.2</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771C6D8B"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p w14:paraId="18A369A8"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10.2</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501904C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p w14:paraId="6AD85F30"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8.6</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09C8B70B"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11.7</w:t>
            </w:r>
          </w:p>
          <w:p w14:paraId="7422C52F"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10</w:t>
            </w:r>
          </w:p>
        </w:tc>
        <w:tc>
          <w:tcPr>
            <w:tcW w:w="1185" w:type="dxa"/>
            <w:tcBorders>
              <w:top w:val="nil"/>
              <w:left w:val="nil"/>
              <w:bottom w:val="nil"/>
              <w:right w:val="nil"/>
            </w:tcBorders>
            <w:shd w:val="clear" w:color="auto" w:fill="F2F2F2"/>
            <w:tcMar>
              <w:top w:w="100" w:type="dxa"/>
              <w:left w:w="100" w:type="dxa"/>
              <w:bottom w:w="100" w:type="dxa"/>
              <w:right w:w="100" w:type="dxa"/>
            </w:tcMar>
          </w:tcPr>
          <w:p w14:paraId="74F39202" w14:textId="77777777" w:rsidR="002463FD" w:rsidRDefault="00C7275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p w14:paraId="3F355355" w14:textId="77777777" w:rsidR="002463FD" w:rsidRDefault="00C7275A">
            <w:pPr>
              <w:jc w:val="cente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6.8</w:t>
            </w:r>
          </w:p>
        </w:tc>
      </w:tr>
    </w:tbl>
    <w:p w14:paraId="2C4488DD" w14:textId="77777777" w:rsidR="002636BD" w:rsidRDefault="002636BD" w:rsidP="00DA6612">
      <w:pPr>
        <w:spacing w:line="480" w:lineRule="auto"/>
        <w:jc w:val="center"/>
        <w:rPr>
          <w:rFonts w:ascii="Times New Roman" w:eastAsia="Times New Roman" w:hAnsi="Times New Roman" w:cs="Times New Roman"/>
          <w:b/>
          <w:sz w:val="24"/>
          <w:szCs w:val="24"/>
        </w:rPr>
      </w:pPr>
    </w:p>
    <w:p w14:paraId="5C433E8E" w14:textId="77777777" w:rsidR="002463FD" w:rsidRDefault="00C7275A" w:rsidP="00DA661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Strategy:</w:t>
      </w:r>
    </w:p>
    <w:p w14:paraId="1AC3B73D" w14:textId="77777777" w:rsidR="002463FD" w:rsidRDefault="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question at hand and the data available to us, we approached this causal question through the use of difference-in-differences (DID). To do so, we identify treatment and control regions surrounding the three remaining temples in Arizona using a process similar to </w:t>
      </w:r>
      <w:r w:rsidR="00CF3A22">
        <w:rPr>
          <w:rFonts w:ascii="Times New Roman" w:eastAsia="Times New Roman" w:hAnsi="Times New Roman" w:cs="Times New Roman"/>
          <w:sz w:val="24"/>
          <w:szCs w:val="24"/>
        </w:rPr>
        <w:lastRenderedPageBreak/>
        <w:t>Pope and Pope (Pope &amp; Pope, 2015).</w:t>
      </w:r>
      <w:r w:rsidR="00CF3A22">
        <w:rPr>
          <w:rStyle w:val="EndnoteReference"/>
          <w:rFonts w:ascii="Times New Roman" w:eastAsia="Times New Roman" w:hAnsi="Times New Roman" w:cs="Times New Roman"/>
          <w:sz w:val="24"/>
          <w:szCs w:val="24"/>
        </w:rPr>
        <w:endnoteReference w:id="8"/>
      </w:r>
      <w:r>
        <w:rPr>
          <w:rFonts w:ascii="Times New Roman" w:eastAsia="Times New Roman" w:hAnsi="Times New Roman" w:cs="Times New Roman"/>
          <w:sz w:val="24"/>
          <w:szCs w:val="24"/>
        </w:rPr>
        <w:t xml:space="preserve"> </w:t>
      </w:r>
      <w:r w:rsidR="001F057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bservations are considered treated if they are located within three-quarters of a mile from the newly-built temple, and observations are included in the control group if they are located between three-quarters and one-and-a-quarter miles from the temple. An observed housing transaction is considered pre-treatment if it occurred within a three-year window before the dedication date of the associated temple, and post-treatment if it occurred within a three-year window after the dedication date. For ease of </w:t>
      </w:r>
      <w:r w:rsidR="00264AE8">
        <w:rPr>
          <w:rFonts w:ascii="Times New Roman" w:eastAsia="Times New Roman" w:hAnsi="Times New Roman" w:cs="Times New Roman"/>
          <w:sz w:val="24"/>
          <w:szCs w:val="24"/>
        </w:rPr>
        <w:t xml:space="preserve">graphical </w:t>
      </w:r>
      <w:r>
        <w:rPr>
          <w:rFonts w:ascii="Times New Roman" w:eastAsia="Times New Roman" w:hAnsi="Times New Roman" w:cs="Times New Roman"/>
          <w:sz w:val="24"/>
          <w:szCs w:val="24"/>
        </w:rPr>
        <w:t xml:space="preserve">analysis, we split the data into </w:t>
      </w:r>
      <w:r w:rsidR="001F057E">
        <w:rPr>
          <w:rFonts w:ascii="Times New Roman" w:eastAsia="Times New Roman" w:hAnsi="Times New Roman" w:cs="Times New Roman"/>
          <w:sz w:val="24"/>
          <w:szCs w:val="24"/>
        </w:rPr>
        <w:t>6 year-long periods centered around each t</w:t>
      </w:r>
      <w:r>
        <w:rPr>
          <w:rFonts w:ascii="Times New Roman" w:eastAsia="Times New Roman" w:hAnsi="Times New Roman" w:cs="Times New Roman"/>
          <w:sz w:val="24"/>
          <w:szCs w:val="24"/>
        </w:rPr>
        <w:t xml:space="preserve">emple’s dedication date. Periods 1-3 are pre-treatment periods while periods </w:t>
      </w:r>
      <w:r w:rsidR="001F057E">
        <w:rPr>
          <w:rFonts w:ascii="Times New Roman" w:eastAsia="Times New Roman" w:hAnsi="Times New Roman" w:cs="Times New Roman"/>
          <w:sz w:val="24"/>
          <w:szCs w:val="24"/>
        </w:rPr>
        <w:t xml:space="preserve">4-6 are post-treatment periods. </w:t>
      </w:r>
    </w:p>
    <w:p w14:paraId="615956FB" w14:textId="77777777" w:rsidR="002463FD" w:rsidRDefault="003B1B4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Originally,</w:t>
      </w:r>
      <w:r w:rsidR="00C7275A">
        <w:rPr>
          <w:rFonts w:ascii="Times New Roman" w:eastAsia="Times New Roman" w:hAnsi="Times New Roman" w:cs="Times New Roman"/>
          <w:sz w:val="24"/>
          <w:szCs w:val="24"/>
        </w:rPr>
        <w:t xml:space="preserve"> we thought that a half-mile radius would be an appropriate distance for our control group given that the externality of a temple diminishes significantly once the temple is no longer in sight for a given home. However, after examining the data, three-quarters of a mile was as small as we could make our treatment group in order to maintain a reasonable amount of observations in the treatment group. Although this is less than ideal, there is still reason to believe that the externalities of temples can be felt up to three-quarters of a mile, though the effect may be smaller.</w:t>
      </w:r>
    </w:p>
    <w:p w14:paraId="3B6AC163" w14:textId="77777777" w:rsidR="002463FD" w:rsidRDefault="00C727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identifying assumption for the DID technique is the parallel trends assumption. In the context of our analysis, we are assuming that housing prices in areas immediately surrounding the temple (within 0.75 miles) followed the same trend as the associated controls (between 0.75 - 1.25 miles) before the temple was built and that they would have continued to do so had the temple not been built. This assumption is far more likely to hold if the houses being sold pre- and post-treatment look similar across treatment and control groups. Figure 1 also serves as such a covariates balance check. </w:t>
      </w:r>
    </w:p>
    <w:p w14:paraId="0989C384" w14:textId="77777777" w:rsidR="002463FD" w:rsidRDefault="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covariates look the most promising between the control and treatment groups for the Gilbert area. The data for the other two temples is very noisy due to limited numbers of housing transactions in the time periods and geographic areas at hand. For all three temples, the homes in the treatment group appear to be a bit bigger and more expensive on average compared to the homes in the control group. A cause for concern for the Phoenix and Tucson temples is the significant difference in average year built</w:t>
      </w:r>
      <w:r w:rsidR="00C4200C">
        <w:rPr>
          <w:rFonts w:ascii="Times New Roman" w:eastAsia="Times New Roman" w:hAnsi="Times New Roman" w:cs="Times New Roman"/>
          <w:sz w:val="24"/>
          <w:szCs w:val="24"/>
        </w:rPr>
        <w:t xml:space="preserve"> variable</w:t>
      </w:r>
      <w:r>
        <w:rPr>
          <w:rFonts w:ascii="Times New Roman" w:eastAsia="Times New Roman" w:hAnsi="Times New Roman" w:cs="Times New Roman"/>
          <w:sz w:val="24"/>
          <w:szCs w:val="24"/>
        </w:rPr>
        <w:t xml:space="preserve"> and the average lot size</w:t>
      </w:r>
      <w:r w:rsidR="00C4200C">
        <w:rPr>
          <w:rFonts w:ascii="Times New Roman" w:eastAsia="Times New Roman" w:hAnsi="Times New Roman" w:cs="Times New Roman"/>
          <w:sz w:val="24"/>
          <w:szCs w:val="24"/>
        </w:rPr>
        <w:t xml:space="preserve"> variable</w:t>
      </w:r>
      <w:r>
        <w:rPr>
          <w:rFonts w:ascii="Times New Roman" w:eastAsia="Times New Roman" w:hAnsi="Times New Roman" w:cs="Times New Roman"/>
          <w:sz w:val="24"/>
          <w:szCs w:val="24"/>
        </w:rPr>
        <w:t xml:space="preserve"> for homes in treatment and control.</w:t>
      </w:r>
    </w:p>
    <w:p w14:paraId="051E5C8C" w14:textId="77777777" w:rsidR="0007622B" w:rsidRDefault="003B1B46" w:rsidP="0007622B">
      <w:pPr>
        <w:spacing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3E4AB63">
            <wp:simplePos x="0" y="0"/>
            <wp:positionH relativeFrom="column">
              <wp:posOffset>718820</wp:posOffset>
            </wp:positionH>
            <wp:positionV relativeFrom="paragraph">
              <wp:posOffset>1423492</wp:posOffset>
            </wp:positionV>
            <wp:extent cx="4500563" cy="3298489"/>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00563" cy="3298489"/>
                    </a:xfrm>
                    <a:prstGeom prst="rect">
                      <a:avLst/>
                    </a:prstGeom>
                    <a:ln/>
                  </pic:spPr>
                </pic:pic>
              </a:graphicData>
            </a:graphic>
          </wp:anchor>
        </w:drawing>
      </w:r>
      <w:r w:rsidR="00C7275A">
        <w:rPr>
          <w:rFonts w:ascii="Times New Roman" w:eastAsia="Times New Roman" w:hAnsi="Times New Roman" w:cs="Times New Roman"/>
          <w:sz w:val="24"/>
          <w:szCs w:val="24"/>
        </w:rPr>
        <w:t>Figure 2 displays the trends in housing prices before and after treatment for each area of intere</w:t>
      </w:r>
      <w:r w:rsidR="00264AE8">
        <w:rPr>
          <w:rFonts w:ascii="Times New Roman" w:eastAsia="Times New Roman" w:hAnsi="Times New Roman" w:cs="Times New Roman"/>
          <w:sz w:val="24"/>
          <w:szCs w:val="24"/>
        </w:rPr>
        <w:t>st. As expected, Gilbert is</w:t>
      </w:r>
      <w:r w:rsidR="00C7275A">
        <w:rPr>
          <w:rFonts w:ascii="Times New Roman" w:eastAsia="Times New Roman" w:hAnsi="Times New Roman" w:cs="Times New Roman"/>
          <w:sz w:val="24"/>
          <w:szCs w:val="24"/>
        </w:rPr>
        <w:t xml:space="preserve"> to be the only area in which the parallel trends assumption appears plausible to hold. The areas of Tucson and Phoenix simply do not have enough observations in order to see a consistent trend. </w:t>
      </w:r>
    </w:p>
    <w:p w14:paraId="78D1262C" w14:textId="77777777" w:rsidR="00C7275A" w:rsidRDefault="00C7275A" w:rsidP="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these concerns with the parallel trends assumption and the lack of data, our </w:t>
      </w:r>
      <w:r w:rsidR="00264AE8">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analysis </w:t>
      </w:r>
      <w:r w:rsidR="00C4200C">
        <w:rPr>
          <w:rFonts w:ascii="Times New Roman" w:eastAsia="Times New Roman" w:hAnsi="Times New Roman" w:cs="Times New Roman"/>
          <w:sz w:val="24"/>
          <w:szCs w:val="24"/>
        </w:rPr>
        <w:t>focuses</w:t>
      </w:r>
      <w:r>
        <w:rPr>
          <w:rFonts w:ascii="Times New Roman" w:eastAsia="Times New Roman" w:hAnsi="Times New Roman" w:cs="Times New Roman"/>
          <w:sz w:val="24"/>
          <w:szCs w:val="24"/>
        </w:rPr>
        <w:t xml:space="preserve"> exclusively on the Gilbert Arizona area. Figure 3 provides a clearer view of the </w:t>
      </w:r>
      <w:r w:rsidR="00264AE8">
        <w:rPr>
          <w:rFonts w:ascii="Times New Roman" w:eastAsia="Times New Roman" w:hAnsi="Times New Roman" w:cs="Times New Roman"/>
          <w:sz w:val="24"/>
          <w:szCs w:val="24"/>
        </w:rPr>
        <w:lastRenderedPageBreak/>
        <w:t>parallel trends of</w:t>
      </w:r>
      <w:r>
        <w:rPr>
          <w:rFonts w:ascii="Times New Roman" w:eastAsia="Times New Roman" w:hAnsi="Times New Roman" w:cs="Times New Roman"/>
          <w:sz w:val="24"/>
          <w:szCs w:val="24"/>
        </w:rPr>
        <w:t xml:space="preserve"> the Gilbert Area. This undoubtedly reduce</w:t>
      </w:r>
      <w:r w:rsidR="00C4200C">
        <w:rPr>
          <w:rFonts w:ascii="Times New Roman" w:eastAsia="Times New Roman" w:hAnsi="Times New Roman" w:cs="Times New Roman"/>
          <w:sz w:val="24"/>
          <w:szCs w:val="24"/>
        </w:rPr>
        <w:t xml:space="preserve">s the external validity of the causal effect in question </w:t>
      </w:r>
      <w:r>
        <w:rPr>
          <w:rFonts w:ascii="Times New Roman" w:eastAsia="Times New Roman" w:hAnsi="Times New Roman" w:cs="Times New Roman"/>
          <w:sz w:val="24"/>
          <w:szCs w:val="24"/>
        </w:rPr>
        <w:t>but is necessary to produce an accurate analysis.</w:t>
      </w:r>
    </w:p>
    <w:p w14:paraId="0AB2527C" w14:textId="77777777" w:rsidR="00C7275A" w:rsidRDefault="00C7275A" w:rsidP="00380EAA">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8FB973">
            <wp:extent cx="4513923" cy="32870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550078" cy="3313389"/>
                    </a:xfrm>
                    <a:prstGeom prst="rect">
                      <a:avLst/>
                    </a:prstGeom>
                  </pic:spPr>
                </pic:pic>
              </a:graphicData>
            </a:graphic>
          </wp:inline>
        </w:drawing>
      </w:r>
    </w:p>
    <w:p w14:paraId="7613131E" w14:textId="77777777" w:rsidR="0056680B" w:rsidRDefault="00C7275A" w:rsidP="00C7275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identifying equation for the spatial difference-in-</w:t>
      </w:r>
      <w:r w:rsidR="00C4200C">
        <w:rPr>
          <w:rFonts w:ascii="Times New Roman" w:eastAsia="Times New Roman" w:hAnsi="Times New Roman" w:cs="Times New Roman"/>
          <w:sz w:val="24"/>
          <w:szCs w:val="24"/>
        </w:rPr>
        <w:t>differences of our analysis is:</w:t>
      </w:r>
    </w:p>
    <w:p w14:paraId="54D16F51" w14:textId="77777777" w:rsidR="0056680B" w:rsidRDefault="00000000" w:rsidP="00925825">
      <w:pPr>
        <w:spacing w:line="48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ln(SalesPriceAmount)</m:t>
            </m:r>
          </m:e>
          <m:sub>
            <m:r>
              <w:rPr>
                <w:rFonts w:ascii="Cambria Math" w:hAnsi="Cambria Math" w:cs="Times New Roman"/>
                <w:sz w:val="24"/>
                <w:szCs w:val="24"/>
              </w:rPr>
              <m:t>iym</m:t>
            </m:r>
          </m:sub>
        </m:sSub>
        <m:r>
          <w:rPr>
            <w:rFonts w:ascii="Cambria Math" w:hAnsi="Cambria Math" w:cs="Times New Roman"/>
            <w:sz w:val="24"/>
            <w:szCs w:val="24"/>
          </w:rPr>
          <m:t>= β</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r>
          <w:rPr>
            <w:rFonts w:ascii="Cambria Math" w:hAnsi="Cambria Math" w:cs="Times New Roman"/>
            <w:sz w:val="24"/>
            <w:szCs w:val="24"/>
          </w:rPr>
          <m:t>+ δ</m:t>
        </m:r>
        <m:sSub>
          <m:sSubPr>
            <m:ctrlPr>
              <w:rPr>
                <w:rFonts w:ascii="Cambria Math" w:hAnsi="Cambria Math" w:cs="Times New Roman"/>
                <w:i/>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sub>
        </m:sSub>
        <m:r>
          <w:rPr>
            <w:rFonts w:ascii="Cambria Math" w:hAnsi="Cambria Math" w:cs="Times New Roman"/>
            <w:sz w:val="24"/>
            <w:szCs w:val="24"/>
          </w:rPr>
          <m:t>+ φ</m:t>
        </m:r>
        <m:sSub>
          <m:sSubPr>
            <m:ctrlPr>
              <w:rPr>
                <w:rFonts w:ascii="Cambria Math" w:hAnsi="Cambria Math" w:cs="Times New Roman"/>
                <w:i/>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Post</m:t>
            </m:r>
          </m:e>
          <m:sub>
            <m:r>
              <w:rPr>
                <w:rFonts w:ascii="Cambria Math" w:hAnsi="Cambria Math" w:cs="Times New Roman"/>
                <w:sz w:val="24"/>
                <w:szCs w:val="24"/>
              </w:rPr>
              <m:t>iym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iym</m:t>
            </m:r>
          </m:sub>
        </m:sSub>
      </m:oMath>
      <w:r w:rsidR="00925825">
        <w:rPr>
          <w:rFonts w:ascii="Times New Roman" w:eastAsia="Times New Roman" w:hAnsi="Times New Roman" w:cs="Times New Roman"/>
          <w:sz w:val="24"/>
          <w:szCs w:val="24"/>
        </w:rPr>
        <w:t xml:space="preserve"> </w:t>
      </w:r>
      <w:r w:rsidR="00925825">
        <w:rPr>
          <w:rFonts w:ascii="Times New Roman" w:eastAsia="Times New Roman" w:hAnsi="Times New Roman" w:cs="Times New Roman"/>
          <w:sz w:val="24"/>
          <w:szCs w:val="24"/>
        </w:rPr>
        <w:tab/>
      </w:r>
      <w:r w:rsidR="00401AC8">
        <w:rPr>
          <w:rFonts w:ascii="Times New Roman" w:eastAsia="Times New Roman" w:hAnsi="Times New Roman" w:cs="Times New Roman"/>
          <w:sz w:val="24"/>
          <w:szCs w:val="24"/>
        </w:rPr>
        <w:t xml:space="preserve">       </w:t>
      </w:r>
      <w:r w:rsidR="00925825">
        <w:rPr>
          <w:rFonts w:ascii="Times New Roman" w:eastAsia="Times New Roman" w:hAnsi="Times New Roman" w:cs="Times New Roman"/>
          <w:sz w:val="24"/>
          <w:szCs w:val="24"/>
        </w:rPr>
        <w:t>(1)</w:t>
      </w:r>
    </w:p>
    <w:p w14:paraId="01A8555D" w14:textId="77777777" w:rsidR="002463FD" w:rsidRDefault="00C727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dependent variable is the log of the sale price of a house, and our equation includes</w:t>
      </w:r>
      <w:r w:rsidR="00F56A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vector of house-</w:t>
      </w:r>
      <w:r w:rsidR="00C4200C">
        <w:rPr>
          <w:rFonts w:ascii="Times New Roman" w:eastAsia="Times New Roman" w:hAnsi="Times New Roman" w:cs="Times New Roman"/>
          <w:sz w:val="24"/>
          <w:szCs w:val="24"/>
        </w:rPr>
        <w:t>specific (</w:t>
      </w:r>
      <m:oMath>
        <m:r>
          <w:rPr>
            <w:rFonts w:ascii="Cambria Math" w:eastAsia="Times New Roman" w:hAnsi="Cambria Math" w:cs="Times New Roman"/>
            <w:sz w:val="24"/>
            <w:szCs w:val="24"/>
          </w:rPr>
          <m:t>i</m:t>
        </m:r>
      </m:oMath>
      <w:r>
        <w:rPr>
          <w:rFonts w:ascii="Times New Roman" w:eastAsia="Times New Roman" w:hAnsi="Times New Roman" w:cs="Times New Roman"/>
          <w:sz w:val="24"/>
          <w:szCs w:val="24"/>
        </w:rPr>
        <w:t>) covariates that serve as controls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imes New Roman" w:hAnsi="Times New Roman" w:cs="Times New Roman"/>
          <w:sz w:val="24"/>
          <w:szCs w:val="24"/>
        </w:rPr>
        <w:t>), year fixed-effects</w:t>
      </w:r>
      <w:r w:rsidR="00F56A6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r>
          <w:rPr>
            <w:rFonts w:ascii="Cambria Math" w:hAnsi="Cambria Math" w:cs="Times New Roman"/>
            <w:sz w:val="24"/>
            <w:szCs w:val="24"/>
          </w:rPr>
          <m:t>)</m:t>
        </m:r>
      </m:oMath>
      <w:r>
        <w:rPr>
          <w:rFonts w:ascii="Times New Roman" w:eastAsia="Times New Roman" w:hAnsi="Times New Roman" w:cs="Times New Roman"/>
          <w:sz w:val="24"/>
          <w:szCs w:val="24"/>
        </w:rPr>
        <w:t>, treatment fixed-effects</w:t>
      </w:r>
      <w:r w:rsidR="00F56A6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imes New Roman" w:hAnsi="Times New Roman" w:cs="Times New Roman"/>
          <w:sz w:val="24"/>
          <w:szCs w:val="24"/>
        </w:rPr>
        <w:t xml:space="preserve">, an interaction between treatment </w:t>
      </w:r>
      <w:r w:rsidR="00F56A6A">
        <w:rPr>
          <w:rFonts w:ascii="Times New Roman" w:eastAsia="Times New Roman" w:hAnsi="Times New Roman" w:cs="Times New Roman"/>
          <w:sz w:val="24"/>
          <w:szCs w:val="24"/>
        </w:rPr>
        <w:t>and home (</w:t>
      </w:r>
      <m:oMath>
        <m:r>
          <w:rPr>
            <w:rFonts w:ascii="Cambria Math" w:eastAsia="Times New Roman" w:hAnsi="Cambria Math" w:cs="Times New Roman"/>
            <w:sz w:val="24"/>
            <w:szCs w:val="24"/>
          </w:rPr>
          <m:t>i</m:t>
        </m:r>
      </m:oMath>
      <w:r w:rsidR="00F56A6A">
        <w:rPr>
          <w:rFonts w:ascii="Times New Roman" w:eastAsia="Times New Roman" w:hAnsi="Times New Roman" w:cs="Times New Roman"/>
          <w:sz w:val="24"/>
          <w:szCs w:val="24"/>
        </w:rPr>
        <w:t>) by year (</w:t>
      </w:r>
      <m:oMath>
        <m:r>
          <w:rPr>
            <w:rFonts w:ascii="Cambria Math" w:eastAsia="Times New Roman" w:hAnsi="Cambria Math" w:cs="Times New Roman"/>
            <w:sz w:val="24"/>
            <w:szCs w:val="24"/>
          </w:rPr>
          <m:t>y</m:t>
        </m:r>
      </m:oMath>
      <w:r w:rsidR="00F56A6A">
        <w:rPr>
          <w:rFonts w:ascii="Times New Roman" w:eastAsia="Times New Roman" w:hAnsi="Times New Roman" w:cs="Times New Roman"/>
          <w:sz w:val="24"/>
          <w:szCs w:val="24"/>
        </w:rPr>
        <w:t>) by month (</w:t>
      </w:r>
      <m:oMath>
        <m:r>
          <w:rPr>
            <w:rFonts w:ascii="Cambria Math" w:eastAsia="Times New Roman" w:hAnsi="Cambria Math" w:cs="Times New Roman"/>
            <w:sz w:val="24"/>
            <w:szCs w:val="24"/>
          </w:rPr>
          <m:t>m</m:t>
        </m:r>
      </m:oMath>
      <w:r w:rsidR="00F56A6A">
        <w:rPr>
          <w:rFonts w:ascii="Times New Roman" w:eastAsia="Times New Roman" w:hAnsi="Times New Roman" w:cs="Times New Roman"/>
          <w:sz w:val="24"/>
          <w:szCs w:val="24"/>
        </w:rPr>
        <w:t xml:space="preserve">) post-treatment </w:t>
      </w:r>
      <w:r>
        <w:rPr>
          <w:rFonts w:ascii="Times New Roman" w:eastAsia="Times New Roman" w:hAnsi="Times New Roman" w:cs="Times New Roman"/>
          <w:sz w:val="24"/>
          <w:szCs w:val="24"/>
        </w:rPr>
        <w:t>indicators</w:t>
      </w:r>
      <w:r w:rsidR="00F56A6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Post</m:t>
            </m:r>
          </m:e>
          <m:sub>
            <m:r>
              <w:rPr>
                <w:rFonts w:ascii="Cambria Math" w:hAnsi="Cambria Math" w:cs="Times New Roman"/>
                <w:sz w:val="24"/>
                <w:szCs w:val="24"/>
              </w:rPr>
              <m:t>iym</m:t>
            </m:r>
          </m:sub>
        </m:sSub>
        <m:r>
          <w:rPr>
            <w:rFonts w:ascii="Cambria Math" w:hAnsi="Cambria Math" w:cs="Times New Roman"/>
            <w:sz w:val="24"/>
            <w:szCs w:val="24"/>
          </w:rPr>
          <m:t>)</m:t>
        </m:r>
      </m:oMath>
      <w:r>
        <w:rPr>
          <w:rFonts w:ascii="Times New Roman" w:eastAsia="Times New Roman" w:hAnsi="Times New Roman" w:cs="Times New Roman"/>
          <w:sz w:val="24"/>
          <w:szCs w:val="24"/>
        </w:rPr>
        <w:t>, and an error term</w:t>
      </w:r>
      <w:r w:rsidR="00F56A6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iym</m:t>
            </m:r>
          </m:sub>
        </m:sSub>
        <m:r>
          <w:rPr>
            <w:rFonts w:ascii="Cambria Math" w:hAnsi="Cambria Math" w:cs="Times New Roman"/>
            <w:sz w:val="24"/>
            <w:szCs w:val="24"/>
          </w:rPr>
          <m:t>)</m:t>
        </m:r>
      </m:oMath>
      <w:r>
        <w:rPr>
          <w:rFonts w:ascii="Times New Roman" w:eastAsia="Times New Roman" w:hAnsi="Times New Roman" w:cs="Times New Roman"/>
          <w:sz w:val="24"/>
          <w:szCs w:val="24"/>
        </w:rPr>
        <w:t xml:space="preserve">. The biggest advantage to using the DID specification is that time-invariant omitted variables will be differenced out, leading to a less biased estimate. </w:t>
      </w:r>
    </w:p>
    <w:p w14:paraId="31DF8995" w14:textId="77777777" w:rsidR="00F56A6A" w:rsidRDefault="00F56A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major issue with using DID to parse out a causal effect</w:t>
      </w:r>
      <w:r w:rsidR="00E91094">
        <w:rPr>
          <w:rFonts w:ascii="Times New Roman" w:eastAsia="Times New Roman" w:hAnsi="Times New Roman" w:cs="Times New Roman"/>
          <w:sz w:val="24"/>
          <w:szCs w:val="24"/>
        </w:rPr>
        <w:t xml:space="preserve"> is serial correlation. In our case, if a temple is built in 2014</w:t>
      </w:r>
      <w:r w:rsidR="00264AE8">
        <w:rPr>
          <w:rFonts w:ascii="Times New Roman" w:eastAsia="Times New Roman" w:hAnsi="Times New Roman" w:cs="Times New Roman"/>
          <w:sz w:val="24"/>
          <w:szCs w:val="24"/>
        </w:rPr>
        <w:t>,</w:t>
      </w:r>
      <w:r w:rsidR="00E91094">
        <w:rPr>
          <w:rFonts w:ascii="Times New Roman" w:eastAsia="Times New Roman" w:hAnsi="Times New Roman" w:cs="Times New Roman"/>
          <w:sz w:val="24"/>
          <w:szCs w:val="24"/>
        </w:rPr>
        <w:t xml:space="preserve"> then treatment begins in 2014 but continues over time in each period following dedication. Because of this correlation of treatment over time, it is recommended to </w:t>
      </w:r>
      <w:r w:rsidR="00E91094">
        <w:rPr>
          <w:rFonts w:ascii="Times New Roman" w:eastAsia="Times New Roman" w:hAnsi="Times New Roman" w:cs="Times New Roman"/>
          <w:sz w:val="24"/>
          <w:szCs w:val="24"/>
        </w:rPr>
        <w:lastRenderedPageBreak/>
        <w:t xml:space="preserve">adjust standard errors by inflating them to account for the serial correlation present in many DID models. In our case, we adjust standard errors by using robust standard errors in our regression. The popular and useful technique of clustering standard errors would have been appropriate had we pursued our initial analysis including all five temples, however with only Gilbert remaining, we are left to simply use robust standard errors to deal with serial correlation. </w:t>
      </w:r>
    </w:p>
    <w:p w14:paraId="67ADE6D4" w14:textId="77777777" w:rsidR="002463FD" w:rsidRDefault="00C7275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57D4639" w14:textId="77777777" w:rsidR="00E06572" w:rsidRDefault="00C7275A" w:rsidP="002636B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91094">
        <w:rPr>
          <w:rFonts w:ascii="Times New Roman" w:eastAsia="Times New Roman" w:hAnsi="Times New Roman" w:cs="Times New Roman"/>
          <w:sz w:val="24"/>
          <w:szCs w:val="24"/>
        </w:rPr>
        <w:t>results of our primary regression are displayed in F</w:t>
      </w:r>
      <w:r>
        <w:rPr>
          <w:rFonts w:ascii="Times New Roman" w:eastAsia="Times New Roman" w:hAnsi="Times New Roman" w:cs="Times New Roman"/>
          <w:sz w:val="24"/>
          <w:szCs w:val="24"/>
        </w:rPr>
        <w:t xml:space="preserve">igure 4. </w:t>
      </w:r>
      <w:r w:rsidR="00E91094">
        <w:rPr>
          <w:rFonts w:ascii="Times New Roman" w:eastAsia="Times New Roman" w:hAnsi="Times New Roman" w:cs="Times New Roman"/>
          <w:sz w:val="24"/>
          <w:szCs w:val="24"/>
        </w:rPr>
        <w:t>The effect of interest is the coefficient of the interacted term (</w:t>
      </w:r>
      <w:r w:rsidR="00DA6612">
        <w:rPr>
          <w:rFonts w:ascii="Times New Roman" w:eastAsia="Times New Roman" w:hAnsi="Times New Roman" w:cs="Times New Roman"/>
          <w:sz w:val="24"/>
          <w:szCs w:val="24"/>
        </w:rPr>
        <w:t>Treat</w:t>
      </w:r>
      <w:r w:rsidR="00DA6612">
        <w:rPr>
          <w:rFonts w:ascii="Times New Roman" w:eastAsia="Times New Roman" w:hAnsi="Times New Roman" w:cs="Times New Roman"/>
          <w:sz w:val="24"/>
          <w:szCs w:val="24"/>
          <w:vertAlign w:val="superscript"/>
        </w:rPr>
        <w:t>0.75</w:t>
      </w:r>
      <w:r w:rsidR="00DA6612">
        <w:rPr>
          <w:rFonts w:ascii="Times New Roman" w:eastAsia="Times New Roman" w:hAnsi="Times New Roman" w:cs="Times New Roman"/>
          <w:sz w:val="24"/>
          <w:szCs w:val="24"/>
        </w:rPr>
        <w:t>*Post</w:t>
      </w:r>
      <w:r w:rsidR="00E91094">
        <w:rPr>
          <w:rFonts w:ascii="Times New Roman" w:eastAsia="Times New Roman" w:hAnsi="Times New Roman" w:cs="Times New Roman"/>
          <w:sz w:val="24"/>
          <w:szCs w:val="24"/>
        </w:rPr>
        <w:t>) in the regression table. As can be seen, the regression estimates a statis</w:t>
      </w:r>
      <w:r w:rsidR="00380EAA">
        <w:rPr>
          <w:rFonts w:ascii="Times New Roman" w:eastAsia="Times New Roman" w:hAnsi="Times New Roman" w:cs="Times New Roman"/>
          <w:sz w:val="24"/>
          <w:szCs w:val="24"/>
        </w:rPr>
        <w:t>tically significant, positive 11</w:t>
      </w:r>
      <w:r w:rsidR="00E91094">
        <w:rPr>
          <w:rFonts w:ascii="Times New Roman" w:eastAsia="Times New Roman" w:hAnsi="Times New Roman" w:cs="Times New Roman"/>
          <w:sz w:val="24"/>
          <w:szCs w:val="24"/>
        </w:rPr>
        <w:t xml:space="preserve">% increase in local housing prices surrounding the Gilbert temple. </w:t>
      </w:r>
      <w:r w:rsidR="00DA6612">
        <w:rPr>
          <w:rFonts w:ascii="Times New Roman" w:eastAsia="Times New Roman" w:hAnsi="Times New Roman" w:cs="Times New Roman"/>
          <w:sz w:val="24"/>
          <w:szCs w:val="24"/>
        </w:rPr>
        <w:t>This result seems to be due to a large decrease in housing prices in our control group during period 4, while housing prices in our treatment group continued on a slightly positive trajectory throughout the same period. This divergence of trend is clearly seen in Figure 3. The magnitude of the temple effect according to this specification is enormous</w:t>
      </w:r>
      <w:r w:rsidR="00264AE8">
        <w:rPr>
          <w:rFonts w:ascii="Times New Roman" w:eastAsia="Times New Roman" w:hAnsi="Times New Roman" w:cs="Times New Roman"/>
          <w:sz w:val="24"/>
          <w:szCs w:val="24"/>
        </w:rPr>
        <w:t xml:space="preserve"> – far </w:t>
      </w:r>
      <w:r w:rsidR="00E91094">
        <w:rPr>
          <w:rFonts w:ascii="Times New Roman" w:eastAsia="Times New Roman" w:hAnsi="Times New Roman" w:cs="Times New Roman"/>
          <w:sz w:val="24"/>
          <w:szCs w:val="24"/>
        </w:rPr>
        <w:t>bigger than we anticipated. To conclude that the construction of a te</w:t>
      </w:r>
      <w:r w:rsidR="002651D6">
        <w:rPr>
          <w:rFonts w:ascii="Times New Roman" w:eastAsia="Times New Roman" w:hAnsi="Times New Roman" w:cs="Times New Roman"/>
          <w:sz w:val="24"/>
          <w:szCs w:val="24"/>
        </w:rPr>
        <w:t>mple had a positive effect of 11</w:t>
      </w:r>
      <w:r w:rsidR="00E91094">
        <w:rPr>
          <w:rFonts w:ascii="Times New Roman" w:eastAsia="Times New Roman" w:hAnsi="Times New Roman" w:cs="Times New Roman"/>
          <w:sz w:val="24"/>
          <w:szCs w:val="24"/>
        </w:rPr>
        <w:t xml:space="preserve">% on surrounding housing prices in this context would be highly unbelievable. </w:t>
      </w:r>
      <w:r w:rsidR="00DA6612">
        <w:rPr>
          <w:rFonts w:ascii="Times New Roman" w:eastAsia="Times New Roman" w:hAnsi="Times New Roman" w:cs="Times New Roman"/>
          <w:sz w:val="24"/>
          <w:szCs w:val="24"/>
        </w:rPr>
        <w:t>In order to test the robustness of our result and determine if it is in fact causal, we ran two more regressions adjusting the treatment and controls in our model. Discussion of these robustness checks, associated assumptions and results will be discussed in the next section.</w:t>
      </w:r>
    </w:p>
    <w:p w14:paraId="01FBA36C" w14:textId="77777777" w:rsidR="00D20DAE" w:rsidRPr="00E06572" w:rsidRDefault="00D20DAE" w:rsidP="00E0657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t>Figure 4</w:t>
      </w:r>
    </w:p>
    <w:tbl>
      <w:tblPr>
        <w:tblW w:w="5220" w:type="dxa"/>
        <w:jc w:val="center"/>
        <w:tblLayout w:type="fixed"/>
        <w:tblCellMar>
          <w:left w:w="75" w:type="dxa"/>
          <w:right w:w="75" w:type="dxa"/>
        </w:tblCellMar>
        <w:tblLook w:val="0000" w:firstRow="0" w:lastRow="0" w:firstColumn="0" w:lastColumn="0" w:noHBand="0" w:noVBand="0"/>
      </w:tblPr>
      <w:tblGrid>
        <w:gridCol w:w="2430"/>
        <w:gridCol w:w="2790"/>
      </w:tblGrid>
      <w:tr w:rsidR="00D20DAE" w14:paraId="1B78BFCD" w14:textId="77777777" w:rsidTr="00C7275A">
        <w:trPr>
          <w:jc w:val="center"/>
        </w:trPr>
        <w:tc>
          <w:tcPr>
            <w:tcW w:w="2430" w:type="dxa"/>
            <w:tcBorders>
              <w:top w:val="nil"/>
              <w:left w:val="nil"/>
              <w:bottom w:val="single" w:sz="6" w:space="0" w:color="auto"/>
              <w:right w:val="nil"/>
            </w:tcBorders>
          </w:tcPr>
          <w:p w14:paraId="2DB907E1"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2790" w:type="dxa"/>
            <w:tcBorders>
              <w:top w:val="nil"/>
              <w:left w:val="nil"/>
              <w:bottom w:val="single" w:sz="6" w:space="0" w:color="auto"/>
              <w:right w:val="nil"/>
            </w:tcBorders>
          </w:tcPr>
          <w:p w14:paraId="2E700B93" w14:textId="77777777" w:rsidR="00D20DAE" w:rsidRDefault="00D20DAE" w:rsidP="00D20DA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lnSalesPriceAmount</w:t>
            </w:r>
          </w:p>
        </w:tc>
      </w:tr>
      <w:tr w:rsidR="00D20DAE" w14:paraId="75C06503" w14:textId="77777777" w:rsidTr="00C7275A">
        <w:trPr>
          <w:jc w:val="center"/>
        </w:trPr>
        <w:tc>
          <w:tcPr>
            <w:tcW w:w="2430" w:type="dxa"/>
            <w:tcBorders>
              <w:top w:val="nil"/>
              <w:left w:val="nil"/>
              <w:bottom w:val="nil"/>
              <w:right w:val="nil"/>
            </w:tcBorders>
          </w:tcPr>
          <w:p w14:paraId="0262D433"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247348E6"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096427CE" w14:textId="77777777" w:rsidTr="00D20DAE">
        <w:trPr>
          <w:jc w:val="center"/>
        </w:trPr>
        <w:tc>
          <w:tcPr>
            <w:tcW w:w="2430" w:type="dxa"/>
            <w:tcBorders>
              <w:top w:val="nil"/>
              <w:left w:val="nil"/>
              <w:bottom w:val="nil"/>
              <w:right w:val="nil"/>
            </w:tcBorders>
          </w:tcPr>
          <w:p w14:paraId="70F0238A"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LotSizeAcres</w:t>
            </w:r>
          </w:p>
        </w:tc>
        <w:tc>
          <w:tcPr>
            <w:tcW w:w="2790" w:type="dxa"/>
            <w:tcBorders>
              <w:top w:val="nil"/>
              <w:left w:val="nil"/>
              <w:bottom w:val="nil"/>
              <w:right w:val="nil"/>
            </w:tcBorders>
          </w:tcPr>
          <w:p w14:paraId="47906449"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0.0336</w:t>
            </w:r>
          </w:p>
        </w:tc>
      </w:tr>
      <w:tr w:rsidR="00D20DAE" w14:paraId="323D2CF2" w14:textId="77777777" w:rsidTr="00D20DAE">
        <w:trPr>
          <w:jc w:val="center"/>
        </w:trPr>
        <w:tc>
          <w:tcPr>
            <w:tcW w:w="2430" w:type="dxa"/>
            <w:tcBorders>
              <w:top w:val="nil"/>
              <w:left w:val="nil"/>
              <w:bottom w:val="nil"/>
              <w:right w:val="nil"/>
            </w:tcBorders>
          </w:tcPr>
          <w:p w14:paraId="6257B0CC"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59266D55"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(0.168)</w:t>
            </w:r>
          </w:p>
        </w:tc>
      </w:tr>
      <w:tr w:rsidR="00D20DAE" w14:paraId="194752B2" w14:textId="77777777" w:rsidTr="00D20DAE">
        <w:trPr>
          <w:jc w:val="center"/>
        </w:trPr>
        <w:tc>
          <w:tcPr>
            <w:tcW w:w="2430" w:type="dxa"/>
            <w:tcBorders>
              <w:top w:val="nil"/>
              <w:left w:val="nil"/>
              <w:bottom w:val="nil"/>
              <w:right w:val="nil"/>
            </w:tcBorders>
          </w:tcPr>
          <w:p w14:paraId="6FF21C4C"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36348E64"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6B2A6B7F" w14:textId="77777777" w:rsidTr="00D20DAE">
        <w:trPr>
          <w:jc w:val="center"/>
        </w:trPr>
        <w:tc>
          <w:tcPr>
            <w:tcW w:w="2430" w:type="dxa"/>
            <w:tcBorders>
              <w:top w:val="nil"/>
              <w:left w:val="nil"/>
              <w:bottom w:val="nil"/>
              <w:right w:val="nil"/>
            </w:tcBorders>
          </w:tcPr>
          <w:p w14:paraId="603C2B43"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YearBuilt</w:t>
            </w:r>
          </w:p>
        </w:tc>
        <w:tc>
          <w:tcPr>
            <w:tcW w:w="2790" w:type="dxa"/>
            <w:tcBorders>
              <w:top w:val="nil"/>
              <w:left w:val="nil"/>
              <w:bottom w:val="nil"/>
              <w:right w:val="nil"/>
            </w:tcBorders>
          </w:tcPr>
          <w:p w14:paraId="7F5496CE"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0.0134*</w:t>
            </w:r>
          </w:p>
        </w:tc>
      </w:tr>
      <w:tr w:rsidR="00D20DAE" w14:paraId="2A7A33CD" w14:textId="77777777" w:rsidTr="00D20DAE">
        <w:trPr>
          <w:jc w:val="center"/>
        </w:trPr>
        <w:tc>
          <w:tcPr>
            <w:tcW w:w="2430" w:type="dxa"/>
            <w:tcBorders>
              <w:top w:val="nil"/>
              <w:left w:val="nil"/>
              <w:bottom w:val="nil"/>
              <w:right w:val="nil"/>
            </w:tcBorders>
          </w:tcPr>
          <w:p w14:paraId="556AE158"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0053D0B4"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(0.00759)</w:t>
            </w:r>
          </w:p>
        </w:tc>
      </w:tr>
      <w:tr w:rsidR="00D20DAE" w14:paraId="302DDA92" w14:textId="77777777" w:rsidTr="00D20DAE">
        <w:trPr>
          <w:jc w:val="center"/>
        </w:trPr>
        <w:tc>
          <w:tcPr>
            <w:tcW w:w="2430" w:type="dxa"/>
            <w:tcBorders>
              <w:top w:val="nil"/>
              <w:left w:val="nil"/>
              <w:bottom w:val="nil"/>
              <w:right w:val="nil"/>
            </w:tcBorders>
          </w:tcPr>
          <w:p w14:paraId="2D2211F9"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0F183ECC"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76600E15" w14:textId="77777777" w:rsidTr="00D20DAE">
        <w:trPr>
          <w:jc w:val="center"/>
        </w:trPr>
        <w:tc>
          <w:tcPr>
            <w:tcW w:w="2430" w:type="dxa"/>
            <w:tcBorders>
              <w:top w:val="nil"/>
              <w:left w:val="nil"/>
              <w:bottom w:val="nil"/>
              <w:right w:val="nil"/>
            </w:tcBorders>
          </w:tcPr>
          <w:p w14:paraId="6A26F14C"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PlumbingFixtures</w:t>
            </w:r>
          </w:p>
        </w:tc>
        <w:tc>
          <w:tcPr>
            <w:tcW w:w="2790" w:type="dxa"/>
            <w:tcBorders>
              <w:top w:val="nil"/>
              <w:left w:val="nil"/>
              <w:bottom w:val="nil"/>
              <w:right w:val="nil"/>
            </w:tcBorders>
          </w:tcPr>
          <w:p w14:paraId="7303DDC7"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0.000583</w:t>
            </w:r>
          </w:p>
        </w:tc>
      </w:tr>
      <w:tr w:rsidR="00D20DAE" w14:paraId="0ADCC8A9" w14:textId="77777777" w:rsidTr="00D20DAE">
        <w:trPr>
          <w:jc w:val="center"/>
        </w:trPr>
        <w:tc>
          <w:tcPr>
            <w:tcW w:w="2430" w:type="dxa"/>
            <w:tcBorders>
              <w:top w:val="nil"/>
              <w:left w:val="nil"/>
              <w:bottom w:val="nil"/>
              <w:right w:val="nil"/>
            </w:tcBorders>
          </w:tcPr>
          <w:p w14:paraId="5E091FF5"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1F1BDC3D"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(0.00855)</w:t>
            </w:r>
          </w:p>
        </w:tc>
      </w:tr>
      <w:tr w:rsidR="00D20DAE" w14:paraId="45A6635E" w14:textId="77777777" w:rsidTr="00D20DAE">
        <w:trPr>
          <w:jc w:val="center"/>
        </w:trPr>
        <w:tc>
          <w:tcPr>
            <w:tcW w:w="2430" w:type="dxa"/>
            <w:tcBorders>
              <w:top w:val="nil"/>
              <w:left w:val="nil"/>
              <w:bottom w:val="nil"/>
              <w:right w:val="nil"/>
            </w:tcBorders>
          </w:tcPr>
          <w:p w14:paraId="530AAD39"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5BA43587"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5873DD83" w14:textId="77777777" w:rsidTr="00D20DAE">
        <w:trPr>
          <w:jc w:val="center"/>
        </w:trPr>
        <w:tc>
          <w:tcPr>
            <w:tcW w:w="2430" w:type="dxa"/>
            <w:tcBorders>
              <w:top w:val="nil"/>
              <w:left w:val="nil"/>
              <w:bottom w:val="nil"/>
              <w:right w:val="nil"/>
            </w:tcBorders>
          </w:tcPr>
          <w:p w14:paraId="1B3EF97F"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BuildingAreaSqFt</w:t>
            </w:r>
          </w:p>
        </w:tc>
        <w:tc>
          <w:tcPr>
            <w:tcW w:w="2790" w:type="dxa"/>
            <w:tcBorders>
              <w:top w:val="nil"/>
              <w:left w:val="nil"/>
              <w:bottom w:val="nil"/>
              <w:right w:val="nil"/>
            </w:tcBorders>
          </w:tcPr>
          <w:p w14:paraId="59F649A3"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0.000258***</w:t>
            </w:r>
          </w:p>
        </w:tc>
      </w:tr>
      <w:tr w:rsidR="00D20DAE" w14:paraId="5FDA2744" w14:textId="77777777" w:rsidTr="00D20DAE">
        <w:trPr>
          <w:jc w:val="center"/>
        </w:trPr>
        <w:tc>
          <w:tcPr>
            <w:tcW w:w="2430" w:type="dxa"/>
            <w:tcBorders>
              <w:top w:val="nil"/>
              <w:left w:val="nil"/>
              <w:bottom w:val="nil"/>
              <w:right w:val="nil"/>
            </w:tcBorders>
          </w:tcPr>
          <w:p w14:paraId="7005C89F"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28EE7A64"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(2.90e-05)</w:t>
            </w:r>
          </w:p>
        </w:tc>
      </w:tr>
      <w:tr w:rsidR="00D20DAE" w14:paraId="1CAEDA02" w14:textId="77777777" w:rsidTr="00D20DAE">
        <w:trPr>
          <w:jc w:val="center"/>
        </w:trPr>
        <w:tc>
          <w:tcPr>
            <w:tcW w:w="2430" w:type="dxa"/>
            <w:tcBorders>
              <w:top w:val="nil"/>
              <w:left w:val="nil"/>
              <w:bottom w:val="nil"/>
              <w:right w:val="nil"/>
            </w:tcBorders>
          </w:tcPr>
          <w:p w14:paraId="4F214CD8"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4B8DDEF2"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2621E2BE" w14:textId="77777777" w:rsidTr="00D20DAE">
        <w:trPr>
          <w:jc w:val="center"/>
        </w:trPr>
        <w:tc>
          <w:tcPr>
            <w:tcW w:w="2430" w:type="dxa"/>
            <w:tcBorders>
              <w:top w:val="nil"/>
              <w:left w:val="nil"/>
              <w:bottom w:val="nil"/>
              <w:right w:val="nil"/>
            </w:tcBorders>
          </w:tcPr>
          <w:p w14:paraId="7AEE4E5F"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CountyPopulation</w:t>
            </w:r>
          </w:p>
        </w:tc>
        <w:tc>
          <w:tcPr>
            <w:tcW w:w="2790" w:type="dxa"/>
            <w:tcBorders>
              <w:top w:val="nil"/>
              <w:left w:val="nil"/>
              <w:bottom w:val="nil"/>
              <w:right w:val="nil"/>
            </w:tcBorders>
          </w:tcPr>
          <w:p w14:paraId="234195F0"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8.37e-07***</w:t>
            </w:r>
          </w:p>
        </w:tc>
      </w:tr>
      <w:tr w:rsidR="00D20DAE" w14:paraId="48E18472" w14:textId="77777777" w:rsidTr="00D20DAE">
        <w:trPr>
          <w:jc w:val="center"/>
        </w:trPr>
        <w:tc>
          <w:tcPr>
            <w:tcW w:w="2430" w:type="dxa"/>
            <w:tcBorders>
              <w:top w:val="nil"/>
              <w:left w:val="nil"/>
              <w:bottom w:val="nil"/>
              <w:right w:val="nil"/>
            </w:tcBorders>
          </w:tcPr>
          <w:p w14:paraId="7D046298"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2C475DAD"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(1.60e-07)</w:t>
            </w:r>
          </w:p>
        </w:tc>
      </w:tr>
      <w:tr w:rsidR="00D20DAE" w14:paraId="3A2F8BA0" w14:textId="77777777" w:rsidTr="00D20DAE">
        <w:trPr>
          <w:jc w:val="center"/>
        </w:trPr>
        <w:tc>
          <w:tcPr>
            <w:tcW w:w="2430" w:type="dxa"/>
            <w:tcBorders>
              <w:top w:val="nil"/>
              <w:left w:val="nil"/>
              <w:bottom w:val="nil"/>
              <w:right w:val="nil"/>
            </w:tcBorders>
          </w:tcPr>
          <w:p w14:paraId="0EA2F803"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1D114277"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56E07943" w14:textId="77777777" w:rsidTr="00D20DAE">
        <w:trPr>
          <w:jc w:val="center"/>
        </w:trPr>
        <w:tc>
          <w:tcPr>
            <w:tcW w:w="2430" w:type="dxa"/>
            <w:tcBorders>
              <w:top w:val="nil"/>
              <w:left w:val="nil"/>
              <w:bottom w:val="nil"/>
              <w:right w:val="nil"/>
            </w:tcBorders>
          </w:tcPr>
          <w:p w14:paraId="4D0C3C09"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w:t>
            </w:r>
            <w:r>
              <w:rPr>
                <w:rFonts w:ascii="Times New Roman" w:hAnsi="Times New Roman" w:cs="Times New Roman"/>
                <w:sz w:val="24"/>
                <w:szCs w:val="24"/>
                <w:vertAlign w:val="superscript"/>
              </w:rPr>
              <w:t>0.75</w:t>
            </w:r>
          </w:p>
        </w:tc>
        <w:tc>
          <w:tcPr>
            <w:tcW w:w="2790" w:type="dxa"/>
            <w:tcBorders>
              <w:top w:val="nil"/>
              <w:left w:val="nil"/>
              <w:bottom w:val="nil"/>
              <w:right w:val="nil"/>
            </w:tcBorders>
          </w:tcPr>
          <w:p w14:paraId="696806F9"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0.0853**</w:t>
            </w:r>
          </w:p>
        </w:tc>
      </w:tr>
      <w:tr w:rsidR="00D20DAE" w14:paraId="4F582E60" w14:textId="77777777" w:rsidTr="00D20DAE">
        <w:trPr>
          <w:jc w:val="center"/>
        </w:trPr>
        <w:tc>
          <w:tcPr>
            <w:tcW w:w="2430" w:type="dxa"/>
            <w:tcBorders>
              <w:top w:val="nil"/>
              <w:left w:val="nil"/>
              <w:bottom w:val="nil"/>
              <w:right w:val="nil"/>
            </w:tcBorders>
          </w:tcPr>
          <w:p w14:paraId="7C98F460" w14:textId="77777777" w:rsidR="00D20DAE" w:rsidRPr="00265110" w:rsidRDefault="00D20DAE" w:rsidP="00C7275A">
            <w:pPr>
              <w:widowControl w:val="0"/>
              <w:autoSpaceDE w:val="0"/>
              <w:autoSpaceDN w:val="0"/>
              <w:adjustRightInd w:val="0"/>
              <w:spacing w:line="240" w:lineRule="auto"/>
              <w:rPr>
                <w:rFonts w:ascii="Times New Roman" w:hAnsi="Times New Roman" w:cs="Times New Roman"/>
                <w:sz w:val="24"/>
                <w:szCs w:val="24"/>
                <w:vertAlign w:val="superscript"/>
              </w:rPr>
            </w:pPr>
          </w:p>
        </w:tc>
        <w:tc>
          <w:tcPr>
            <w:tcW w:w="2790" w:type="dxa"/>
            <w:tcBorders>
              <w:top w:val="nil"/>
              <w:left w:val="nil"/>
              <w:bottom w:val="nil"/>
              <w:right w:val="nil"/>
            </w:tcBorders>
          </w:tcPr>
          <w:p w14:paraId="12E3FC71"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(0.0337)</w:t>
            </w:r>
          </w:p>
        </w:tc>
      </w:tr>
      <w:tr w:rsidR="00D20DAE" w14:paraId="6DEBFBD4" w14:textId="77777777" w:rsidTr="00D20DAE">
        <w:trPr>
          <w:jc w:val="center"/>
        </w:trPr>
        <w:tc>
          <w:tcPr>
            <w:tcW w:w="2430" w:type="dxa"/>
            <w:tcBorders>
              <w:top w:val="nil"/>
              <w:left w:val="nil"/>
              <w:bottom w:val="nil"/>
              <w:right w:val="nil"/>
            </w:tcBorders>
          </w:tcPr>
          <w:p w14:paraId="04F802FA"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3996EC17"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5B39A2FD" w14:textId="77777777" w:rsidTr="00D20DAE">
        <w:trPr>
          <w:jc w:val="center"/>
        </w:trPr>
        <w:tc>
          <w:tcPr>
            <w:tcW w:w="2430" w:type="dxa"/>
            <w:tcBorders>
              <w:top w:val="nil"/>
              <w:left w:val="nil"/>
              <w:bottom w:val="nil"/>
              <w:right w:val="nil"/>
            </w:tcBorders>
          </w:tcPr>
          <w:p w14:paraId="1128ED2E"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w:t>
            </w:r>
            <w:r>
              <w:rPr>
                <w:rFonts w:ascii="Times New Roman" w:hAnsi="Times New Roman" w:cs="Times New Roman"/>
                <w:sz w:val="24"/>
                <w:szCs w:val="24"/>
                <w:vertAlign w:val="superscript"/>
              </w:rPr>
              <w:t>0.75</w:t>
            </w:r>
            <w:r>
              <w:rPr>
                <w:rFonts w:ascii="Times New Roman" w:hAnsi="Times New Roman" w:cs="Times New Roman"/>
                <w:sz w:val="24"/>
                <w:szCs w:val="24"/>
              </w:rPr>
              <w:t>*Post</w:t>
            </w:r>
          </w:p>
        </w:tc>
        <w:tc>
          <w:tcPr>
            <w:tcW w:w="2790" w:type="dxa"/>
            <w:tcBorders>
              <w:top w:val="nil"/>
              <w:left w:val="nil"/>
              <w:bottom w:val="nil"/>
              <w:right w:val="nil"/>
            </w:tcBorders>
          </w:tcPr>
          <w:p w14:paraId="6A1FA63F"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0.110**</w:t>
            </w:r>
          </w:p>
        </w:tc>
      </w:tr>
      <w:tr w:rsidR="00D20DAE" w14:paraId="7AC37302" w14:textId="77777777" w:rsidTr="00D20DAE">
        <w:trPr>
          <w:jc w:val="center"/>
        </w:trPr>
        <w:tc>
          <w:tcPr>
            <w:tcW w:w="2430" w:type="dxa"/>
            <w:tcBorders>
              <w:top w:val="nil"/>
              <w:left w:val="nil"/>
              <w:bottom w:val="nil"/>
              <w:right w:val="nil"/>
            </w:tcBorders>
          </w:tcPr>
          <w:p w14:paraId="4D2EB786" w14:textId="77777777" w:rsidR="00D20DAE" w:rsidRPr="00265110"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144373F0"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(0.0537)</w:t>
            </w:r>
          </w:p>
        </w:tc>
      </w:tr>
      <w:tr w:rsidR="00D20DAE" w14:paraId="4F46E792" w14:textId="77777777" w:rsidTr="00D20DAE">
        <w:trPr>
          <w:jc w:val="center"/>
        </w:trPr>
        <w:tc>
          <w:tcPr>
            <w:tcW w:w="2430" w:type="dxa"/>
            <w:tcBorders>
              <w:top w:val="nil"/>
              <w:left w:val="nil"/>
              <w:bottom w:val="nil"/>
              <w:right w:val="nil"/>
            </w:tcBorders>
          </w:tcPr>
          <w:p w14:paraId="3720161A"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64FCBF61"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220AC4A1" w14:textId="77777777" w:rsidTr="00D20DAE">
        <w:trPr>
          <w:jc w:val="center"/>
        </w:trPr>
        <w:tc>
          <w:tcPr>
            <w:tcW w:w="2430" w:type="dxa"/>
            <w:tcBorders>
              <w:top w:val="nil"/>
              <w:left w:val="nil"/>
              <w:bottom w:val="nil"/>
              <w:right w:val="nil"/>
            </w:tcBorders>
          </w:tcPr>
          <w:p w14:paraId="6E2EA520"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790" w:type="dxa"/>
            <w:tcBorders>
              <w:top w:val="nil"/>
              <w:left w:val="nil"/>
              <w:bottom w:val="nil"/>
              <w:right w:val="nil"/>
            </w:tcBorders>
          </w:tcPr>
          <w:p w14:paraId="0E81BBB5"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-18.39</w:t>
            </w:r>
          </w:p>
        </w:tc>
      </w:tr>
      <w:tr w:rsidR="00D20DAE" w14:paraId="2C4C253E" w14:textId="77777777" w:rsidTr="00D20DAE">
        <w:trPr>
          <w:jc w:val="center"/>
        </w:trPr>
        <w:tc>
          <w:tcPr>
            <w:tcW w:w="2430" w:type="dxa"/>
            <w:tcBorders>
              <w:top w:val="nil"/>
              <w:left w:val="nil"/>
              <w:bottom w:val="nil"/>
              <w:right w:val="nil"/>
            </w:tcBorders>
          </w:tcPr>
          <w:p w14:paraId="12261EF8" w14:textId="77777777" w:rsidR="00D20DAE" w:rsidRPr="00265110"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5B7ED8B3"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(15.45)</w:t>
            </w:r>
          </w:p>
        </w:tc>
      </w:tr>
      <w:tr w:rsidR="00D20DAE" w14:paraId="0BEEF4F4" w14:textId="77777777" w:rsidTr="00D20DAE">
        <w:trPr>
          <w:jc w:val="center"/>
        </w:trPr>
        <w:tc>
          <w:tcPr>
            <w:tcW w:w="2430" w:type="dxa"/>
            <w:tcBorders>
              <w:top w:val="nil"/>
              <w:left w:val="nil"/>
              <w:bottom w:val="nil"/>
              <w:right w:val="nil"/>
            </w:tcBorders>
          </w:tcPr>
          <w:p w14:paraId="003D89AE"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p>
        </w:tc>
        <w:tc>
          <w:tcPr>
            <w:tcW w:w="2790" w:type="dxa"/>
            <w:tcBorders>
              <w:top w:val="nil"/>
              <w:left w:val="nil"/>
              <w:bottom w:val="nil"/>
              <w:right w:val="nil"/>
            </w:tcBorders>
          </w:tcPr>
          <w:p w14:paraId="53D776A2"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D20DAE" w14:paraId="08C42DB5" w14:textId="77777777" w:rsidTr="00D20DAE">
        <w:trPr>
          <w:jc w:val="center"/>
        </w:trPr>
        <w:tc>
          <w:tcPr>
            <w:tcW w:w="2430" w:type="dxa"/>
            <w:tcBorders>
              <w:top w:val="nil"/>
              <w:left w:val="nil"/>
              <w:bottom w:val="nil"/>
              <w:right w:val="nil"/>
            </w:tcBorders>
          </w:tcPr>
          <w:p w14:paraId="6937FD2B" w14:textId="77777777" w:rsidR="00D20DAE"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790" w:type="dxa"/>
            <w:tcBorders>
              <w:top w:val="nil"/>
              <w:left w:val="nil"/>
              <w:bottom w:val="nil"/>
              <w:right w:val="nil"/>
            </w:tcBorders>
          </w:tcPr>
          <w:p w14:paraId="23F8543B"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475</w:t>
            </w:r>
          </w:p>
        </w:tc>
      </w:tr>
      <w:tr w:rsidR="00D20DAE" w14:paraId="2F37517D" w14:textId="77777777" w:rsidTr="00C7275A">
        <w:trPr>
          <w:jc w:val="center"/>
        </w:trPr>
        <w:tc>
          <w:tcPr>
            <w:tcW w:w="2430" w:type="dxa"/>
            <w:tcBorders>
              <w:top w:val="nil"/>
              <w:left w:val="nil"/>
              <w:bottom w:val="single" w:sz="6" w:space="0" w:color="auto"/>
              <w:right w:val="nil"/>
            </w:tcBorders>
          </w:tcPr>
          <w:p w14:paraId="691A3D29" w14:textId="77777777" w:rsidR="00D20DAE" w:rsidRPr="00265110" w:rsidRDefault="00D20DAE"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2790" w:type="dxa"/>
            <w:tcBorders>
              <w:top w:val="nil"/>
              <w:left w:val="nil"/>
              <w:bottom w:val="single" w:sz="6" w:space="0" w:color="auto"/>
              <w:right w:val="nil"/>
            </w:tcBorders>
          </w:tcPr>
          <w:p w14:paraId="2EA947E1" w14:textId="77777777" w:rsidR="00D20DAE" w:rsidRDefault="00D20DAE"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0.690</w:t>
            </w:r>
          </w:p>
        </w:tc>
      </w:tr>
    </w:tbl>
    <w:p w14:paraId="783DFE93" w14:textId="77777777" w:rsidR="00D20DAE" w:rsidRDefault="00D20DAE" w:rsidP="00D20DAE">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7D5C4941" w14:textId="77777777" w:rsidR="00317A82" w:rsidRDefault="00D20DAE" w:rsidP="00967A2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58734C8E" w14:textId="77777777" w:rsidR="00967A29" w:rsidRDefault="00967A29" w:rsidP="00967A29">
      <w:pPr>
        <w:widowControl w:val="0"/>
        <w:autoSpaceDE w:val="0"/>
        <w:autoSpaceDN w:val="0"/>
        <w:adjustRightInd w:val="0"/>
        <w:spacing w:line="240" w:lineRule="auto"/>
        <w:jc w:val="center"/>
        <w:rPr>
          <w:rFonts w:ascii="Times New Roman" w:hAnsi="Times New Roman" w:cs="Times New Roman"/>
          <w:sz w:val="24"/>
          <w:szCs w:val="24"/>
        </w:rPr>
      </w:pPr>
    </w:p>
    <w:p w14:paraId="5A4CCCDC" w14:textId="77777777" w:rsidR="00317A82" w:rsidRDefault="00317A82" w:rsidP="00317A82">
      <w:pPr>
        <w:widowControl w:val="0"/>
        <w:autoSpaceDE w:val="0"/>
        <w:autoSpaceDN w:val="0"/>
        <w:adjustRightInd w:val="0"/>
        <w:spacing w:line="480" w:lineRule="auto"/>
        <w:jc w:val="center"/>
        <w:rPr>
          <w:rFonts w:ascii="Times New Roman" w:hAnsi="Times New Roman" w:cs="Times New Roman"/>
          <w:sz w:val="24"/>
          <w:szCs w:val="24"/>
        </w:rPr>
      </w:pPr>
      <w:r w:rsidRPr="00317A82">
        <w:rPr>
          <w:rFonts w:ascii="Times New Roman" w:hAnsi="Times New Roman" w:cs="Times New Roman"/>
          <w:b/>
          <w:sz w:val="24"/>
          <w:szCs w:val="24"/>
        </w:rPr>
        <w:t>Robustness Checks</w:t>
      </w:r>
      <w:r>
        <w:rPr>
          <w:rFonts w:ascii="Times New Roman" w:hAnsi="Times New Roman" w:cs="Times New Roman"/>
          <w:sz w:val="24"/>
          <w:szCs w:val="24"/>
        </w:rPr>
        <w:t>:</w:t>
      </w:r>
    </w:p>
    <w:p w14:paraId="4F5BF5A1" w14:textId="77777777" w:rsidR="00CE140A" w:rsidRDefault="00317A82" w:rsidP="00317A8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above, we ran two more regressions varying treatment and control to test the robustness of our causal effect. </w:t>
      </w:r>
      <w:r w:rsidR="00C4340F">
        <w:rPr>
          <w:rFonts w:ascii="Times New Roman" w:hAnsi="Times New Roman" w:cs="Times New Roman"/>
          <w:sz w:val="24"/>
          <w:szCs w:val="24"/>
        </w:rPr>
        <w:t xml:space="preserve">First, we added a third ring around the two primary rings used </w:t>
      </w:r>
      <w:r w:rsidR="002651D6">
        <w:rPr>
          <w:rFonts w:ascii="Times New Roman" w:hAnsi="Times New Roman" w:cs="Times New Roman"/>
          <w:sz w:val="24"/>
          <w:szCs w:val="24"/>
        </w:rPr>
        <w:t>in (1). This third ring includes</w:t>
      </w:r>
      <w:r w:rsidR="00C4340F">
        <w:rPr>
          <w:rFonts w:ascii="Times New Roman" w:hAnsi="Times New Roman" w:cs="Times New Roman"/>
          <w:sz w:val="24"/>
          <w:szCs w:val="24"/>
        </w:rPr>
        <w:t xml:space="preserve"> homes located in a radius of 1.25 – 2 miles from the temple. This way, rather than simply having a treatment and control, we have an intense treatment (within 0.75 miles), moderate treatment (0.75 – 1.25 miles) and control (1.25 – 2 miles). </w:t>
      </w:r>
      <w:r w:rsidR="0078172D">
        <w:rPr>
          <w:rFonts w:ascii="Times New Roman" w:eastAsia="Times New Roman" w:hAnsi="Times New Roman" w:cs="Times New Roman"/>
          <w:sz w:val="24"/>
          <w:szCs w:val="24"/>
        </w:rPr>
        <w:t>This specification</w:t>
      </w:r>
      <w:r w:rsidR="002651D6">
        <w:rPr>
          <w:rFonts w:ascii="Times New Roman" w:eastAsia="Times New Roman" w:hAnsi="Times New Roman" w:cs="Times New Roman"/>
          <w:sz w:val="24"/>
          <w:szCs w:val="24"/>
        </w:rPr>
        <w:t xml:space="preserve"> allows</w:t>
      </w:r>
      <w:r w:rsidR="0078172D">
        <w:rPr>
          <w:rFonts w:ascii="Times New Roman" w:eastAsia="Times New Roman" w:hAnsi="Times New Roman" w:cs="Times New Roman"/>
          <w:sz w:val="24"/>
          <w:szCs w:val="24"/>
        </w:rPr>
        <w:t xml:space="preserve"> </w:t>
      </w:r>
      <w:r w:rsidR="002651D6">
        <w:rPr>
          <w:rFonts w:ascii="Times New Roman" w:eastAsia="Times New Roman" w:hAnsi="Times New Roman" w:cs="Times New Roman"/>
          <w:sz w:val="24"/>
          <w:szCs w:val="24"/>
        </w:rPr>
        <w:t>the estimation of</w:t>
      </w:r>
      <w:r w:rsidR="0078172D">
        <w:rPr>
          <w:rFonts w:ascii="Times New Roman" w:eastAsia="Times New Roman" w:hAnsi="Times New Roman" w:cs="Times New Roman"/>
          <w:sz w:val="24"/>
          <w:szCs w:val="24"/>
        </w:rPr>
        <w:t xml:space="preserve"> the effect of a temple on prices of homes within our initial radius of 0-0.75 miles as well as homes from 0.75-1.25 miles away, which is instrumental in evaluating the existence of any potential marginal effect a temple may have on surrounding housing prices. </w:t>
      </w:r>
      <w:r w:rsidR="00F838E8">
        <w:rPr>
          <w:rFonts w:ascii="Times New Roman" w:hAnsi="Times New Roman" w:cs="Times New Roman"/>
          <w:sz w:val="24"/>
          <w:szCs w:val="24"/>
        </w:rPr>
        <w:t>Figure 5 shows summary statistics of the Gilbert area by</w:t>
      </w:r>
      <w:r w:rsidR="00380EAA">
        <w:rPr>
          <w:rFonts w:ascii="Times New Roman" w:hAnsi="Times New Roman" w:cs="Times New Roman"/>
          <w:sz w:val="24"/>
          <w:szCs w:val="24"/>
        </w:rPr>
        <w:t xml:space="preserve"> these</w:t>
      </w:r>
      <w:r w:rsidR="00F838E8">
        <w:rPr>
          <w:rFonts w:ascii="Times New Roman" w:hAnsi="Times New Roman" w:cs="Times New Roman"/>
          <w:sz w:val="24"/>
          <w:szCs w:val="24"/>
        </w:rPr>
        <w:t xml:space="preserve"> treatment and control groups</w:t>
      </w:r>
      <w:r w:rsidR="00380EAA">
        <w:rPr>
          <w:rFonts w:ascii="Times New Roman" w:hAnsi="Times New Roman" w:cs="Times New Roman"/>
          <w:sz w:val="24"/>
          <w:szCs w:val="24"/>
        </w:rPr>
        <w:t>, which do look comparable across groups in terms of our control variables</w:t>
      </w:r>
      <w:r w:rsidR="00F838E8">
        <w:rPr>
          <w:rFonts w:ascii="Times New Roman" w:hAnsi="Times New Roman" w:cs="Times New Roman"/>
          <w:sz w:val="24"/>
          <w:szCs w:val="24"/>
        </w:rPr>
        <w:t xml:space="preserve">. </w:t>
      </w:r>
      <w:r w:rsidR="00C4340F">
        <w:rPr>
          <w:rFonts w:ascii="Times New Roman" w:hAnsi="Times New Roman" w:cs="Times New Roman"/>
          <w:sz w:val="24"/>
          <w:szCs w:val="24"/>
        </w:rPr>
        <w:t>If there is indeed a 10% increase in housing prices for our intense treat</w:t>
      </w:r>
      <w:r w:rsidR="00967A29">
        <w:rPr>
          <w:rFonts w:ascii="Times New Roman" w:hAnsi="Times New Roman" w:cs="Times New Roman"/>
          <w:sz w:val="24"/>
          <w:szCs w:val="24"/>
        </w:rPr>
        <w:t xml:space="preserve">ment group, we would </w:t>
      </w:r>
      <w:r w:rsidR="00967A29">
        <w:rPr>
          <w:rFonts w:ascii="Times New Roman" w:hAnsi="Times New Roman" w:cs="Times New Roman"/>
          <w:sz w:val="24"/>
          <w:szCs w:val="24"/>
        </w:rPr>
        <w:lastRenderedPageBreak/>
        <w:t>expect</w:t>
      </w:r>
      <w:r w:rsidR="00C4340F">
        <w:rPr>
          <w:rFonts w:ascii="Times New Roman" w:hAnsi="Times New Roman" w:cs="Times New Roman"/>
          <w:sz w:val="24"/>
          <w:szCs w:val="24"/>
        </w:rPr>
        <w:t xml:space="preserve"> the effect </w:t>
      </w:r>
      <w:r w:rsidR="00967A29">
        <w:rPr>
          <w:rFonts w:ascii="Times New Roman" w:hAnsi="Times New Roman" w:cs="Times New Roman"/>
          <w:sz w:val="24"/>
          <w:szCs w:val="24"/>
        </w:rPr>
        <w:t xml:space="preserve">to </w:t>
      </w:r>
      <w:r w:rsidR="00C4340F">
        <w:rPr>
          <w:rFonts w:ascii="Times New Roman" w:hAnsi="Times New Roman" w:cs="Times New Roman"/>
          <w:sz w:val="24"/>
          <w:szCs w:val="24"/>
        </w:rPr>
        <w:t xml:space="preserve">remain positive and significant when comparing the intense treatment group to the moderate treatment group combined with the further control. Furthermore, we would expect the effect of the temple on housing prices for homes in the moderate treatment group to be positive and significant, although perhaps less extreme. </w:t>
      </w:r>
    </w:p>
    <w:p w14:paraId="15EAF5EF" w14:textId="77777777" w:rsidR="009B1CD0" w:rsidRDefault="009B1CD0" w:rsidP="00317A82">
      <w:pPr>
        <w:widowControl w:val="0"/>
        <w:autoSpaceDE w:val="0"/>
        <w:autoSpaceDN w:val="0"/>
        <w:adjustRightInd w:val="0"/>
        <w:spacing w:line="480" w:lineRule="auto"/>
        <w:rPr>
          <w:rFonts w:ascii="Times New Roman" w:hAnsi="Times New Roman" w:cs="Times New Roman"/>
          <w:b/>
          <w:sz w:val="28"/>
          <w:szCs w:val="28"/>
        </w:rPr>
      </w:pPr>
      <w:r w:rsidRPr="009B1CD0">
        <w:rPr>
          <w:rFonts w:ascii="Times New Roman" w:hAnsi="Times New Roman" w:cs="Times New Roman"/>
          <w:b/>
          <w:sz w:val="28"/>
          <w:szCs w:val="28"/>
        </w:rPr>
        <w:t>Figure 5</w:t>
      </w:r>
      <w:r w:rsidR="00ED05D8">
        <w:rPr>
          <w:rFonts w:ascii="Times New Roman" w:hAnsi="Times New Roman" w:cs="Times New Roman"/>
          <w:b/>
          <w:sz w:val="28"/>
          <w:szCs w:val="28"/>
        </w:rPr>
        <w:t xml:space="preserve"> </w:t>
      </w:r>
    </w:p>
    <w:tbl>
      <w:tblPr>
        <w:tblStyle w:val="PlainTable3"/>
        <w:tblW w:w="0" w:type="auto"/>
        <w:jc w:val="center"/>
        <w:tblLook w:val="04A0" w:firstRow="1" w:lastRow="0" w:firstColumn="1" w:lastColumn="0" w:noHBand="0" w:noVBand="1"/>
      </w:tblPr>
      <w:tblGrid>
        <w:gridCol w:w="2281"/>
        <w:gridCol w:w="1111"/>
        <w:gridCol w:w="1111"/>
        <w:gridCol w:w="1112"/>
      </w:tblGrid>
      <w:tr w:rsidR="00C7275A" w:rsidRPr="00F7539A" w14:paraId="27909795" w14:textId="77777777" w:rsidTr="002636BD">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100" w:firstRow="0" w:lastRow="0" w:firstColumn="1" w:lastColumn="0" w:oddVBand="0" w:evenVBand="0" w:oddHBand="0" w:evenHBand="0" w:firstRowFirstColumn="1" w:firstRowLastColumn="0" w:lastRowFirstColumn="0" w:lastRowLastColumn="0"/>
            <w:tcW w:w="2281" w:type="dxa"/>
            <w:vMerge w:val="restart"/>
            <w:vAlign w:val="bottom"/>
            <w:hideMark/>
          </w:tcPr>
          <w:p w14:paraId="71E9A07F"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caps w:val="0"/>
                <w:color w:val="000000"/>
                <w:sz w:val="21"/>
                <w:szCs w:val="21"/>
              </w:rPr>
              <w:t>Pre-Treatment</w:t>
            </w:r>
          </w:p>
          <w:p w14:paraId="2ABF1DB3"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i/>
                <w:iCs/>
                <w:caps w:val="0"/>
                <w:color w:val="0000FF"/>
                <w:sz w:val="21"/>
                <w:szCs w:val="21"/>
              </w:rPr>
              <w:t>Post-Treatment</w:t>
            </w:r>
          </w:p>
        </w:tc>
        <w:tc>
          <w:tcPr>
            <w:tcW w:w="3334" w:type="dxa"/>
            <w:gridSpan w:val="3"/>
            <w:vAlign w:val="center"/>
            <w:hideMark/>
          </w:tcPr>
          <w:p w14:paraId="00E335B8" w14:textId="77777777" w:rsidR="00C7275A" w:rsidRPr="00F7539A" w:rsidRDefault="00C7275A" w:rsidP="00C727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1"/>
                <w:szCs w:val="21"/>
              </w:rPr>
            </w:pPr>
            <w:r w:rsidRPr="00F7539A">
              <w:rPr>
                <w:rFonts w:ascii="Times New Roman" w:eastAsia="Times New Roman" w:hAnsi="Times New Roman" w:cs="Times New Roman"/>
                <w:caps w:val="0"/>
                <w:color w:val="000000"/>
                <w:sz w:val="21"/>
                <w:szCs w:val="21"/>
              </w:rPr>
              <w:t>Gilbert Temple</w:t>
            </w:r>
          </w:p>
        </w:tc>
      </w:tr>
      <w:tr w:rsidR="00C7275A" w:rsidRPr="00F7539A" w14:paraId="3D5976B0" w14:textId="77777777" w:rsidTr="002636BD">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281" w:type="dxa"/>
            <w:vMerge/>
            <w:tcBorders>
              <w:bottom w:val="single" w:sz="4" w:space="0" w:color="auto"/>
            </w:tcBorders>
            <w:vAlign w:val="center"/>
            <w:hideMark/>
          </w:tcPr>
          <w:p w14:paraId="7113EA65" w14:textId="77777777" w:rsidR="00C7275A" w:rsidRPr="00F7539A" w:rsidRDefault="00C7275A" w:rsidP="00C7275A">
            <w:pPr>
              <w:jc w:val="center"/>
              <w:rPr>
                <w:rFonts w:ascii="Times New Roman" w:eastAsia="Times New Roman" w:hAnsi="Times New Roman" w:cs="Times New Roman"/>
                <w:sz w:val="21"/>
                <w:szCs w:val="21"/>
              </w:rPr>
            </w:pPr>
          </w:p>
        </w:tc>
        <w:tc>
          <w:tcPr>
            <w:tcW w:w="1111" w:type="dxa"/>
            <w:tcBorders>
              <w:bottom w:val="single" w:sz="4" w:space="0" w:color="auto"/>
            </w:tcBorders>
            <w:vAlign w:val="center"/>
            <w:hideMark/>
          </w:tcPr>
          <w:p w14:paraId="24142409"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7539A">
              <w:rPr>
                <w:rFonts w:ascii="Times New Roman" w:eastAsia="Times New Roman" w:hAnsi="Times New Roman" w:cs="Times New Roman"/>
                <w:b/>
                <w:bCs/>
                <w:color w:val="000000"/>
                <w:sz w:val="20"/>
                <w:szCs w:val="20"/>
              </w:rPr>
              <w:t>0-</w:t>
            </w:r>
            <w:r>
              <w:rPr>
                <w:rFonts w:ascii="Times New Roman" w:eastAsia="Times New Roman" w:hAnsi="Times New Roman" w:cs="Times New Roman"/>
                <w:b/>
                <w:bCs/>
                <w:color w:val="000000"/>
                <w:sz w:val="20"/>
                <w:szCs w:val="20"/>
              </w:rPr>
              <w:t>0.75</w:t>
            </w:r>
            <w:r w:rsidRPr="00F7539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Miles</w:t>
            </w:r>
          </w:p>
        </w:tc>
        <w:tc>
          <w:tcPr>
            <w:tcW w:w="1111" w:type="dxa"/>
            <w:tcBorders>
              <w:bottom w:val="single" w:sz="4" w:space="0" w:color="auto"/>
            </w:tcBorders>
            <w:vAlign w:val="center"/>
            <w:hideMark/>
          </w:tcPr>
          <w:p w14:paraId="33B72864"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0"/>
                <w:szCs w:val="20"/>
              </w:rPr>
              <w:t>0.75</w:t>
            </w:r>
            <w:r w:rsidRPr="00F7539A">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1.25 Miles</w:t>
            </w:r>
          </w:p>
        </w:tc>
        <w:tc>
          <w:tcPr>
            <w:tcW w:w="1112" w:type="dxa"/>
            <w:tcBorders>
              <w:bottom w:val="single" w:sz="4" w:space="0" w:color="auto"/>
            </w:tcBorders>
            <w:vAlign w:val="center"/>
          </w:tcPr>
          <w:p w14:paraId="149543DF"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rPr>
            </w:pPr>
            <w:r w:rsidRPr="000E3143">
              <w:rPr>
                <w:rFonts w:asciiTheme="majorBidi" w:hAnsiTheme="majorBidi" w:cstheme="majorBidi"/>
                <w:b/>
                <w:bCs/>
                <w:sz w:val="20"/>
                <w:szCs w:val="20"/>
              </w:rPr>
              <w:t>1.25-2 miles</w:t>
            </w:r>
          </w:p>
        </w:tc>
      </w:tr>
      <w:tr w:rsidR="00C7275A" w:rsidRPr="00F7539A" w14:paraId="7FB55CAC" w14:textId="77777777" w:rsidTr="002636BD">
        <w:trPr>
          <w:trHeight w:val="575"/>
          <w:jc w:val="center"/>
        </w:trPr>
        <w:tc>
          <w:tcPr>
            <w:cnfStyle w:val="001000000000" w:firstRow="0" w:lastRow="0" w:firstColumn="1" w:lastColumn="0" w:oddVBand="0" w:evenVBand="0" w:oddHBand="0" w:evenHBand="0" w:firstRowFirstColumn="0" w:firstRowLastColumn="0" w:lastRowFirstColumn="0" w:lastRowLastColumn="0"/>
            <w:tcW w:w="2281" w:type="dxa"/>
            <w:tcBorders>
              <w:top w:val="single" w:sz="4" w:space="0" w:color="auto"/>
            </w:tcBorders>
            <w:vAlign w:val="center"/>
            <w:hideMark/>
          </w:tcPr>
          <w:p w14:paraId="2C2B0C04" w14:textId="77777777" w:rsidR="00C7275A" w:rsidRPr="00F7539A" w:rsidRDefault="00C7275A" w:rsidP="00C7275A">
            <w:pPr>
              <w:jc w:val="center"/>
              <w:rPr>
                <w:rFonts w:ascii="Times New Roman" w:eastAsia="Times New Roman" w:hAnsi="Times New Roman" w:cs="Times New Roman"/>
                <w:sz w:val="21"/>
                <w:szCs w:val="21"/>
              </w:rPr>
            </w:pPr>
            <w:r>
              <w:rPr>
                <w:rFonts w:ascii="Times New Roman" w:eastAsia="Times New Roman" w:hAnsi="Times New Roman" w:cs="Times New Roman"/>
                <w:caps w:val="0"/>
                <w:color w:val="000000"/>
                <w:sz w:val="21"/>
                <w:szCs w:val="21"/>
              </w:rPr>
              <w:t>Count o</w:t>
            </w:r>
            <w:r w:rsidRPr="00F7539A">
              <w:rPr>
                <w:rFonts w:ascii="Times New Roman" w:eastAsia="Times New Roman" w:hAnsi="Times New Roman" w:cs="Times New Roman"/>
                <w:caps w:val="0"/>
                <w:color w:val="000000"/>
                <w:sz w:val="21"/>
                <w:szCs w:val="21"/>
              </w:rPr>
              <w:t>f Observations</w:t>
            </w:r>
          </w:p>
        </w:tc>
        <w:tc>
          <w:tcPr>
            <w:tcW w:w="1111" w:type="dxa"/>
            <w:tcBorders>
              <w:top w:val="single" w:sz="4" w:space="0" w:color="auto"/>
            </w:tcBorders>
            <w:vAlign w:val="center"/>
            <w:hideMark/>
          </w:tcPr>
          <w:p w14:paraId="0A78B346"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84</w:t>
            </w:r>
          </w:p>
          <w:p w14:paraId="53823249"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1446">
              <w:rPr>
                <w:rFonts w:ascii="Times New Roman" w:eastAsia="Times New Roman" w:hAnsi="Times New Roman" w:cs="Times New Roman"/>
                <w:i/>
                <w:iCs/>
                <w:color w:val="0000FF"/>
                <w:sz w:val="20"/>
                <w:szCs w:val="20"/>
              </w:rPr>
              <w:t>16</w:t>
            </w:r>
          </w:p>
        </w:tc>
        <w:tc>
          <w:tcPr>
            <w:tcW w:w="1111" w:type="dxa"/>
            <w:tcBorders>
              <w:top w:val="single" w:sz="4" w:space="0" w:color="auto"/>
            </w:tcBorders>
            <w:vAlign w:val="center"/>
            <w:hideMark/>
          </w:tcPr>
          <w:p w14:paraId="44CFFAA7"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334</w:t>
            </w:r>
          </w:p>
          <w:p w14:paraId="79CFB43A" w14:textId="77777777" w:rsidR="00C7275A" w:rsidRPr="007A1446"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FF"/>
                <w:sz w:val="24"/>
                <w:szCs w:val="24"/>
              </w:rPr>
            </w:pPr>
            <w:r>
              <w:rPr>
                <w:rFonts w:ascii="Times New Roman" w:eastAsia="Times New Roman" w:hAnsi="Times New Roman" w:cs="Times New Roman"/>
                <w:i/>
                <w:iCs/>
                <w:color w:val="0000FF"/>
                <w:sz w:val="20"/>
                <w:szCs w:val="20"/>
              </w:rPr>
              <w:t>41</w:t>
            </w:r>
          </w:p>
        </w:tc>
        <w:tc>
          <w:tcPr>
            <w:tcW w:w="1112" w:type="dxa"/>
            <w:tcBorders>
              <w:top w:val="single" w:sz="4" w:space="0" w:color="auto"/>
            </w:tcBorders>
            <w:vAlign w:val="center"/>
          </w:tcPr>
          <w:p w14:paraId="304213ED" w14:textId="77777777" w:rsidR="00C7275A" w:rsidRPr="000E3143"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434</w:t>
            </w:r>
          </w:p>
          <w:p w14:paraId="72033280" w14:textId="77777777" w:rsidR="00C7275A" w:rsidRPr="007A1446"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251</w:t>
            </w:r>
          </w:p>
        </w:tc>
      </w:tr>
      <w:tr w:rsidR="00C7275A" w:rsidRPr="00F7539A" w14:paraId="21806DDE" w14:textId="77777777" w:rsidTr="002636BD">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281" w:type="dxa"/>
            <w:vAlign w:val="center"/>
            <w:hideMark/>
          </w:tcPr>
          <w:p w14:paraId="6BB11C35"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caps w:val="0"/>
                <w:color w:val="000000"/>
                <w:sz w:val="21"/>
                <w:szCs w:val="21"/>
              </w:rPr>
              <w:t>Avg Selling Price</w:t>
            </w:r>
          </w:p>
        </w:tc>
        <w:tc>
          <w:tcPr>
            <w:tcW w:w="1111" w:type="dxa"/>
            <w:vAlign w:val="center"/>
            <w:hideMark/>
          </w:tcPr>
          <w:p w14:paraId="0494027C"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427,993</w:t>
            </w:r>
          </w:p>
          <w:p w14:paraId="3D3011CF"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w:t>
            </w:r>
            <w:r>
              <w:rPr>
                <w:rFonts w:ascii="Times New Roman" w:eastAsia="Times New Roman" w:hAnsi="Times New Roman" w:cs="Times New Roman"/>
                <w:i/>
                <w:iCs/>
                <w:color w:val="0000FF"/>
                <w:sz w:val="20"/>
                <w:szCs w:val="20"/>
              </w:rPr>
              <w:t>443,367</w:t>
            </w:r>
          </w:p>
        </w:tc>
        <w:tc>
          <w:tcPr>
            <w:tcW w:w="1111" w:type="dxa"/>
            <w:vAlign w:val="center"/>
            <w:hideMark/>
          </w:tcPr>
          <w:p w14:paraId="782805F7"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322,617</w:t>
            </w:r>
          </w:p>
          <w:p w14:paraId="3279D7C8"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w:t>
            </w:r>
            <w:r>
              <w:rPr>
                <w:rFonts w:ascii="Times New Roman" w:eastAsia="Times New Roman" w:hAnsi="Times New Roman" w:cs="Times New Roman"/>
                <w:i/>
                <w:iCs/>
                <w:color w:val="0000FF"/>
                <w:sz w:val="20"/>
                <w:szCs w:val="20"/>
              </w:rPr>
              <w:t>341,332</w:t>
            </w:r>
          </w:p>
        </w:tc>
        <w:tc>
          <w:tcPr>
            <w:tcW w:w="1112" w:type="dxa"/>
            <w:vAlign w:val="center"/>
          </w:tcPr>
          <w:p w14:paraId="0757E1A9" w14:textId="77777777" w:rsidR="00C7275A" w:rsidRPr="000E3143"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$282,970</w:t>
            </w:r>
          </w:p>
          <w:p w14:paraId="5178C73E" w14:textId="77777777" w:rsidR="00C7275A" w:rsidRPr="007A1446"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$373,285</w:t>
            </w:r>
          </w:p>
        </w:tc>
      </w:tr>
      <w:tr w:rsidR="00C7275A" w:rsidRPr="00F7539A" w14:paraId="091F9410" w14:textId="77777777" w:rsidTr="002636BD">
        <w:trPr>
          <w:trHeight w:val="575"/>
          <w:jc w:val="center"/>
        </w:trPr>
        <w:tc>
          <w:tcPr>
            <w:cnfStyle w:val="001000000000" w:firstRow="0" w:lastRow="0" w:firstColumn="1" w:lastColumn="0" w:oddVBand="0" w:evenVBand="0" w:oddHBand="0" w:evenHBand="0" w:firstRowFirstColumn="0" w:firstRowLastColumn="0" w:lastRowFirstColumn="0" w:lastRowLastColumn="0"/>
            <w:tcW w:w="2281" w:type="dxa"/>
            <w:vAlign w:val="center"/>
            <w:hideMark/>
          </w:tcPr>
          <w:p w14:paraId="5703970B"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caps w:val="0"/>
                <w:color w:val="000000"/>
                <w:sz w:val="21"/>
                <w:szCs w:val="21"/>
              </w:rPr>
              <w:t>Avg Year Built</w:t>
            </w:r>
          </w:p>
          <w:p w14:paraId="3FC66015" w14:textId="77777777" w:rsidR="00C7275A" w:rsidRPr="00F7539A" w:rsidRDefault="00C7275A" w:rsidP="00C7275A">
            <w:pPr>
              <w:jc w:val="center"/>
              <w:rPr>
                <w:rFonts w:ascii="Times New Roman" w:eastAsia="Times New Roman" w:hAnsi="Times New Roman" w:cs="Times New Roman"/>
                <w:sz w:val="21"/>
                <w:szCs w:val="21"/>
              </w:rPr>
            </w:pPr>
          </w:p>
        </w:tc>
        <w:tc>
          <w:tcPr>
            <w:tcW w:w="1111" w:type="dxa"/>
            <w:vAlign w:val="center"/>
            <w:hideMark/>
          </w:tcPr>
          <w:p w14:paraId="3860CC5D"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2011</w:t>
            </w:r>
          </w:p>
          <w:p w14:paraId="748CD13E"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201</w:t>
            </w:r>
            <w:r>
              <w:rPr>
                <w:rFonts w:ascii="Times New Roman" w:eastAsia="Times New Roman" w:hAnsi="Times New Roman" w:cs="Times New Roman"/>
                <w:i/>
                <w:iCs/>
                <w:color w:val="0000FF"/>
                <w:sz w:val="20"/>
                <w:szCs w:val="20"/>
              </w:rPr>
              <w:t>4</w:t>
            </w:r>
          </w:p>
        </w:tc>
        <w:tc>
          <w:tcPr>
            <w:tcW w:w="1111" w:type="dxa"/>
            <w:vAlign w:val="center"/>
            <w:hideMark/>
          </w:tcPr>
          <w:p w14:paraId="59441FF9"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2012</w:t>
            </w:r>
          </w:p>
          <w:p w14:paraId="258B7564"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20</w:t>
            </w:r>
            <w:r>
              <w:rPr>
                <w:rFonts w:ascii="Times New Roman" w:eastAsia="Times New Roman" w:hAnsi="Times New Roman" w:cs="Times New Roman"/>
                <w:i/>
                <w:iCs/>
                <w:color w:val="0000FF"/>
                <w:sz w:val="20"/>
                <w:szCs w:val="20"/>
              </w:rPr>
              <w:t>12</w:t>
            </w:r>
          </w:p>
        </w:tc>
        <w:tc>
          <w:tcPr>
            <w:tcW w:w="1112" w:type="dxa"/>
            <w:vAlign w:val="center"/>
          </w:tcPr>
          <w:p w14:paraId="72234050" w14:textId="77777777" w:rsidR="00C7275A" w:rsidRPr="000E3143"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2012</w:t>
            </w:r>
          </w:p>
          <w:p w14:paraId="4D6725BD" w14:textId="77777777" w:rsidR="00C7275A" w:rsidRPr="007A1446"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2014</w:t>
            </w:r>
          </w:p>
        </w:tc>
      </w:tr>
      <w:tr w:rsidR="00C7275A" w:rsidRPr="00F7539A" w14:paraId="1B9A9759" w14:textId="77777777" w:rsidTr="002636BD">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281" w:type="dxa"/>
            <w:vAlign w:val="center"/>
            <w:hideMark/>
          </w:tcPr>
          <w:p w14:paraId="1B7FD978"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caps w:val="0"/>
                <w:color w:val="000000"/>
                <w:sz w:val="21"/>
                <w:szCs w:val="21"/>
              </w:rPr>
              <w:t>Avg Lot Size (Acres)</w:t>
            </w:r>
          </w:p>
        </w:tc>
        <w:tc>
          <w:tcPr>
            <w:tcW w:w="1111" w:type="dxa"/>
            <w:vAlign w:val="center"/>
            <w:hideMark/>
          </w:tcPr>
          <w:p w14:paraId="12C69827"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33</w:t>
            </w:r>
          </w:p>
          <w:p w14:paraId="67C7D58D"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w:t>
            </w:r>
            <w:r>
              <w:rPr>
                <w:rFonts w:ascii="Times New Roman" w:eastAsia="Times New Roman" w:hAnsi="Times New Roman" w:cs="Times New Roman"/>
                <w:i/>
                <w:iCs/>
                <w:color w:val="0000FF"/>
                <w:sz w:val="20"/>
                <w:szCs w:val="20"/>
              </w:rPr>
              <w:t>21</w:t>
            </w:r>
          </w:p>
        </w:tc>
        <w:tc>
          <w:tcPr>
            <w:tcW w:w="1111" w:type="dxa"/>
            <w:vAlign w:val="center"/>
            <w:hideMark/>
          </w:tcPr>
          <w:p w14:paraId="785863B4"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2</w:t>
            </w:r>
          </w:p>
          <w:p w14:paraId="71F5D64A"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.20</w:t>
            </w:r>
          </w:p>
        </w:tc>
        <w:tc>
          <w:tcPr>
            <w:tcW w:w="1112" w:type="dxa"/>
            <w:vAlign w:val="center"/>
          </w:tcPr>
          <w:p w14:paraId="7F2AD648" w14:textId="77777777" w:rsidR="00C7275A" w:rsidRPr="000E3143"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.23</w:t>
            </w:r>
          </w:p>
          <w:p w14:paraId="296B7CAC" w14:textId="77777777" w:rsidR="00C7275A" w:rsidRPr="007A1446"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.20</w:t>
            </w:r>
          </w:p>
        </w:tc>
      </w:tr>
      <w:tr w:rsidR="00C7275A" w:rsidRPr="00F7539A" w14:paraId="1BF6D53C" w14:textId="77777777" w:rsidTr="002636BD">
        <w:trPr>
          <w:trHeight w:val="575"/>
          <w:jc w:val="center"/>
        </w:trPr>
        <w:tc>
          <w:tcPr>
            <w:cnfStyle w:val="001000000000" w:firstRow="0" w:lastRow="0" w:firstColumn="1" w:lastColumn="0" w:oddVBand="0" w:evenVBand="0" w:oddHBand="0" w:evenHBand="0" w:firstRowFirstColumn="0" w:firstRowLastColumn="0" w:lastRowFirstColumn="0" w:lastRowLastColumn="0"/>
            <w:tcW w:w="2281" w:type="dxa"/>
            <w:vAlign w:val="center"/>
            <w:hideMark/>
          </w:tcPr>
          <w:p w14:paraId="14ACE20A" w14:textId="77777777" w:rsidR="00C7275A" w:rsidRPr="00F7539A" w:rsidRDefault="00C7275A" w:rsidP="00C7275A">
            <w:pPr>
              <w:jc w:val="center"/>
              <w:rPr>
                <w:rFonts w:ascii="Times New Roman" w:eastAsia="Times New Roman" w:hAnsi="Times New Roman" w:cs="Times New Roman"/>
                <w:sz w:val="21"/>
                <w:szCs w:val="21"/>
              </w:rPr>
            </w:pPr>
            <w:r w:rsidRPr="00F7539A">
              <w:rPr>
                <w:rFonts w:ascii="Times New Roman" w:eastAsia="Times New Roman" w:hAnsi="Times New Roman" w:cs="Times New Roman"/>
                <w:caps w:val="0"/>
                <w:color w:val="000000"/>
                <w:sz w:val="21"/>
                <w:szCs w:val="21"/>
              </w:rPr>
              <w:t>Avg Home Size (Sq Ft)</w:t>
            </w:r>
          </w:p>
        </w:tc>
        <w:tc>
          <w:tcPr>
            <w:tcW w:w="1111" w:type="dxa"/>
            <w:vAlign w:val="center"/>
            <w:hideMark/>
          </w:tcPr>
          <w:p w14:paraId="47684FA8"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3,651</w:t>
            </w:r>
          </w:p>
          <w:p w14:paraId="07C4B873"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iCs/>
                <w:color w:val="0000FF"/>
                <w:sz w:val="20"/>
                <w:szCs w:val="20"/>
              </w:rPr>
              <w:t>3,126</w:t>
            </w:r>
          </w:p>
        </w:tc>
        <w:tc>
          <w:tcPr>
            <w:tcW w:w="1111" w:type="dxa"/>
            <w:vAlign w:val="center"/>
            <w:hideMark/>
          </w:tcPr>
          <w:p w14:paraId="20E4D425"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,800</w:t>
            </w:r>
          </w:p>
          <w:p w14:paraId="05AB440C" w14:textId="77777777" w:rsidR="00C7275A" w:rsidRPr="00F7539A"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7539A">
              <w:rPr>
                <w:rFonts w:ascii="Times New Roman" w:eastAsia="Times New Roman" w:hAnsi="Times New Roman" w:cs="Times New Roman"/>
                <w:i/>
                <w:iCs/>
                <w:color w:val="0000FF"/>
                <w:sz w:val="20"/>
                <w:szCs w:val="20"/>
              </w:rPr>
              <w:t>2</w:t>
            </w:r>
            <w:r>
              <w:rPr>
                <w:rFonts w:ascii="Times New Roman" w:eastAsia="Times New Roman" w:hAnsi="Times New Roman" w:cs="Times New Roman"/>
                <w:i/>
                <w:iCs/>
                <w:color w:val="0000FF"/>
                <w:sz w:val="20"/>
                <w:szCs w:val="20"/>
              </w:rPr>
              <w:t>,</w:t>
            </w:r>
            <w:r w:rsidRPr="00F7539A">
              <w:rPr>
                <w:rFonts w:ascii="Times New Roman" w:eastAsia="Times New Roman" w:hAnsi="Times New Roman" w:cs="Times New Roman"/>
                <w:i/>
                <w:iCs/>
                <w:color w:val="0000FF"/>
                <w:sz w:val="20"/>
                <w:szCs w:val="20"/>
              </w:rPr>
              <w:t>7</w:t>
            </w:r>
            <w:r>
              <w:rPr>
                <w:rFonts w:ascii="Times New Roman" w:eastAsia="Times New Roman" w:hAnsi="Times New Roman" w:cs="Times New Roman"/>
                <w:i/>
                <w:iCs/>
                <w:color w:val="0000FF"/>
                <w:sz w:val="20"/>
                <w:szCs w:val="20"/>
              </w:rPr>
              <w:t>03</w:t>
            </w:r>
          </w:p>
        </w:tc>
        <w:tc>
          <w:tcPr>
            <w:tcW w:w="1112" w:type="dxa"/>
            <w:vAlign w:val="center"/>
          </w:tcPr>
          <w:p w14:paraId="165E211B" w14:textId="77777777" w:rsidR="00C7275A" w:rsidRPr="000E3143"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2</w:t>
            </w:r>
            <w:r w:rsidR="00380EAA">
              <w:rPr>
                <w:rFonts w:asciiTheme="majorBidi" w:hAnsiTheme="majorBidi" w:cstheme="majorBidi"/>
                <w:sz w:val="20"/>
                <w:szCs w:val="20"/>
              </w:rPr>
              <w:t>,</w:t>
            </w:r>
            <w:r w:rsidRPr="000E3143">
              <w:rPr>
                <w:rFonts w:asciiTheme="majorBidi" w:hAnsiTheme="majorBidi" w:cstheme="majorBidi"/>
                <w:sz w:val="20"/>
                <w:szCs w:val="20"/>
              </w:rPr>
              <w:t>702</w:t>
            </w:r>
          </w:p>
          <w:p w14:paraId="3428CABF" w14:textId="77777777" w:rsidR="00C7275A" w:rsidRPr="007A1446" w:rsidRDefault="00C7275A" w:rsidP="00C72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2790</w:t>
            </w:r>
          </w:p>
        </w:tc>
      </w:tr>
      <w:tr w:rsidR="00C7275A" w:rsidRPr="00F7539A" w14:paraId="6D65C412" w14:textId="77777777" w:rsidTr="002636BD">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281" w:type="dxa"/>
            <w:vAlign w:val="center"/>
            <w:hideMark/>
          </w:tcPr>
          <w:p w14:paraId="675F1C16" w14:textId="77777777" w:rsidR="00C7275A" w:rsidRPr="00F7539A" w:rsidRDefault="00C7275A" w:rsidP="00C7275A">
            <w:pPr>
              <w:jc w:val="center"/>
              <w:rPr>
                <w:rFonts w:ascii="Times New Roman" w:eastAsia="Times New Roman" w:hAnsi="Times New Roman" w:cs="Times New Roman"/>
                <w:sz w:val="21"/>
                <w:szCs w:val="21"/>
              </w:rPr>
            </w:pPr>
            <w:r>
              <w:rPr>
                <w:rFonts w:ascii="Times New Roman" w:eastAsia="Times New Roman" w:hAnsi="Times New Roman" w:cs="Times New Roman"/>
                <w:caps w:val="0"/>
                <w:color w:val="000000"/>
                <w:sz w:val="21"/>
                <w:szCs w:val="21"/>
              </w:rPr>
              <w:t>Avg Plumbing Fixtures</w:t>
            </w:r>
          </w:p>
        </w:tc>
        <w:tc>
          <w:tcPr>
            <w:tcW w:w="1111" w:type="dxa"/>
            <w:vAlign w:val="center"/>
            <w:hideMark/>
          </w:tcPr>
          <w:p w14:paraId="46C56829"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12.7</w:t>
            </w:r>
          </w:p>
          <w:p w14:paraId="1E39C384"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iCs/>
                <w:color w:val="0000FF"/>
                <w:sz w:val="20"/>
                <w:szCs w:val="20"/>
              </w:rPr>
              <w:t>12.3</w:t>
            </w:r>
          </w:p>
        </w:tc>
        <w:tc>
          <w:tcPr>
            <w:tcW w:w="1111" w:type="dxa"/>
            <w:vAlign w:val="center"/>
            <w:hideMark/>
          </w:tcPr>
          <w:p w14:paraId="290E5188"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11.6</w:t>
            </w:r>
          </w:p>
          <w:p w14:paraId="255A9930" w14:textId="77777777" w:rsidR="00C7275A" w:rsidRPr="00F7539A"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iCs/>
                <w:color w:val="0000FF"/>
                <w:sz w:val="20"/>
                <w:szCs w:val="20"/>
              </w:rPr>
              <w:t>11.2</w:t>
            </w:r>
          </w:p>
        </w:tc>
        <w:tc>
          <w:tcPr>
            <w:tcW w:w="1112" w:type="dxa"/>
            <w:vAlign w:val="center"/>
          </w:tcPr>
          <w:p w14:paraId="1FB3848E" w14:textId="77777777" w:rsidR="00C7275A" w:rsidRPr="000E3143"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0E3143">
              <w:rPr>
                <w:rFonts w:asciiTheme="majorBidi" w:hAnsiTheme="majorBidi" w:cstheme="majorBidi"/>
                <w:sz w:val="20"/>
                <w:szCs w:val="20"/>
              </w:rPr>
              <w:t>10.4</w:t>
            </w:r>
          </w:p>
          <w:p w14:paraId="44F10551" w14:textId="77777777" w:rsidR="00C7275A" w:rsidRPr="007A1446" w:rsidRDefault="00C7275A" w:rsidP="00C727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0"/>
                <w:szCs w:val="20"/>
              </w:rPr>
            </w:pPr>
            <w:r w:rsidRPr="007A1446">
              <w:rPr>
                <w:rFonts w:asciiTheme="majorBidi" w:hAnsiTheme="majorBidi" w:cstheme="majorBidi"/>
                <w:i/>
                <w:iCs/>
                <w:color w:val="0000FF"/>
                <w:sz w:val="20"/>
                <w:szCs w:val="20"/>
              </w:rPr>
              <w:t>10.8</w:t>
            </w:r>
          </w:p>
        </w:tc>
      </w:tr>
    </w:tbl>
    <w:p w14:paraId="741FE9F6" w14:textId="77777777" w:rsidR="00967A29" w:rsidRDefault="00967A29" w:rsidP="00317A82">
      <w:pPr>
        <w:widowControl w:val="0"/>
        <w:autoSpaceDE w:val="0"/>
        <w:autoSpaceDN w:val="0"/>
        <w:adjustRightInd w:val="0"/>
        <w:spacing w:line="480" w:lineRule="auto"/>
        <w:rPr>
          <w:rFonts w:ascii="Times New Roman" w:hAnsi="Times New Roman" w:cs="Times New Roman"/>
          <w:b/>
          <w:sz w:val="28"/>
          <w:szCs w:val="28"/>
        </w:rPr>
      </w:pPr>
    </w:p>
    <w:p w14:paraId="075F734A" w14:textId="77777777" w:rsidR="00C7275A" w:rsidRDefault="00CE140A" w:rsidP="00317A8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To perform such a regression using DID,</w:t>
      </w:r>
      <w:r w:rsidR="009B1CD0">
        <w:rPr>
          <w:rFonts w:ascii="Times New Roman" w:hAnsi="Times New Roman" w:cs="Times New Roman"/>
          <w:sz w:val="24"/>
          <w:szCs w:val="24"/>
        </w:rPr>
        <w:t xml:space="preserve"> we need once again to verify th</w:t>
      </w:r>
      <w:r>
        <w:rPr>
          <w:rFonts w:ascii="Times New Roman" w:hAnsi="Times New Roman" w:cs="Times New Roman"/>
          <w:sz w:val="24"/>
          <w:szCs w:val="24"/>
        </w:rPr>
        <w:t>at the parallel trends assumption holds; this time, we must confirm that pre-treatment housing price trends are similar between homes in all three groups (within 0.75 miles, 0.75 – 1.25 miles, 1.25 – 2 miles)</w:t>
      </w:r>
      <w:r w:rsidR="009B1CD0">
        <w:rPr>
          <w:rFonts w:ascii="Times New Roman" w:hAnsi="Times New Roman" w:cs="Times New Roman"/>
          <w:sz w:val="24"/>
          <w:szCs w:val="24"/>
        </w:rPr>
        <w:t>. Figure 6</w:t>
      </w:r>
      <w:r>
        <w:rPr>
          <w:rFonts w:ascii="Times New Roman" w:hAnsi="Times New Roman" w:cs="Times New Roman"/>
          <w:sz w:val="24"/>
          <w:szCs w:val="24"/>
        </w:rPr>
        <w:t xml:space="preserve"> shows the trends for each of these groups.</w:t>
      </w:r>
      <w:r w:rsidR="00C7275A">
        <w:rPr>
          <w:rFonts w:ascii="Times New Roman" w:hAnsi="Times New Roman" w:cs="Times New Roman"/>
          <w:sz w:val="24"/>
          <w:szCs w:val="24"/>
        </w:rPr>
        <w:t xml:space="preserve"> It is evident that the trend for the new control (1.25 – 2 miles) does not follow a similar pre-treatment trend to that of either treatment group. There is a significant dip in housing prices for our control in period 2, while neither treatment group experienced similar decline. We checked for any possible outliers that could be skewing the trend in period 2 but found none. While the parallel trends assumption is not strong for this second specification, we still ran the regression to test robustness of our primary regression. </w:t>
      </w:r>
    </w:p>
    <w:p w14:paraId="73D6872A" w14:textId="77777777" w:rsidR="00C7275A" w:rsidRDefault="00C7275A" w:rsidP="00C7275A">
      <w:pPr>
        <w:widowControl w:val="0"/>
        <w:autoSpaceDE w:val="0"/>
        <w:autoSpaceDN w:val="0"/>
        <w:adjustRightInd w:val="0"/>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CA4B5E">
            <wp:extent cx="4020337" cy="2927629"/>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6.png"/>
                    <pic:cNvPicPr/>
                  </pic:nvPicPr>
                  <pic:blipFill>
                    <a:blip r:embed="rId11">
                      <a:extLst>
                        <a:ext uri="{28A0092B-C50C-407E-A947-70E740481C1C}">
                          <a14:useLocalDpi xmlns:a14="http://schemas.microsoft.com/office/drawing/2010/main" val="0"/>
                        </a:ext>
                      </a:extLst>
                    </a:blip>
                    <a:stretch>
                      <a:fillRect/>
                    </a:stretch>
                  </pic:blipFill>
                  <pic:spPr>
                    <a:xfrm>
                      <a:off x="0" y="0"/>
                      <a:ext cx="4042364" cy="2943670"/>
                    </a:xfrm>
                    <a:prstGeom prst="rect">
                      <a:avLst/>
                    </a:prstGeom>
                  </pic:spPr>
                </pic:pic>
              </a:graphicData>
            </a:graphic>
          </wp:inline>
        </w:drawing>
      </w:r>
    </w:p>
    <w:p w14:paraId="080C59B0" w14:textId="77777777" w:rsidR="00C4340F" w:rsidRDefault="00C4340F" w:rsidP="0056680B">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modeled this </w:t>
      </w:r>
      <w:r w:rsidR="0056680B">
        <w:rPr>
          <w:rFonts w:ascii="Times New Roman" w:hAnsi="Times New Roman" w:cs="Times New Roman"/>
          <w:sz w:val="24"/>
          <w:szCs w:val="24"/>
        </w:rPr>
        <w:t xml:space="preserve">second </w:t>
      </w:r>
      <w:r>
        <w:rPr>
          <w:rFonts w:ascii="Times New Roman" w:hAnsi="Times New Roman" w:cs="Times New Roman"/>
          <w:sz w:val="24"/>
          <w:szCs w:val="24"/>
        </w:rPr>
        <w:t xml:space="preserve">regression using the following equation: </w:t>
      </w:r>
    </w:p>
    <w:p w14:paraId="5CD95920" w14:textId="77777777" w:rsidR="00401AC8" w:rsidRPr="00401AC8" w:rsidRDefault="00000000" w:rsidP="00401AC8">
      <w:pPr>
        <w:widowControl w:val="0"/>
        <w:autoSpaceDE w:val="0"/>
        <w:autoSpaceDN w:val="0"/>
        <w:adjustRightInd w:val="0"/>
        <w:spacing w:line="360" w:lineRule="auto"/>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SalesPriceAmount</m:t>
                      </m:r>
                    </m:e>
                  </m:d>
                </m:e>
              </m:func>
            </m:e>
            <m:sub>
              <m:r>
                <w:rPr>
                  <w:rFonts w:ascii="Cambria Math" w:hAnsi="Cambria Math" w:cs="Times New Roman"/>
                  <w:sz w:val="24"/>
                  <w:szCs w:val="24"/>
                </w:rPr>
                <m:t>iym</m:t>
              </m:r>
            </m:sub>
          </m:sSub>
          <m:r>
            <w:rPr>
              <w:rFonts w:ascii="Cambria Math" w:hAnsi="Cambria Math" w:cs="Times New Roman"/>
              <w:sz w:val="24"/>
              <w:szCs w:val="24"/>
            </w:rPr>
            <m:t>= β</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0</m:t>
              </m:r>
            </m:sub>
          </m:sSub>
          <m:sSubSup>
            <m:sSubSupPr>
              <m:ctrlPr>
                <w:rPr>
                  <w:rFonts w:ascii="Cambria Math" w:hAnsi="Cambria Math" w:cs="Times New Roman"/>
                  <w:i/>
                  <w:sz w:val="24"/>
                  <w:szCs w:val="24"/>
                </w:rPr>
              </m:ctrlPr>
            </m:sSubSupPr>
            <m:e>
              <m:r>
                <w:rPr>
                  <w:rFonts w:ascii="Cambria Math" w:hAnsi="Cambria Math" w:cs="Times New Roman"/>
                  <w:sz w:val="24"/>
                  <w:szCs w:val="24"/>
                </w:rPr>
                <m:t>Treat</m:t>
              </m:r>
            </m:e>
            <m:sub>
              <m:r>
                <w:rPr>
                  <w:rFonts w:ascii="Cambria Math" w:hAnsi="Cambria Math" w:cs="Times New Roman"/>
                  <w:sz w:val="24"/>
                  <w:szCs w:val="24"/>
                </w:rPr>
                <m:t>i</m:t>
              </m:r>
            </m:sub>
            <m:sup>
              <m:r>
                <w:rPr>
                  <w:rFonts w:ascii="Cambria Math" w:hAnsi="Cambria Math" w:cs="Times New Roman"/>
                  <w:sz w:val="24"/>
                  <w:szCs w:val="24"/>
                </w:rPr>
                <m:t>0.75</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sSubSup>
            <m:sSubSupPr>
              <m:ctrlPr>
                <w:rPr>
                  <w:rFonts w:ascii="Cambria Math" w:hAnsi="Cambria Math" w:cs="Times New Roman"/>
                  <w:i/>
                  <w:sz w:val="24"/>
                  <w:szCs w:val="24"/>
                </w:rPr>
              </m:ctrlPr>
            </m:sSubSupPr>
            <m:e>
              <m:r>
                <w:rPr>
                  <w:rFonts w:ascii="Cambria Math" w:hAnsi="Cambria Math" w:cs="Times New Roman"/>
                  <w:sz w:val="24"/>
                  <w:szCs w:val="24"/>
                </w:rPr>
                <m:t>Treat</m:t>
              </m:r>
            </m:e>
            <m:sub>
              <m:r>
                <w:rPr>
                  <w:rFonts w:ascii="Cambria Math" w:hAnsi="Cambria Math" w:cs="Times New Roman"/>
                  <w:sz w:val="24"/>
                  <w:szCs w:val="24"/>
                </w:rPr>
                <m:t>i</m:t>
              </m:r>
            </m:sub>
            <m:sup>
              <m:r>
                <w:rPr>
                  <w:rFonts w:ascii="Cambria Math" w:hAnsi="Cambria Math" w:cs="Times New Roman"/>
                  <w:sz w:val="24"/>
                  <w:szCs w:val="24"/>
                </w:rPr>
                <m:t>1.25</m:t>
              </m:r>
            </m:sup>
          </m:sSubSup>
          <m:r>
            <w:rPr>
              <w:rFonts w:ascii="Cambria Math" w:hAnsi="Cambria Math" w:cs="Times New Roman"/>
              <w:sz w:val="24"/>
              <w:szCs w:val="24"/>
            </w:rPr>
            <m:t>+</m:t>
          </m:r>
        </m:oMath>
      </m:oMathPara>
    </w:p>
    <w:p w14:paraId="193D1691" w14:textId="77777777" w:rsidR="00C4340F" w:rsidRPr="00401AC8" w:rsidRDefault="00C4340F" w:rsidP="00C7275A">
      <w:pPr>
        <w:widowControl w:val="0"/>
        <w:autoSpaceDE w:val="0"/>
        <w:autoSpaceDN w:val="0"/>
        <w:adjustRightInd w:val="0"/>
        <w:spacing w:line="360" w:lineRule="auto"/>
        <w:ind w:left="3150" w:hanging="360"/>
        <w:jc w:val="center"/>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Treat</m:t>
            </m:r>
          </m:e>
          <m:sub>
            <m:r>
              <w:rPr>
                <w:rFonts w:ascii="Cambria Math" w:hAnsi="Cambria Math" w:cs="Times New Roman"/>
                <w:sz w:val="24"/>
                <w:szCs w:val="24"/>
              </w:rPr>
              <m:t>i</m:t>
            </m:r>
          </m:sub>
          <m:sup>
            <m:r>
              <w:rPr>
                <w:rFonts w:ascii="Cambria Math" w:hAnsi="Cambria Math" w:cs="Times New Roman"/>
                <w:sz w:val="24"/>
                <w:szCs w:val="24"/>
              </w:rPr>
              <m:t>0.75</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Treat</m:t>
            </m:r>
          </m:e>
          <m:sub>
            <m:r>
              <w:rPr>
                <w:rFonts w:ascii="Cambria Math" w:hAnsi="Cambria Math" w:cs="Times New Roman"/>
                <w:sz w:val="24"/>
                <w:szCs w:val="24"/>
              </w:rPr>
              <m:t>i</m:t>
            </m:r>
          </m:sub>
          <m:sup>
            <m:r>
              <w:rPr>
                <w:rFonts w:ascii="Cambria Math" w:hAnsi="Cambria Math" w:cs="Times New Roman"/>
                <w:sz w:val="24"/>
                <w:szCs w:val="24"/>
              </w:rPr>
              <m:t>1.25</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Post</m:t>
            </m:r>
          </m:e>
          <m:sub>
            <m:r>
              <w:rPr>
                <w:rFonts w:ascii="Cambria Math" w:hAnsi="Cambria Math" w:cs="Times New Roman"/>
                <w:sz w:val="24"/>
                <w:szCs w:val="24"/>
              </w:rPr>
              <m:t>iym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iym</m:t>
            </m:r>
          </m:sub>
        </m:sSub>
        <m:r>
          <w:rPr>
            <w:rFonts w:ascii="Cambria Math" w:hAnsi="Cambria Math" w:cs="Times New Roman"/>
            <w:sz w:val="24"/>
            <w:szCs w:val="24"/>
          </w:rPr>
          <m:t xml:space="preserve"> </m:t>
        </m:r>
      </m:oMath>
      <w:r w:rsidR="00401AC8">
        <w:rPr>
          <w:rFonts w:ascii="Times New Roman" w:hAnsi="Times New Roman" w:cs="Times New Roman"/>
          <w:sz w:val="24"/>
          <w:szCs w:val="24"/>
        </w:rPr>
        <w:tab/>
      </w:r>
      <w:r w:rsidR="00C7275A">
        <w:rPr>
          <w:rFonts w:ascii="Times New Roman" w:hAnsi="Times New Roman" w:cs="Times New Roman"/>
          <w:sz w:val="24"/>
          <w:szCs w:val="24"/>
        </w:rPr>
        <w:t xml:space="preserve">          </w:t>
      </w:r>
      <w:r w:rsidR="00401AC8">
        <w:rPr>
          <w:rFonts w:ascii="Times New Roman" w:hAnsi="Times New Roman" w:cs="Times New Roman"/>
          <w:sz w:val="24"/>
          <w:szCs w:val="24"/>
        </w:rPr>
        <w:t>(2)</w:t>
      </w:r>
    </w:p>
    <w:p w14:paraId="57976867" w14:textId="77777777" w:rsidR="00C4340F" w:rsidRDefault="00C4340F" w:rsidP="00C4340F">
      <w:pPr>
        <w:widowControl w:val="0"/>
        <w:autoSpaceDE w:val="0"/>
        <w:autoSpaceDN w:val="0"/>
        <w:adjustRightInd w:val="0"/>
        <w:spacing w:line="240" w:lineRule="auto"/>
        <w:jc w:val="center"/>
        <w:rPr>
          <w:rFonts w:ascii="Times New Roman" w:hAnsi="Times New Roman" w:cs="Times New Roman"/>
          <w:sz w:val="24"/>
          <w:szCs w:val="24"/>
        </w:rPr>
      </w:pPr>
    </w:p>
    <w:p w14:paraId="668D2C4E" w14:textId="77777777" w:rsidR="00C4340F" w:rsidRDefault="00C4340F" w:rsidP="00401AC8">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As</w:t>
      </w:r>
      <w:r w:rsidR="00401AC8">
        <w:rPr>
          <w:rFonts w:ascii="Times New Roman" w:hAnsi="Times New Roman" w:cs="Times New Roman"/>
          <w:sz w:val="24"/>
          <w:szCs w:val="24"/>
        </w:rPr>
        <w:t xml:space="preserve"> with equation (1)</w:t>
      </w:r>
      <w:r>
        <w:rPr>
          <w:rFonts w:ascii="Times New Roman" w:hAnsi="Times New Roman" w:cs="Times New Roman"/>
          <w:sz w:val="24"/>
          <w:szCs w:val="24"/>
        </w:rPr>
        <w:t xml:space="preserve">, </w:t>
      </w:r>
      <w:r w:rsidR="00401AC8">
        <w:rPr>
          <w:rFonts w:ascii="Times New Roman" w:hAnsi="Times New Roman" w:cs="Times New Roman"/>
          <w:sz w:val="24"/>
          <w:szCs w:val="24"/>
        </w:rPr>
        <w:t xml:space="preserve">here </w:t>
      </w:r>
      <w:r>
        <w:rPr>
          <w:rFonts w:ascii="Times New Roman" w:hAnsi="Times New Roman" w:cs="Times New Roman"/>
          <w:sz w:val="24"/>
          <w:szCs w:val="24"/>
        </w:rPr>
        <w:t xml:space="preserve">we have a vector of </w:t>
      </w:r>
      <w:r w:rsidR="00401AC8">
        <w:rPr>
          <w:rFonts w:ascii="Times New Roman" w:hAnsi="Times New Roman" w:cs="Times New Roman"/>
          <w:sz w:val="24"/>
          <w:szCs w:val="24"/>
        </w:rPr>
        <w:t xml:space="preserve">the same </w:t>
      </w:r>
      <w:r>
        <w:rPr>
          <w:rFonts w:ascii="Times New Roman" w:hAnsi="Times New Roman" w:cs="Times New Roman"/>
          <w:sz w:val="24"/>
          <w:szCs w:val="24"/>
        </w:rPr>
        <w:t xml:space="preserve">house-specific </w:t>
      </w:r>
      <w:r w:rsidR="00401AC8">
        <w:rPr>
          <w:rFonts w:ascii="Times New Roman" w:hAnsi="Times New Roman" w:cs="Times New Roman"/>
          <w:sz w:val="24"/>
          <w:szCs w:val="24"/>
        </w:rPr>
        <w:t>controls and</w:t>
      </w:r>
      <w:r>
        <w:rPr>
          <w:rFonts w:ascii="Times New Roman" w:hAnsi="Times New Roman" w:cs="Times New Roman"/>
          <w:sz w:val="24"/>
          <w:szCs w:val="24"/>
        </w:rPr>
        <w:t xml:space="preserve"> a </w:t>
      </w:r>
      <w:r w:rsidR="00401AC8">
        <w:rPr>
          <w:rFonts w:ascii="Times New Roman" w:hAnsi="Times New Roman" w:cs="Times New Roman"/>
          <w:sz w:val="24"/>
          <w:szCs w:val="24"/>
        </w:rPr>
        <w:t>year</w:t>
      </w:r>
      <w:r>
        <w:rPr>
          <w:rFonts w:ascii="Times New Roman" w:hAnsi="Times New Roman" w:cs="Times New Roman"/>
          <w:sz w:val="24"/>
          <w:szCs w:val="24"/>
        </w:rPr>
        <w:t xml:space="preserve"> fixed-effect</w:t>
      </w:r>
      <w:r w:rsidR="00401AC8">
        <w:rPr>
          <w:rFonts w:ascii="Times New Roman" w:hAnsi="Times New Roman" w:cs="Times New Roman"/>
          <w:sz w:val="24"/>
          <w:szCs w:val="24"/>
        </w:rPr>
        <w:t>. We then add fixed effects for both the intense treatment neighborhood and the moderate treatment neighborhood and interacted terms for each of those as well. The results of the regression</w:t>
      </w:r>
      <w:r w:rsidR="00105187">
        <w:rPr>
          <w:rFonts w:ascii="Times New Roman" w:hAnsi="Times New Roman" w:cs="Times New Roman"/>
          <w:sz w:val="24"/>
          <w:szCs w:val="24"/>
        </w:rPr>
        <w:t xml:space="preserve"> are shown in Figure 7</w:t>
      </w:r>
      <w:r w:rsidR="00401AC8">
        <w:rPr>
          <w:rFonts w:ascii="Times New Roman" w:hAnsi="Times New Roman" w:cs="Times New Roman"/>
          <w:sz w:val="24"/>
          <w:szCs w:val="24"/>
        </w:rPr>
        <w:t xml:space="preserve"> under column (2). </w:t>
      </w:r>
    </w:p>
    <w:p w14:paraId="50E993F6" w14:textId="77777777" w:rsidR="00F838E8" w:rsidRDefault="0056680B" w:rsidP="00C7275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next</w:t>
      </w:r>
      <w:r w:rsidR="002651D6">
        <w:rPr>
          <w:rFonts w:ascii="Times New Roman" w:hAnsi="Times New Roman" w:cs="Times New Roman"/>
          <w:sz w:val="24"/>
          <w:szCs w:val="24"/>
        </w:rPr>
        <w:t xml:space="preserve"> robustness check</w:t>
      </w:r>
      <w:r w:rsidR="00401AC8">
        <w:rPr>
          <w:rFonts w:ascii="Times New Roman" w:hAnsi="Times New Roman" w:cs="Times New Roman"/>
          <w:sz w:val="24"/>
          <w:szCs w:val="24"/>
        </w:rPr>
        <w:t xml:space="preserve"> was completed </w:t>
      </w:r>
      <w:r w:rsidR="00CE140A">
        <w:rPr>
          <w:rFonts w:ascii="Times New Roman" w:hAnsi="Times New Roman" w:cs="Times New Roman"/>
          <w:sz w:val="24"/>
          <w:szCs w:val="24"/>
        </w:rPr>
        <w:t xml:space="preserve">by comparing treatment (within 0.75 miles) to a broader control group (0.75 – 2 </w:t>
      </w:r>
      <w:r>
        <w:rPr>
          <w:rFonts w:ascii="Times New Roman" w:hAnsi="Times New Roman" w:cs="Times New Roman"/>
          <w:sz w:val="24"/>
          <w:szCs w:val="24"/>
        </w:rPr>
        <w:t xml:space="preserve">miles). By combining the two outside rings, we hoped to average out the drop in prices in period 2 seen in the 1.25 – 2 mile radius zone and therefore strengthen the parallel trends assumption for this third regression. The equation for this specification is the same as equation (1), except that our treatment and control indicators are defined differently (as explained </w:t>
      </w:r>
      <w:r w:rsidR="002651D6">
        <w:rPr>
          <w:rFonts w:ascii="Times New Roman" w:hAnsi="Times New Roman" w:cs="Times New Roman"/>
          <w:sz w:val="24"/>
          <w:szCs w:val="24"/>
        </w:rPr>
        <w:t>above</w:t>
      </w:r>
      <w:r>
        <w:rPr>
          <w:rFonts w:ascii="Times New Roman" w:hAnsi="Times New Roman" w:cs="Times New Roman"/>
          <w:sz w:val="24"/>
          <w:szCs w:val="24"/>
        </w:rPr>
        <w:t xml:space="preserve">). </w:t>
      </w:r>
      <w:r w:rsidR="00F838E8">
        <w:rPr>
          <w:rFonts w:ascii="Times New Roman" w:hAnsi="Times New Roman" w:cs="Times New Roman"/>
          <w:sz w:val="24"/>
          <w:szCs w:val="24"/>
        </w:rPr>
        <w:t>Results from this re</w:t>
      </w:r>
      <w:r w:rsidR="00105187">
        <w:rPr>
          <w:rFonts w:ascii="Times New Roman" w:hAnsi="Times New Roman" w:cs="Times New Roman"/>
          <w:sz w:val="24"/>
          <w:szCs w:val="24"/>
        </w:rPr>
        <w:t>gression are shown in Figure 7</w:t>
      </w:r>
      <w:r w:rsidR="00F838E8">
        <w:rPr>
          <w:rFonts w:ascii="Times New Roman" w:hAnsi="Times New Roman" w:cs="Times New Roman"/>
          <w:sz w:val="24"/>
          <w:szCs w:val="24"/>
        </w:rPr>
        <w:t xml:space="preserve"> under column (3).</w:t>
      </w:r>
    </w:p>
    <w:p w14:paraId="2BDE263A" w14:textId="77777777" w:rsidR="00F838E8" w:rsidRDefault="00105187" w:rsidP="0056680B">
      <w:pPr>
        <w:widowControl w:val="0"/>
        <w:autoSpaceDE w:val="0"/>
        <w:autoSpaceDN w:val="0"/>
        <w:adjustRightInd w:val="0"/>
        <w:spacing w:line="480" w:lineRule="auto"/>
        <w:ind w:firstLine="720"/>
        <w:rPr>
          <w:rFonts w:ascii="Times New Roman" w:hAnsi="Times New Roman" w:cs="Times New Roman"/>
          <w:b/>
          <w:sz w:val="28"/>
          <w:szCs w:val="28"/>
        </w:rPr>
      </w:pPr>
      <w:r>
        <w:rPr>
          <w:rFonts w:ascii="Times New Roman" w:hAnsi="Times New Roman" w:cs="Times New Roman"/>
          <w:b/>
          <w:sz w:val="28"/>
          <w:szCs w:val="28"/>
        </w:rPr>
        <w:t>Figure 7</w:t>
      </w:r>
      <w:r w:rsidR="000D5FEB">
        <w:rPr>
          <w:rFonts w:ascii="Times New Roman" w:hAnsi="Times New Roman" w:cs="Times New Roman"/>
          <w:b/>
          <w:sz w:val="28"/>
          <w:szCs w:val="28"/>
        </w:rPr>
        <w:t xml:space="preserve"> </w:t>
      </w:r>
    </w:p>
    <w:tbl>
      <w:tblPr>
        <w:tblW w:w="9630" w:type="dxa"/>
        <w:jc w:val="center"/>
        <w:tblLayout w:type="fixed"/>
        <w:tblCellMar>
          <w:left w:w="75" w:type="dxa"/>
          <w:right w:w="75" w:type="dxa"/>
        </w:tblCellMar>
        <w:tblLook w:val="0000" w:firstRow="0" w:lastRow="0" w:firstColumn="0" w:lastColumn="0" w:noHBand="0" w:noVBand="0"/>
      </w:tblPr>
      <w:tblGrid>
        <w:gridCol w:w="2430"/>
        <w:gridCol w:w="2736"/>
        <w:gridCol w:w="2214"/>
        <w:gridCol w:w="2250"/>
      </w:tblGrid>
      <w:tr w:rsidR="00C7275A" w14:paraId="57F3AF01" w14:textId="77777777" w:rsidTr="00C7275A">
        <w:trPr>
          <w:jc w:val="center"/>
        </w:trPr>
        <w:tc>
          <w:tcPr>
            <w:tcW w:w="2430" w:type="dxa"/>
            <w:tcBorders>
              <w:top w:val="single" w:sz="6" w:space="0" w:color="auto"/>
              <w:left w:val="nil"/>
              <w:bottom w:val="nil"/>
              <w:right w:val="nil"/>
            </w:tcBorders>
          </w:tcPr>
          <w:p w14:paraId="046D3B18"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single" w:sz="6" w:space="0" w:color="auto"/>
              <w:left w:val="nil"/>
              <w:bottom w:val="nil"/>
              <w:right w:val="nil"/>
            </w:tcBorders>
          </w:tcPr>
          <w:p w14:paraId="6D80A7C9"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967A29">
              <w:rPr>
                <w:rStyle w:val="FootnoteReference"/>
                <w:rFonts w:ascii="Times New Roman" w:hAnsi="Times New Roman" w:cs="Times New Roman"/>
                <w:sz w:val="24"/>
                <w:szCs w:val="24"/>
              </w:rPr>
              <w:footnoteReference w:id="2"/>
            </w:r>
          </w:p>
        </w:tc>
        <w:tc>
          <w:tcPr>
            <w:tcW w:w="2214" w:type="dxa"/>
            <w:tcBorders>
              <w:top w:val="single" w:sz="6" w:space="0" w:color="auto"/>
              <w:left w:val="nil"/>
              <w:bottom w:val="nil"/>
              <w:right w:val="nil"/>
            </w:tcBorders>
          </w:tcPr>
          <w:p w14:paraId="7BB1C05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50" w:type="dxa"/>
            <w:tcBorders>
              <w:top w:val="single" w:sz="6" w:space="0" w:color="auto"/>
              <w:left w:val="nil"/>
              <w:bottom w:val="nil"/>
              <w:right w:val="nil"/>
            </w:tcBorders>
          </w:tcPr>
          <w:p w14:paraId="6D2C4F8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7275A" w14:paraId="30740BAA" w14:textId="77777777" w:rsidTr="002636BD">
        <w:trPr>
          <w:trHeight w:val="423"/>
          <w:jc w:val="center"/>
        </w:trPr>
        <w:tc>
          <w:tcPr>
            <w:tcW w:w="2430" w:type="dxa"/>
            <w:tcBorders>
              <w:top w:val="nil"/>
              <w:left w:val="nil"/>
              <w:bottom w:val="single" w:sz="6" w:space="0" w:color="auto"/>
              <w:right w:val="nil"/>
            </w:tcBorders>
          </w:tcPr>
          <w:p w14:paraId="3A8DA5C9"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2736" w:type="dxa"/>
            <w:tcBorders>
              <w:top w:val="nil"/>
              <w:left w:val="nil"/>
              <w:bottom w:val="single" w:sz="6" w:space="0" w:color="auto"/>
              <w:right w:val="nil"/>
            </w:tcBorders>
          </w:tcPr>
          <w:p w14:paraId="671DE37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lnSalesPriceAmount</w:t>
            </w:r>
          </w:p>
        </w:tc>
        <w:tc>
          <w:tcPr>
            <w:tcW w:w="2214" w:type="dxa"/>
            <w:tcBorders>
              <w:top w:val="nil"/>
              <w:left w:val="nil"/>
              <w:bottom w:val="single" w:sz="6" w:space="0" w:color="auto"/>
              <w:right w:val="nil"/>
            </w:tcBorders>
          </w:tcPr>
          <w:p w14:paraId="00AD199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lnSalesPriceAmount</w:t>
            </w:r>
          </w:p>
        </w:tc>
        <w:tc>
          <w:tcPr>
            <w:tcW w:w="2250" w:type="dxa"/>
            <w:tcBorders>
              <w:top w:val="nil"/>
              <w:left w:val="nil"/>
              <w:bottom w:val="single" w:sz="6" w:space="0" w:color="auto"/>
              <w:right w:val="nil"/>
            </w:tcBorders>
          </w:tcPr>
          <w:p w14:paraId="0BBB6DE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lnSalesPriceAmount</w:t>
            </w:r>
          </w:p>
        </w:tc>
      </w:tr>
      <w:tr w:rsidR="00C7275A" w14:paraId="7EAAECF1" w14:textId="77777777" w:rsidTr="00C7275A">
        <w:trPr>
          <w:jc w:val="center"/>
        </w:trPr>
        <w:tc>
          <w:tcPr>
            <w:tcW w:w="2430" w:type="dxa"/>
            <w:tcBorders>
              <w:top w:val="nil"/>
              <w:left w:val="nil"/>
              <w:bottom w:val="nil"/>
              <w:right w:val="nil"/>
            </w:tcBorders>
          </w:tcPr>
          <w:p w14:paraId="6EF04871"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3180AC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1C624FE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02A13CEC"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6AF128F" w14:textId="77777777" w:rsidTr="00C7275A">
        <w:trPr>
          <w:jc w:val="center"/>
        </w:trPr>
        <w:tc>
          <w:tcPr>
            <w:tcW w:w="2430" w:type="dxa"/>
            <w:tcBorders>
              <w:top w:val="nil"/>
              <w:left w:val="nil"/>
              <w:bottom w:val="nil"/>
              <w:right w:val="nil"/>
            </w:tcBorders>
          </w:tcPr>
          <w:p w14:paraId="7E50D721"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LotSizeAcres</w:t>
            </w:r>
          </w:p>
        </w:tc>
        <w:tc>
          <w:tcPr>
            <w:tcW w:w="2736" w:type="dxa"/>
            <w:tcBorders>
              <w:top w:val="nil"/>
              <w:left w:val="nil"/>
              <w:bottom w:val="nil"/>
              <w:right w:val="nil"/>
            </w:tcBorders>
          </w:tcPr>
          <w:p w14:paraId="7E5A0E6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0.0336</w:t>
            </w:r>
          </w:p>
        </w:tc>
        <w:tc>
          <w:tcPr>
            <w:tcW w:w="2214" w:type="dxa"/>
            <w:tcBorders>
              <w:top w:val="nil"/>
              <w:left w:val="nil"/>
              <w:bottom w:val="nil"/>
              <w:right w:val="nil"/>
            </w:tcBorders>
          </w:tcPr>
          <w:p w14:paraId="5FE6E07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0.317**</w:t>
            </w:r>
          </w:p>
        </w:tc>
        <w:tc>
          <w:tcPr>
            <w:tcW w:w="2250" w:type="dxa"/>
            <w:tcBorders>
              <w:top w:val="nil"/>
              <w:left w:val="nil"/>
              <w:bottom w:val="nil"/>
              <w:right w:val="nil"/>
            </w:tcBorders>
          </w:tcPr>
          <w:p w14:paraId="373E938B"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0.292**</w:t>
            </w:r>
          </w:p>
        </w:tc>
      </w:tr>
      <w:tr w:rsidR="00C7275A" w14:paraId="3416824A" w14:textId="77777777" w:rsidTr="00C7275A">
        <w:trPr>
          <w:jc w:val="center"/>
        </w:trPr>
        <w:tc>
          <w:tcPr>
            <w:tcW w:w="2430" w:type="dxa"/>
            <w:tcBorders>
              <w:top w:val="nil"/>
              <w:left w:val="nil"/>
              <w:bottom w:val="nil"/>
              <w:right w:val="nil"/>
            </w:tcBorders>
          </w:tcPr>
          <w:p w14:paraId="3567FAB3"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71097D8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(0.168)</w:t>
            </w:r>
          </w:p>
        </w:tc>
        <w:tc>
          <w:tcPr>
            <w:tcW w:w="2214" w:type="dxa"/>
            <w:tcBorders>
              <w:top w:val="nil"/>
              <w:left w:val="nil"/>
              <w:bottom w:val="nil"/>
              <w:right w:val="nil"/>
            </w:tcBorders>
          </w:tcPr>
          <w:p w14:paraId="14211EA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2250" w:type="dxa"/>
            <w:tcBorders>
              <w:top w:val="nil"/>
              <w:left w:val="nil"/>
              <w:bottom w:val="nil"/>
              <w:right w:val="nil"/>
            </w:tcBorders>
          </w:tcPr>
          <w:p w14:paraId="55A19D2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(0.117)</w:t>
            </w:r>
          </w:p>
        </w:tc>
      </w:tr>
      <w:tr w:rsidR="00C7275A" w14:paraId="4EB7958D" w14:textId="77777777" w:rsidTr="00C7275A">
        <w:trPr>
          <w:jc w:val="center"/>
        </w:trPr>
        <w:tc>
          <w:tcPr>
            <w:tcW w:w="2430" w:type="dxa"/>
            <w:tcBorders>
              <w:top w:val="nil"/>
              <w:left w:val="nil"/>
              <w:bottom w:val="nil"/>
              <w:right w:val="nil"/>
            </w:tcBorders>
          </w:tcPr>
          <w:p w14:paraId="5E910F4C"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7E04BC3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16B5492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43C3EF1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54E77329" w14:textId="77777777" w:rsidTr="00C7275A">
        <w:trPr>
          <w:jc w:val="center"/>
        </w:trPr>
        <w:tc>
          <w:tcPr>
            <w:tcW w:w="2430" w:type="dxa"/>
            <w:tcBorders>
              <w:top w:val="nil"/>
              <w:left w:val="nil"/>
              <w:bottom w:val="nil"/>
              <w:right w:val="nil"/>
            </w:tcBorders>
          </w:tcPr>
          <w:p w14:paraId="73F12068"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YearBuilt</w:t>
            </w:r>
          </w:p>
        </w:tc>
        <w:tc>
          <w:tcPr>
            <w:tcW w:w="2736" w:type="dxa"/>
            <w:tcBorders>
              <w:top w:val="nil"/>
              <w:left w:val="nil"/>
              <w:bottom w:val="nil"/>
              <w:right w:val="nil"/>
            </w:tcBorders>
          </w:tcPr>
          <w:p w14:paraId="04751BF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0.0134*</w:t>
            </w:r>
          </w:p>
        </w:tc>
        <w:tc>
          <w:tcPr>
            <w:tcW w:w="2214" w:type="dxa"/>
            <w:tcBorders>
              <w:top w:val="nil"/>
              <w:left w:val="nil"/>
              <w:bottom w:val="nil"/>
              <w:right w:val="nil"/>
            </w:tcBorders>
          </w:tcPr>
          <w:p w14:paraId="1BBF6319"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2250" w:type="dxa"/>
            <w:tcBorders>
              <w:top w:val="nil"/>
              <w:left w:val="nil"/>
              <w:bottom w:val="nil"/>
              <w:right w:val="nil"/>
            </w:tcBorders>
          </w:tcPr>
          <w:p w14:paraId="184973A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0.0187***</w:t>
            </w:r>
          </w:p>
        </w:tc>
      </w:tr>
      <w:tr w:rsidR="00C7275A" w14:paraId="63FEDC0F" w14:textId="77777777" w:rsidTr="00C7275A">
        <w:trPr>
          <w:jc w:val="center"/>
        </w:trPr>
        <w:tc>
          <w:tcPr>
            <w:tcW w:w="2430" w:type="dxa"/>
            <w:tcBorders>
              <w:top w:val="nil"/>
              <w:left w:val="nil"/>
              <w:bottom w:val="nil"/>
              <w:right w:val="nil"/>
            </w:tcBorders>
          </w:tcPr>
          <w:p w14:paraId="4E39D864"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C2F4EC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(0.00759)</w:t>
            </w:r>
          </w:p>
        </w:tc>
        <w:tc>
          <w:tcPr>
            <w:tcW w:w="2214" w:type="dxa"/>
            <w:tcBorders>
              <w:top w:val="nil"/>
              <w:left w:val="nil"/>
              <w:bottom w:val="nil"/>
              <w:right w:val="nil"/>
            </w:tcBorders>
          </w:tcPr>
          <w:p w14:paraId="5DED984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(0.00525)</w:t>
            </w:r>
          </w:p>
        </w:tc>
        <w:tc>
          <w:tcPr>
            <w:tcW w:w="2250" w:type="dxa"/>
            <w:tcBorders>
              <w:top w:val="nil"/>
              <w:left w:val="nil"/>
              <w:bottom w:val="nil"/>
              <w:right w:val="nil"/>
            </w:tcBorders>
          </w:tcPr>
          <w:p w14:paraId="7EF6FAC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(0.00517)</w:t>
            </w:r>
          </w:p>
        </w:tc>
      </w:tr>
      <w:tr w:rsidR="00C7275A" w14:paraId="36997ADB" w14:textId="77777777" w:rsidTr="00C7275A">
        <w:trPr>
          <w:jc w:val="center"/>
        </w:trPr>
        <w:tc>
          <w:tcPr>
            <w:tcW w:w="2430" w:type="dxa"/>
            <w:tcBorders>
              <w:top w:val="nil"/>
              <w:left w:val="nil"/>
              <w:bottom w:val="nil"/>
              <w:right w:val="nil"/>
            </w:tcBorders>
          </w:tcPr>
          <w:p w14:paraId="434D27C1"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01FAFE1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14F19BA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13EE435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332460B9" w14:textId="77777777" w:rsidTr="00C7275A">
        <w:trPr>
          <w:jc w:val="center"/>
        </w:trPr>
        <w:tc>
          <w:tcPr>
            <w:tcW w:w="2430" w:type="dxa"/>
            <w:tcBorders>
              <w:top w:val="nil"/>
              <w:left w:val="nil"/>
              <w:bottom w:val="nil"/>
              <w:right w:val="nil"/>
            </w:tcBorders>
          </w:tcPr>
          <w:p w14:paraId="390AE3C6"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PlumbingFixtures</w:t>
            </w:r>
          </w:p>
        </w:tc>
        <w:tc>
          <w:tcPr>
            <w:tcW w:w="2736" w:type="dxa"/>
            <w:tcBorders>
              <w:top w:val="nil"/>
              <w:left w:val="nil"/>
              <w:bottom w:val="nil"/>
              <w:right w:val="nil"/>
            </w:tcBorders>
          </w:tcPr>
          <w:p w14:paraId="71D0EFF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0.000583</w:t>
            </w:r>
          </w:p>
        </w:tc>
        <w:tc>
          <w:tcPr>
            <w:tcW w:w="2214" w:type="dxa"/>
            <w:tcBorders>
              <w:top w:val="nil"/>
              <w:left w:val="nil"/>
              <w:bottom w:val="nil"/>
              <w:right w:val="nil"/>
            </w:tcBorders>
          </w:tcPr>
          <w:p w14:paraId="7792595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-0.00164</w:t>
            </w:r>
          </w:p>
        </w:tc>
        <w:tc>
          <w:tcPr>
            <w:tcW w:w="2250" w:type="dxa"/>
            <w:tcBorders>
              <w:top w:val="nil"/>
              <w:left w:val="nil"/>
              <w:bottom w:val="nil"/>
              <w:right w:val="nil"/>
            </w:tcBorders>
          </w:tcPr>
          <w:p w14:paraId="447AB95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0.00310</w:t>
            </w:r>
          </w:p>
        </w:tc>
      </w:tr>
      <w:tr w:rsidR="00C7275A" w14:paraId="10AA77F4" w14:textId="77777777" w:rsidTr="00C7275A">
        <w:trPr>
          <w:jc w:val="center"/>
        </w:trPr>
        <w:tc>
          <w:tcPr>
            <w:tcW w:w="2430" w:type="dxa"/>
            <w:tcBorders>
              <w:top w:val="nil"/>
              <w:left w:val="nil"/>
              <w:bottom w:val="nil"/>
              <w:right w:val="nil"/>
            </w:tcBorders>
          </w:tcPr>
          <w:p w14:paraId="159F5C32"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DA0AC7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(0.00855)</w:t>
            </w:r>
          </w:p>
        </w:tc>
        <w:tc>
          <w:tcPr>
            <w:tcW w:w="2214" w:type="dxa"/>
            <w:tcBorders>
              <w:top w:val="nil"/>
              <w:left w:val="nil"/>
              <w:bottom w:val="nil"/>
              <w:right w:val="nil"/>
            </w:tcBorders>
          </w:tcPr>
          <w:p w14:paraId="380594A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(0.00442)</w:t>
            </w:r>
          </w:p>
        </w:tc>
        <w:tc>
          <w:tcPr>
            <w:tcW w:w="2250" w:type="dxa"/>
            <w:tcBorders>
              <w:top w:val="nil"/>
              <w:left w:val="nil"/>
              <w:bottom w:val="nil"/>
              <w:right w:val="nil"/>
            </w:tcBorders>
          </w:tcPr>
          <w:p w14:paraId="49244CFE"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(0.00405)</w:t>
            </w:r>
          </w:p>
        </w:tc>
      </w:tr>
      <w:tr w:rsidR="00C7275A" w14:paraId="16EE048A" w14:textId="77777777" w:rsidTr="00C7275A">
        <w:trPr>
          <w:jc w:val="center"/>
        </w:trPr>
        <w:tc>
          <w:tcPr>
            <w:tcW w:w="2430" w:type="dxa"/>
            <w:tcBorders>
              <w:top w:val="nil"/>
              <w:left w:val="nil"/>
              <w:bottom w:val="nil"/>
              <w:right w:val="nil"/>
            </w:tcBorders>
          </w:tcPr>
          <w:p w14:paraId="76C890A6"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0762155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58D84BD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7CE276A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01D1F4F2" w14:textId="77777777" w:rsidTr="00C7275A">
        <w:trPr>
          <w:jc w:val="center"/>
        </w:trPr>
        <w:tc>
          <w:tcPr>
            <w:tcW w:w="2430" w:type="dxa"/>
            <w:tcBorders>
              <w:top w:val="nil"/>
              <w:left w:val="nil"/>
              <w:bottom w:val="nil"/>
              <w:right w:val="nil"/>
            </w:tcBorders>
          </w:tcPr>
          <w:p w14:paraId="4430D3F6"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BuildingAreaSqFt</w:t>
            </w:r>
          </w:p>
        </w:tc>
        <w:tc>
          <w:tcPr>
            <w:tcW w:w="2736" w:type="dxa"/>
            <w:tcBorders>
              <w:top w:val="nil"/>
              <w:left w:val="nil"/>
              <w:bottom w:val="nil"/>
              <w:right w:val="nil"/>
            </w:tcBorders>
          </w:tcPr>
          <w:p w14:paraId="2040563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0.000258***</w:t>
            </w:r>
          </w:p>
        </w:tc>
        <w:tc>
          <w:tcPr>
            <w:tcW w:w="2214" w:type="dxa"/>
            <w:tcBorders>
              <w:top w:val="nil"/>
              <w:left w:val="nil"/>
              <w:bottom w:val="nil"/>
              <w:right w:val="nil"/>
            </w:tcBorders>
          </w:tcPr>
          <w:p w14:paraId="5F3756C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0.000242***</w:t>
            </w:r>
          </w:p>
        </w:tc>
        <w:tc>
          <w:tcPr>
            <w:tcW w:w="2250" w:type="dxa"/>
            <w:tcBorders>
              <w:top w:val="nil"/>
              <w:left w:val="nil"/>
              <w:bottom w:val="nil"/>
              <w:right w:val="nil"/>
            </w:tcBorders>
          </w:tcPr>
          <w:p w14:paraId="6908632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0.000235***</w:t>
            </w:r>
          </w:p>
        </w:tc>
      </w:tr>
      <w:tr w:rsidR="00C7275A" w14:paraId="410CABD3" w14:textId="77777777" w:rsidTr="00C7275A">
        <w:trPr>
          <w:jc w:val="center"/>
        </w:trPr>
        <w:tc>
          <w:tcPr>
            <w:tcW w:w="2430" w:type="dxa"/>
            <w:tcBorders>
              <w:top w:val="nil"/>
              <w:left w:val="nil"/>
              <w:bottom w:val="nil"/>
              <w:right w:val="nil"/>
            </w:tcBorders>
          </w:tcPr>
          <w:p w14:paraId="6EAE867B"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386A211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(2.90e-05)</w:t>
            </w:r>
          </w:p>
        </w:tc>
        <w:tc>
          <w:tcPr>
            <w:tcW w:w="2214" w:type="dxa"/>
            <w:tcBorders>
              <w:top w:val="nil"/>
              <w:left w:val="nil"/>
              <w:bottom w:val="nil"/>
              <w:right w:val="nil"/>
            </w:tcBorders>
          </w:tcPr>
          <w:p w14:paraId="5A8411E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(2.13e-05)</w:t>
            </w:r>
          </w:p>
        </w:tc>
        <w:tc>
          <w:tcPr>
            <w:tcW w:w="2250" w:type="dxa"/>
            <w:tcBorders>
              <w:top w:val="nil"/>
              <w:left w:val="nil"/>
              <w:bottom w:val="nil"/>
              <w:right w:val="nil"/>
            </w:tcBorders>
          </w:tcPr>
          <w:p w14:paraId="17AF744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(2.14e-05)</w:t>
            </w:r>
          </w:p>
        </w:tc>
      </w:tr>
      <w:tr w:rsidR="00C7275A" w14:paraId="51301B42" w14:textId="77777777" w:rsidTr="00C7275A">
        <w:trPr>
          <w:jc w:val="center"/>
        </w:trPr>
        <w:tc>
          <w:tcPr>
            <w:tcW w:w="2430" w:type="dxa"/>
            <w:tcBorders>
              <w:top w:val="nil"/>
              <w:left w:val="nil"/>
              <w:bottom w:val="nil"/>
              <w:right w:val="nil"/>
            </w:tcBorders>
          </w:tcPr>
          <w:p w14:paraId="1E2883F0"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35A503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0AC38F5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0B5EDC2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21B5A51F" w14:textId="77777777" w:rsidTr="00C7275A">
        <w:trPr>
          <w:jc w:val="center"/>
        </w:trPr>
        <w:tc>
          <w:tcPr>
            <w:tcW w:w="2430" w:type="dxa"/>
            <w:tcBorders>
              <w:top w:val="nil"/>
              <w:left w:val="nil"/>
              <w:bottom w:val="nil"/>
              <w:right w:val="nil"/>
            </w:tcBorders>
          </w:tcPr>
          <w:p w14:paraId="3D928613"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CountyPopulation</w:t>
            </w:r>
          </w:p>
        </w:tc>
        <w:tc>
          <w:tcPr>
            <w:tcW w:w="2736" w:type="dxa"/>
            <w:tcBorders>
              <w:top w:val="nil"/>
              <w:left w:val="nil"/>
              <w:bottom w:val="nil"/>
              <w:right w:val="nil"/>
            </w:tcBorders>
          </w:tcPr>
          <w:p w14:paraId="392E4B3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8.37e-07***</w:t>
            </w:r>
          </w:p>
        </w:tc>
        <w:tc>
          <w:tcPr>
            <w:tcW w:w="2214" w:type="dxa"/>
            <w:tcBorders>
              <w:top w:val="nil"/>
              <w:left w:val="nil"/>
              <w:bottom w:val="nil"/>
              <w:right w:val="nil"/>
            </w:tcBorders>
          </w:tcPr>
          <w:p w14:paraId="40092FD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4.79e-07**</w:t>
            </w:r>
          </w:p>
        </w:tc>
        <w:tc>
          <w:tcPr>
            <w:tcW w:w="2250" w:type="dxa"/>
            <w:tcBorders>
              <w:top w:val="nil"/>
              <w:left w:val="nil"/>
              <w:bottom w:val="nil"/>
              <w:right w:val="nil"/>
            </w:tcBorders>
          </w:tcPr>
          <w:p w14:paraId="3B7C116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5.47e-07**</w:t>
            </w:r>
          </w:p>
        </w:tc>
      </w:tr>
      <w:tr w:rsidR="00C7275A" w14:paraId="59BE4BF0" w14:textId="77777777" w:rsidTr="00C7275A">
        <w:trPr>
          <w:jc w:val="center"/>
        </w:trPr>
        <w:tc>
          <w:tcPr>
            <w:tcW w:w="2430" w:type="dxa"/>
            <w:tcBorders>
              <w:top w:val="nil"/>
              <w:left w:val="nil"/>
              <w:bottom w:val="nil"/>
              <w:right w:val="nil"/>
            </w:tcBorders>
          </w:tcPr>
          <w:p w14:paraId="508C48EA"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30D60AC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(1.60e-07)</w:t>
            </w:r>
          </w:p>
        </w:tc>
        <w:tc>
          <w:tcPr>
            <w:tcW w:w="2214" w:type="dxa"/>
            <w:tcBorders>
              <w:top w:val="nil"/>
              <w:left w:val="nil"/>
              <w:bottom w:val="nil"/>
              <w:right w:val="nil"/>
            </w:tcBorders>
          </w:tcPr>
          <w:p w14:paraId="1E676E79"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(2.17e-07)</w:t>
            </w:r>
          </w:p>
        </w:tc>
        <w:tc>
          <w:tcPr>
            <w:tcW w:w="2250" w:type="dxa"/>
            <w:tcBorders>
              <w:top w:val="nil"/>
              <w:left w:val="nil"/>
              <w:bottom w:val="nil"/>
              <w:right w:val="nil"/>
            </w:tcBorders>
          </w:tcPr>
          <w:p w14:paraId="0105E21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(2.14e-07)</w:t>
            </w:r>
          </w:p>
        </w:tc>
      </w:tr>
      <w:tr w:rsidR="00C7275A" w14:paraId="38B61DA5" w14:textId="77777777" w:rsidTr="00C7275A">
        <w:trPr>
          <w:jc w:val="center"/>
        </w:trPr>
        <w:tc>
          <w:tcPr>
            <w:tcW w:w="2430" w:type="dxa"/>
            <w:tcBorders>
              <w:top w:val="nil"/>
              <w:left w:val="nil"/>
              <w:bottom w:val="nil"/>
              <w:right w:val="nil"/>
            </w:tcBorders>
          </w:tcPr>
          <w:p w14:paraId="74742501"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26BC957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2BBEEB0C"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564BE5A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4BD7F933" w14:textId="77777777" w:rsidTr="00C7275A">
        <w:trPr>
          <w:jc w:val="center"/>
        </w:trPr>
        <w:tc>
          <w:tcPr>
            <w:tcW w:w="2430" w:type="dxa"/>
            <w:tcBorders>
              <w:top w:val="nil"/>
              <w:left w:val="nil"/>
              <w:bottom w:val="nil"/>
              <w:right w:val="nil"/>
            </w:tcBorders>
          </w:tcPr>
          <w:p w14:paraId="3D9C24F3" w14:textId="77777777" w:rsidR="00C7275A" w:rsidRPr="00265110" w:rsidRDefault="00C7275A" w:rsidP="00C7275A">
            <w:pPr>
              <w:widowControl w:val="0"/>
              <w:autoSpaceDE w:val="0"/>
              <w:autoSpaceDN w:val="0"/>
              <w:adjustRightInd w:val="0"/>
              <w:spacing w:line="240" w:lineRule="auto"/>
              <w:rPr>
                <w:rFonts w:ascii="Times New Roman" w:hAnsi="Times New Roman" w:cs="Times New Roman"/>
                <w:sz w:val="24"/>
                <w:szCs w:val="24"/>
                <w:vertAlign w:val="superscript"/>
              </w:rPr>
            </w:pPr>
            <w:r>
              <w:rPr>
                <w:rFonts w:ascii="Times New Roman" w:hAnsi="Times New Roman" w:cs="Times New Roman"/>
                <w:sz w:val="24"/>
                <w:szCs w:val="24"/>
              </w:rPr>
              <w:t>Treat</w:t>
            </w:r>
            <w:r>
              <w:rPr>
                <w:rFonts w:ascii="Times New Roman" w:hAnsi="Times New Roman" w:cs="Times New Roman"/>
                <w:sz w:val="24"/>
                <w:szCs w:val="24"/>
                <w:vertAlign w:val="superscript"/>
              </w:rPr>
              <w:t>0.75</w:t>
            </w:r>
          </w:p>
        </w:tc>
        <w:tc>
          <w:tcPr>
            <w:tcW w:w="2736" w:type="dxa"/>
            <w:tcBorders>
              <w:top w:val="nil"/>
              <w:left w:val="nil"/>
              <w:bottom w:val="nil"/>
              <w:right w:val="nil"/>
            </w:tcBorders>
          </w:tcPr>
          <w:p w14:paraId="2A42483C"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0.0853**</w:t>
            </w:r>
          </w:p>
        </w:tc>
        <w:tc>
          <w:tcPr>
            <w:tcW w:w="2214" w:type="dxa"/>
            <w:tcBorders>
              <w:top w:val="nil"/>
              <w:left w:val="nil"/>
              <w:bottom w:val="nil"/>
              <w:right w:val="nil"/>
            </w:tcBorders>
          </w:tcPr>
          <w:p w14:paraId="4BD9E3F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0.179***</w:t>
            </w:r>
          </w:p>
        </w:tc>
        <w:tc>
          <w:tcPr>
            <w:tcW w:w="2250" w:type="dxa"/>
            <w:tcBorders>
              <w:top w:val="nil"/>
              <w:left w:val="nil"/>
              <w:bottom w:val="nil"/>
              <w:right w:val="nil"/>
            </w:tcBorders>
          </w:tcPr>
          <w:p w14:paraId="010C319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0.135***</w:t>
            </w:r>
          </w:p>
        </w:tc>
      </w:tr>
      <w:tr w:rsidR="00C7275A" w14:paraId="0C392141" w14:textId="77777777" w:rsidTr="00C7275A">
        <w:trPr>
          <w:jc w:val="center"/>
        </w:trPr>
        <w:tc>
          <w:tcPr>
            <w:tcW w:w="2430" w:type="dxa"/>
            <w:tcBorders>
              <w:top w:val="nil"/>
              <w:left w:val="nil"/>
              <w:bottom w:val="nil"/>
              <w:right w:val="nil"/>
            </w:tcBorders>
          </w:tcPr>
          <w:p w14:paraId="377FF6F7"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4332341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(0.0337)</w:t>
            </w:r>
          </w:p>
        </w:tc>
        <w:tc>
          <w:tcPr>
            <w:tcW w:w="2214" w:type="dxa"/>
            <w:tcBorders>
              <w:top w:val="nil"/>
              <w:left w:val="nil"/>
              <w:bottom w:val="nil"/>
              <w:right w:val="nil"/>
            </w:tcBorders>
          </w:tcPr>
          <w:p w14:paraId="7804AEA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(0.0373)</w:t>
            </w:r>
          </w:p>
        </w:tc>
        <w:tc>
          <w:tcPr>
            <w:tcW w:w="2250" w:type="dxa"/>
            <w:tcBorders>
              <w:top w:val="nil"/>
              <w:left w:val="nil"/>
              <w:bottom w:val="nil"/>
              <w:right w:val="nil"/>
            </w:tcBorders>
          </w:tcPr>
          <w:p w14:paraId="66ACBF7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(0.0351)</w:t>
            </w:r>
          </w:p>
        </w:tc>
      </w:tr>
      <w:tr w:rsidR="00C7275A" w14:paraId="3AC3EA5E" w14:textId="77777777" w:rsidTr="00C7275A">
        <w:trPr>
          <w:jc w:val="center"/>
        </w:trPr>
        <w:tc>
          <w:tcPr>
            <w:tcW w:w="2430" w:type="dxa"/>
            <w:tcBorders>
              <w:top w:val="nil"/>
              <w:left w:val="nil"/>
              <w:bottom w:val="nil"/>
              <w:right w:val="nil"/>
            </w:tcBorders>
          </w:tcPr>
          <w:p w14:paraId="06BD6DDE"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2C2C9A6B"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462CBA4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3CF2697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1A4587A" w14:textId="77777777" w:rsidTr="00C7275A">
        <w:trPr>
          <w:jc w:val="center"/>
        </w:trPr>
        <w:tc>
          <w:tcPr>
            <w:tcW w:w="2430" w:type="dxa"/>
            <w:tcBorders>
              <w:top w:val="nil"/>
              <w:left w:val="nil"/>
              <w:bottom w:val="nil"/>
              <w:right w:val="nil"/>
            </w:tcBorders>
          </w:tcPr>
          <w:p w14:paraId="0902FB95" w14:textId="77777777" w:rsidR="00C7275A" w:rsidRPr="00265110"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w:t>
            </w:r>
            <w:r>
              <w:rPr>
                <w:rFonts w:ascii="Times New Roman" w:hAnsi="Times New Roman" w:cs="Times New Roman"/>
                <w:sz w:val="24"/>
                <w:szCs w:val="24"/>
                <w:vertAlign w:val="superscript"/>
              </w:rPr>
              <w:t>0.75</w:t>
            </w:r>
            <w:r>
              <w:rPr>
                <w:rFonts w:ascii="Times New Roman" w:hAnsi="Times New Roman" w:cs="Times New Roman"/>
                <w:sz w:val="24"/>
                <w:szCs w:val="24"/>
              </w:rPr>
              <w:t>*Post</w:t>
            </w:r>
          </w:p>
        </w:tc>
        <w:tc>
          <w:tcPr>
            <w:tcW w:w="2736" w:type="dxa"/>
            <w:tcBorders>
              <w:top w:val="nil"/>
              <w:left w:val="nil"/>
              <w:bottom w:val="nil"/>
              <w:right w:val="nil"/>
            </w:tcBorders>
          </w:tcPr>
          <w:p w14:paraId="527A380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2214" w:type="dxa"/>
            <w:tcBorders>
              <w:top w:val="nil"/>
              <w:left w:val="nil"/>
              <w:bottom w:val="nil"/>
              <w:right w:val="nil"/>
            </w:tcBorders>
          </w:tcPr>
          <w:p w14:paraId="35C4478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0.0129</w:t>
            </w:r>
          </w:p>
        </w:tc>
        <w:tc>
          <w:tcPr>
            <w:tcW w:w="2250" w:type="dxa"/>
            <w:tcBorders>
              <w:top w:val="nil"/>
              <w:left w:val="nil"/>
              <w:bottom w:val="nil"/>
              <w:right w:val="nil"/>
            </w:tcBorders>
          </w:tcPr>
          <w:p w14:paraId="45F8B77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0.0496</w:t>
            </w:r>
          </w:p>
        </w:tc>
      </w:tr>
      <w:tr w:rsidR="00C7275A" w14:paraId="015A9279" w14:textId="77777777" w:rsidTr="00C7275A">
        <w:trPr>
          <w:jc w:val="center"/>
        </w:trPr>
        <w:tc>
          <w:tcPr>
            <w:tcW w:w="2430" w:type="dxa"/>
            <w:tcBorders>
              <w:top w:val="nil"/>
              <w:left w:val="nil"/>
              <w:bottom w:val="nil"/>
              <w:right w:val="nil"/>
            </w:tcBorders>
          </w:tcPr>
          <w:p w14:paraId="48E33C40"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508B4DD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(0.0537)</w:t>
            </w:r>
          </w:p>
        </w:tc>
        <w:tc>
          <w:tcPr>
            <w:tcW w:w="2214" w:type="dxa"/>
            <w:tcBorders>
              <w:top w:val="nil"/>
              <w:left w:val="nil"/>
              <w:bottom w:val="nil"/>
              <w:right w:val="nil"/>
            </w:tcBorders>
          </w:tcPr>
          <w:p w14:paraId="0B37501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(0.0453)</w:t>
            </w:r>
          </w:p>
        </w:tc>
        <w:tc>
          <w:tcPr>
            <w:tcW w:w="2250" w:type="dxa"/>
            <w:tcBorders>
              <w:top w:val="nil"/>
              <w:left w:val="nil"/>
              <w:bottom w:val="nil"/>
              <w:right w:val="nil"/>
            </w:tcBorders>
          </w:tcPr>
          <w:p w14:paraId="6407267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(0.0435)</w:t>
            </w:r>
          </w:p>
        </w:tc>
      </w:tr>
      <w:tr w:rsidR="00C7275A" w14:paraId="07A998C2" w14:textId="77777777" w:rsidTr="00C7275A">
        <w:trPr>
          <w:jc w:val="center"/>
        </w:trPr>
        <w:tc>
          <w:tcPr>
            <w:tcW w:w="2430" w:type="dxa"/>
            <w:tcBorders>
              <w:top w:val="nil"/>
              <w:left w:val="nil"/>
              <w:bottom w:val="nil"/>
              <w:right w:val="nil"/>
            </w:tcBorders>
          </w:tcPr>
          <w:p w14:paraId="0AB1E222"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653CF25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6E29DD9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5726D44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200A6C3" w14:textId="77777777" w:rsidTr="00C7275A">
        <w:trPr>
          <w:jc w:val="center"/>
        </w:trPr>
        <w:tc>
          <w:tcPr>
            <w:tcW w:w="2430" w:type="dxa"/>
            <w:tcBorders>
              <w:top w:val="nil"/>
              <w:left w:val="nil"/>
              <w:bottom w:val="nil"/>
              <w:right w:val="nil"/>
            </w:tcBorders>
          </w:tcPr>
          <w:p w14:paraId="10560779" w14:textId="77777777" w:rsidR="00C7275A" w:rsidRPr="00265110"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w:t>
            </w:r>
            <w:r>
              <w:rPr>
                <w:rFonts w:ascii="Times New Roman" w:hAnsi="Times New Roman" w:cs="Times New Roman"/>
                <w:sz w:val="24"/>
                <w:szCs w:val="24"/>
                <w:vertAlign w:val="superscript"/>
              </w:rPr>
              <w:t>1.25</w:t>
            </w:r>
          </w:p>
        </w:tc>
        <w:tc>
          <w:tcPr>
            <w:tcW w:w="2736" w:type="dxa"/>
            <w:tcBorders>
              <w:top w:val="nil"/>
              <w:left w:val="nil"/>
              <w:bottom w:val="nil"/>
              <w:right w:val="nil"/>
            </w:tcBorders>
          </w:tcPr>
          <w:p w14:paraId="4F695AE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17D09D9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2250" w:type="dxa"/>
            <w:tcBorders>
              <w:top w:val="nil"/>
              <w:left w:val="nil"/>
              <w:bottom w:val="nil"/>
              <w:right w:val="nil"/>
            </w:tcBorders>
          </w:tcPr>
          <w:p w14:paraId="39399B1E"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38B6F566" w14:textId="77777777" w:rsidTr="00C7275A">
        <w:trPr>
          <w:jc w:val="center"/>
        </w:trPr>
        <w:tc>
          <w:tcPr>
            <w:tcW w:w="2430" w:type="dxa"/>
            <w:tcBorders>
              <w:top w:val="nil"/>
              <w:left w:val="nil"/>
              <w:bottom w:val="nil"/>
              <w:right w:val="nil"/>
            </w:tcBorders>
          </w:tcPr>
          <w:p w14:paraId="1E0A7104"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19E68C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0525F78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(0.0186)</w:t>
            </w:r>
          </w:p>
        </w:tc>
        <w:tc>
          <w:tcPr>
            <w:tcW w:w="2250" w:type="dxa"/>
            <w:tcBorders>
              <w:top w:val="nil"/>
              <w:left w:val="nil"/>
              <w:bottom w:val="nil"/>
              <w:right w:val="nil"/>
            </w:tcBorders>
          </w:tcPr>
          <w:p w14:paraId="1C95C51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0C19DF14" w14:textId="77777777" w:rsidTr="00C7275A">
        <w:trPr>
          <w:jc w:val="center"/>
        </w:trPr>
        <w:tc>
          <w:tcPr>
            <w:tcW w:w="2430" w:type="dxa"/>
            <w:tcBorders>
              <w:top w:val="nil"/>
              <w:left w:val="nil"/>
              <w:bottom w:val="nil"/>
              <w:right w:val="nil"/>
            </w:tcBorders>
          </w:tcPr>
          <w:p w14:paraId="5DF10F10"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03DBBDD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200DCF1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4CCDBEB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3D13C754" w14:textId="77777777" w:rsidTr="00C7275A">
        <w:trPr>
          <w:jc w:val="center"/>
        </w:trPr>
        <w:tc>
          <w:tcPr>
            <w:tcW w:w="2430" w:type="dxa"/>
            <w:tcBorders>
              <w:top w:val="nil"/>
              <w:left w:val="nil"/>
              <w:bottom w:val="nil"/>
              <w:right w:val="nil"/>
            </w:tcBorders>
          </w:tcPr>
          <w:p w14:paraId="578FB404" w14:textId="77777777" w:rsidR="00C7275A" w:rsidRPr="00265110"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w:t>
            </w:r>
            <w:r>
              <w:rPr>
                <w:rFonts w:ascii="Times New Roman" w:hAnsi="Times New Roman" w:cs="Times New Roman"/>
                <w:sz w:val="24"/>
                <w:szCs w:val="24"/>
                <w:vertAlign w:val="superscript"/>
              </w:rPr>
              <w:t>1.25</w:t>
            </w:r>
            <w:r>
              <w:rPr>
                <w:rFonts w:ascii="Times New Roman" w:hAnsi="Times New Roman" w:cs="Times New Roman"/>
                <w:sz w:val="24"/>
                <w:szCs w:val="24"/>
              </w:rPr>
              <w:t>*Post</w:t>
            </w:r>
          </w:p>
        </w:tc>
        <w:tc>
          <w:tcPr>
            <w:tcW w:w="2736" w:type="dxa"/>
            <w:tcBorders>
              <w:top w:val="nil"/>
              <w:left w:val="nil"/>
              <w:bottom w:val="nil"/>
              <w:right w:val="nil"/>
            </w:tcBorders>
          </w:tcPr>
          <w:p w14:paraId="3EF9EEAC"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1546019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-0.107**</w:t>
            </w:r>
          </w:p>
        </w:tc>
        <w:tc>
          <w:tcPr>
            <w:tcW w:w="2250" w:type="dxa"/>
            <w:tcBorders>
              <w:top w:val="nil"/>
              <w:left w:val="nil"/>
              <w:bottom w:val="nil"/>
              <w:right w:val="nil"/>
            </w:tcBorders>
          </w:tcPr>
          <w:p w14:paraId="39B703A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61D8383" w14:textId="77777777" w:rsidTr="00C7275A">
        <w:trPr>
          <w:jc w:val="center"/>
        </w:trPr>
        <w:tc>
          <w:tcPr>
            <w:tcW w:w="2430" w:type="dxa"/>
            <w:tcBorders>
              <w:top w:val="nil"/>
              <w:left w:val="nil"/>
              <w:bottom w:val="nil"/>
              <w:right w:val="nil"/>
            </w:tcBorders>
          </w:tcPr>
          <w:p w14:paraId="3AD2BB0E"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415EE43F"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70672EC2"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(0.0438)</w:t>
            </w:r>
          </w:p>
        </w:tc>
        <w:tc>
          <w:tcPr>
            <w:tcW w:w="2250" w:type="dxa"/>
            <w:tcBorders>
              <w:top w:val="nil"/>
              <w:left w:val="nil"/>
              <w:bottom w:val="nil"/>
              <w:right w:val="nil"/>
            </w:tcBorders>
          </w:tcPr>
          <w:p w14:paraId="4179BB91"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5194469D" w14:textId="77777777" w:rsidTr="00C7275A">
        <w:trPr>
          <w:jc w:val="center"/>
        </w:trPr>
        <w:tc>
          <w:tcPr>
            <w:tcW w:w="2430" w:type="dxa"/>
            <w:tcBorders>
              <w:top w:val="nil"/>
              <w:left w:val="nil"/>
              <w:bottom w:val="nil"/>
              <w:right w:val="nil"/>
            </w:tcBorders>
          </w:tcPr>
          <w:p w14:paraId="654B309F"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109543AB"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4951ACEB"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5D639D3E"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5AE5392" w14:textId="77777777" w:rsidTr="00C7275A">
        <w:trPr>
          <w:jc w:val="center"/>
        </w:trPr>
        <w:tc>
          <w:tcPr>
            <w:tcW w:w="2430" w:type="dxa"/>
            <w:tcBorders>
              <w:top w:val="nil"/>
              <w:left w:val="nil"/>
              <w:bottom w:val="nil"/>
              <w:right w:val="nil"/>
            </w:tcBorders>
          </w:tcPr>
          <w:p w14:paraId="4065CEE0"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736" w:type="dxa"/>
            <w:tcBorders>
              <w:top w:val="nil"/>
              <w:left w:val="nil"/>
              <w:bottom w:val="nil"/>
              <w:right w:val="nil"/>
            </w:tcBorders>
          </w:tcPr>
          <w:p w14:paraId="1CBE390D"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-18.39</w:t>
            </w:r>
          </w:p>
        </w:tc>
        <w:tc>
          <w:tcPr>
            <w:tcW w:w="2214" w:type="dxa"/>
            <w:tcBorders>
              <w:top w:val="nil"/>
              <w:left w:val="nil"/>
              <w:bottom w:val="nil"/>
              <w:right w:val="nil"/>
            </w:tcBorders>
          </w:tcPr>
          <w:p w14:paraId="489F5AC0"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-30.11***</w:t>
            </w:r>
          </w:p>
        </w:tc>
        <w:tc>
          <w:tcPr>
            <w:tcW w:w="2250" w:type="dxa"/>
            <w:tcBorders>
              <w:top w:val="nil"/>
              <w:left w:val="nil"/>
              <w:bottom w:val="nil"/>
              <w:right w:val="nil"/>
            </w:tcBorders>
          </w:tcPr>
          <w:p w14:paraId="246945F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-28.03***</w:t>
            </w:r>
          </w:p>
        </w:tc>
      </w:tr>
      <w:tr w:rsidR="00C7275A" w14:paraId="04E1F876" w14:textId="77777777" w:rsidTr="00C7275A">
        <w:trPr>
          <w:jc w:val="center"/>
        </w:trPr>
        <w:tc>
          <w:tcPr>
            <w:tcW w:w="2430" w:type="dxa"/>
            <w:tcBorders>
              <w:top w:val="nil"/>
              <w:left w:val="nil"/>
              <w:bottom w:val="nil"/>
              <w:right w:val="nil"/>
            </w:tcBorders>
          </w:tcPr>
          <w:p w14:paraId="3BC8FA61"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283A3C46"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(15.45)</w:t>
            </w:r>
          </w:p>
        </w:tc>
        <w:tc>
          <w:tcPr>
            <w:tcW w:w="2214" w:type="dxa"/>
            <w:tcBorders>
              <w:top w:val="nil"/>
              <w:left w:val="nil"/>
              <w:bottom w:val="nil"/>
              <w:right w:val="nil"/>
            </w:tcBorders>
          </w:tcPr>
          <w:p w14:paraId="5D27058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(10.45)</w:t>
            </w:r>
          </w:p>
        </w:tc>
        <w:tc>
          <w:tcPr>
            <w:tcW w:w="2250" w:type="dxa"/>
            <w:tcBorders>
              <w:top w:val="nil"/>
              <w:left w:val="nil"/>
              <w:bottom w:val="nil"/>
              <w:right w:val="nil"/>
            </w:tcBorders>
          </w:tcPr>
          <w:p w14:paraId="3D0BB31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(10.35)</w:t>
            </w:r>
          </w:p>
        </w:tc>
      </w:tr>
      <w:tr w:rsidR="00C7275A" w14:paraId="36C60660" w14:textId="77777777" w:rsidTr="00C7275A">
        <w:trPr>
          <w:jc w:val="center"/>
        </w:trPr>
        <w:tc>
          <w:tcPr>
            <w:tcW w:w="2430" w:type="dxa"/>
            <w:tcBorders>
              <w:top w:val="nil"/>
              <w:left w:val="nil"/>
              <w:bottom w:val="nil"/>
              <w:right w:val="nil"/>
            </w:tcBorders>
          </w:tcPr>
          <w:p w14:paraId="6C057372"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p>
        </w:tc>
        <w:tc>
          <w:tcPr>
            <w:tcW w:w="2736" w:type="dxa"/>
            <w:tcBorders>
              <w:top w:val="nil"/>
              <w:left w:val="nil"/>
              <w:bottom w:val="nil"/>
              <w:right w:val="nil"/>
            </w:tcBorders>
          </w:tcPr>
          <w:p w14:paraId="282ADF8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14" w:type="dxa"/>
            <w:tcBorders>
              <w:top w:val="nil"/>
              <w:left w:val="nil"/>
              <w:bottom w:val="nil"/>
              <w:right w:val="nil"/>
            </w:tcBorders>
          </w:tcPr>
          <w:p w14:paraId="0FCE862E"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c>
          <w:tcPr>
            <w:tcW w:w="2250" w:type="dxa"/>
            <w:tcBorders>
              <w:top w:val="nil"/>
              <w:left w:val="nil"/>
              <w:bottom w:val="nil"/>
              <w:right w:val="nil"/>
            </w:tcBorders>
          </w:tcPr>
          <w:p w14:paraId="00FE4C69"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p>
        </w:tc>
      </w:tr>
      <w:tr w:rsidR="00C7275A" w14:paraId="74F51EC6" w14:textId="77777777" w:rsidTr="002636BD">
        <w:trPr>
          <w:trHeight w:val="423"/>
          <w:jc w:val="center"/>
        </w:trPr>
        <w:tc>
          <w:tcPr>
            <w:tcW w:w="2430" w:type="dxa"/>
            <w:tcBorders>
              <w:top w:val="nil"/>
              <w:left w:val="nil"/>
              <w:bottom w:val="nil"/>
              <w:right w:val="nil"/>
            </w:tcBorders>
          </w:tcPr>
          <w:p w14:paraId="65EF6D7C"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736" w:type="dxa"/>
            <w:tcBorders>
              <w:top w:val="nil"/>
              <w:left w:val="nil"/>
              <w:bottom w:val="nil"/>
              <w:right w:val="nil"/>
            </w:tcBorders>
          </w:tcPr>
          <w:p w14:paraId="2D4826D5"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214" w:type="dxa"/>
            <w:tcBorders>
              <w:top w:val="nil"/>
              <w:left w:val="nil"/>
              <w:bottom w:val="nil"/>
              <w:right w:val="nil"/>
            </w:tcBorders>
          </w:tcPr>
          <w:p w14:paraId="44068BBA"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1,160</w:t>
            </w:r>
          </w:p>
        </w:tc>
        <w:tc>
          <w:tcPr>
            <w:tcW w:w="2250" w:type="dxa"/>
            <w:tcBorders>
              <w:top w:val="nil"/>
              <w:left w:val="nil"/>
              <w:bottom w:val="nil"/>
              <w:right w:val="nil"/>
            </w:tcBorders>
          </w:tcPr>
          <w:p w14:paraId="4A2B29F3"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1,160</w:t>
            </w:r>
          </w:p>
        </w:tc>
      </w:tr>
      <w:tr w:rsidR="00C7275A" w14:paraId="26124674" w14:textId="77777777" w:rsidTr="002636BD">
        <w:tblPrEx>
          <w:tblBorders>
            <w:bottom w:val="single" w:sz="6" w:space="0" w:color="auto"/>
          </w:tblBorders>
        </w:tblPrEx>
        <w:trPr>
          <w:trHeight w:val="630"/>
          <w:jc w:val="center"/>
        </w:trPr>
        <w:tc>
          <w:tcPr>
            <w:tcW w:w="2430" w:type="dxa"/>
            <w:tcBorders>
              <w:top w:val="nil"/>
              <w:left w:val="nil"/>
              <w:bottom w:val="single" w:sz="6" w:space="0" w:color="auto"/>
              <w:right w:val="nil"/>
            </w:tcBorders>
          </w:tcPr>
          <w:p w14:paraId="7AAA876A" w14:textId="77777777" w:rsidR="00C7275A" w:rsidRDefault="00C7275A" w:rsidP="00C7275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2736" w:type="dxa"/>
            <w:tcBorders>
              <w:top w:val="nil"/>
              <w:left w:val="nil"/>
              <w:bottom w:val="single" w:sz="6" w:space="0" w:color="auto"/>
              <w:right w:val="nil"/>
            </w:tcBorders>
          </w:tcPr>
          <w:p w14:paraId="7B19E684"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0.690</w:t>
            </w:r>
          </w:p>
        </w:tc>
        <w:tc>
          <w:tcPr>
            <w:tcW w:w="2214" w:type="dxa"/>
            <w:tcBorders>
              <w:top w:val="nil"/>
              <w:left w:val="nil"/>
              <w:bottom w:val="single" w:sz="6" w:space="0" w:color="auto"/>
              <w:right w:val="nil"/>
            </w:tcBorders>
          </w:tcPr>
          <w:p w14:paraId="2BAD3D48"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0.697</w:t>
            </w:r>
          </w:p>
        </w:tc>
        <w:tc>
          <w:tcPr>
            <w:tcW w:w="2250" w:type="dxa"/>
            <w:tcBorders>
              <w:top w:val="nil"/>
              <w:left w:val="nil"/>
              <w:bottom w:val="single" w:sz="6" w:space="0" w:color="auto"/>
              <w:right w:val="nil"/>
            </w:tcBorders>
          </w:tcPr>
          <w:p w14:paraId="3014B937" w14:textId="77777777" w:rsidR="00C7275A" w:rsidRDefault="00C7275A" w:rsidP="00C727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0.687</w:t>
            </w:r>
          </w:p>
        </w:tc>
      </w:tr>
    </w:tbl>
    <w:p w14:paraId="262590F5" w14:textId="77777777" w:rsidR="00967A29" w:rsidRDefault="00967A29" w:rsidP="00967A2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0A36BF0E" w14:textId="77777777" w:rsidR="00967A29" w:rsidRDefault="00967A29" w:rsidP="00967A2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714C2A77" w14:textId="77777777" w:rsidR="000D5FEB" w:rsidRPr="00105187" w:rsidRDefault="00967A29" w:rsidP="002636BD">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from these robustness regressions shed some light on the reason behind our large causal effect from the first regression. The most concerning and obvious issue is the fact that our causal effect of interest (the coefficient on the Treat</w:t>
      </w:r>
      <w:r>
        <w:rPr>
          <w:rFonts w:ascii="Times New Roman" w:hAnsi="Times New Roman" w:cs="Times New Roman"/>
          <w:sz w:val="24"/>
          <w:szCs w:val="24"/>
          <w:vertAlign w:val="superscript"/>
        </w:rPr>
        <w:t>0.75</w:t>
      </w:r>
      <w:r>
        <w:rPr>
          <w:rFonts w:ascii="Times New Roman" w:hAnsi="Times New Roman" w:cs="Times New Roman"/>
          <w:sz w:val="24"/>
          <w:szCs w:val="24"/>
        </w:rPr>
        <w:t xml:space="preserve">*Post term) goes from a statistically significant positive </w:t>
      </w:r>
      <w:r w:rsidR="002651D6">
        <w:rPr>
          <w:rFonts w:ascii="Times New Roman" w:hAnsi="Times New Roman" w:cs="Times New Roman"/>
          <w:sz w:val="24"/>
          <w:szCs w:val="24"/>
        </w:rPr>
        <w:t>11</w:t>
      </w:r>
      <w:r>
        <w:rPr>
          <w:rFonts w:ascii="Times New Roman" w:hAnsi="Times New Roman" w:cs="Times New Roman"/>
          <w:sz w:val="24"/>
          <w:szCs w:val="24"/>
        </w:rPr>
        <w:t xml:space="preserve">% effect to a </w:t>
      </w:r>
      <w:r w:rsidR="00380EAA">
        <w:rPr>
          <w:rFonts w:ascii="Times New Roman" w:hAnsi="Times New Roman" w:cs="Times New Roman"/>
          <w:sz w:val="24"/>
          <w:szCs w:val="24"/>
        </w:rPr>
        <w:t>statistically insignificant positive 1% effect to a statistically insignificant positive 4% effect</w:t>
      </w:r>
      <w:r w:rsidR="002651D6">
        <w:rPr>
          <w:rFonts w:ascii="Times New Roman" w:hAnsi="Times New Roman" w:cs="Times New Roman"/>
          <w:sz w:val="24"/>
          <w:szCs w:val="24"/>
        </w:rPr>
        <w:t>,</w:t>
      </w:r>
      <w:r w:rsidR="00380EAA">
        <w:rPr>
          <w:rFonts w:ascii="Times New Roman" w:hAnsi="Times New Roman" w:cs="Times New Roman"/>
          <w:sz w:val="24"/>
          <w:szCs w:val="24"/>
        </w:rPr>
        <w:t xml:space="preserve"> solely as a function of changing the control mechanism. Such variation in our results is likely due to randomness in our data that cannot be averaged out due to the relatively small number of observations we are working with. Regression (2) shed some light on where this issue may be coming from. According to regression (2), the causal effect of being in the moderately treated group (0.75 – 1.25 miles) when the temple was built is a statistically significant, negative 10%. This moderately treated group is the same as our control group from regression (1). Essentially all of the temple effect found in regression (1) can be explained because of a decline in housing prices that occurred only in the 0.75 – 1.25-mile range and not in the inner or outer rings of homes around the temple. This is strong evidence that our parallel trends assumption did not hold for </w:t>
      </w:r>
      <w:r w:rsidR="0078172D">
        <w:rPr>
          <w:rFonts w:ascii="Times New Roman" w:hAnsi="Times New Roman" w:cs="Times New Roman"/>
          <w:sz w:val="24"/>
          <w:szCs w:val="24"/>
        </w:rPr>
        <w:t xml:space="preserve">regression (1). Although it looked promising graphically, the assumption that the housing trends would have continued to be similar </w:t>
      </w:r>
      <w:r w:rsidR="002651D6">
        <w:rPr>
          <w:rFonts w:ascii="Times New Roman" w:hAnsi="Times New Roman" w:cs="Times New Roman"/>
          <w:sz w:val="24"/>
          <w:szCs w:val="24"/>
        </w:rPr>
        <w:t>absent</w:t>
      </w:r>
      <w:r w:rsidR="0078172D">
        <w:rPr>
          <w:rFonts w:ascii="Times New Roman" w:hAnsi="Times New Roman" w:cs="Times New Roman"/>
          <w:sz w:val="24"/>
          <w:szCs w:val="24"/>
        </w:rPr>
        <w:t xml:space="preserve"> the construction of the te</w:t>
      </w:r>
      <w:r w:rsidR="00105187">
        <w:rPr>
          <w:rFonts w:ascii="Times New Roman" w:hAnsi="Times New Roman" w:cs="Times New Roman"/>
          <w:sz w:val="24"/>
          <w:szCs w:val="24"/>
        </w:rPr>
        <w:t>mple fails in period 4. Figure 8</w:t>
      </w:r>
      <w:r w:rsidR="0078172D">
        <w:rPr>
          <w:rFonts w:ascii="Times New Roman" w:hAnsi="Times New Roman" w:cs="Times New Roman"/>
          <w:sz w:val="24"/>
          <w:szCs w:val="24"/>
        </w:rPr>
        <w:t xml:space="preserve"> shows a residual plot from regression (3). The residual plot from each regression </w:t>
      </w:r>
      <w:r w:rsidR="00105187">
        <w:rPr>
          <w:rFonts w:ascii="Times New Roman" w:hAnsi="Times New Roman" w:cs="Times New Roman"/>
          <w:sz w:val="24"/>
          <w:szCs w:val="24"/>
        </w:rPr>
        <w:t>was similar to Figure 8</w:t>
      </w:r>
      <w:r w:rsidR="0078172D">
        <w:rPr>
          <w:rFonts w:ascii="Times New Roman" w:hAnsi="Times New Roman" w:cs="Times New Roman"/>
          <w:sz w:val="24"/>
          <w:szCs w:val="24"/>
        </w:rPr>
        <w:t xml:space="preserve">; as shown, </w:t>
      </w:r>
      <w:r w:rsidR="0078172D">
        <w:rPr>
          <w:rFonts w:ascii="Times New Roman" w:eastAsia="Times New Roman" w:hAnsi="Times New Roman" w:cs="Times New Roman"/>
          <w:sz w:val="24"/>
          <w:szCs w:val="24"/>
        </w:rPr>
        <w:t>the residuals of our control group are noisy and inconclusive.</w:t>
      </w:r>
      <w:r w:rsidR="0078172D" w:rsidRPr="0078172D">
        <w:rPr>
          <w:rFonts w:ascii="Times New Roman" w:eastAsia="Times New Roman" w:hAnsi="Times New Roman" w:cs="Times New Roman"/>
          <w:sz w:val="24"/>
          <w:szCs w:val="24"/>
        </w:rPr>
        <w:t xml:space="preserve"> </w:t>
      </w:r>
      <w:r w:rsidR="0078172D">
        <w:rPr>
          <w:rFonts w:ascii="Times New Roman" w:eastAsia="Times New Roman" w:hAnsi="Times New Roman" w:cs="Times New Roman"/>
          <w:sz w:val="24"/>
          <w:szCs w:val="24"/>
        </w:rPr>
        <w:t xml:space="preserve">This residual plot supports our concern that we simply did not have a large enough sample size to uncover any sort of statistically significant effect due to a failure of </w:t>
      </w:r>
      <w:r w:rsidR="00105187">
        <w:rPr>
          <w:rFonts w:ascii="Times New Roman" w:eastAsia="Times New Roman" w:hAnsi="Times New Roman" w:cs="Times New Roman"/>
          <w:sz w:val="24"/>
          <w:szCs w:val="24"/>
        </w:rPr>
        <w:t>the parallel trends assumption.</w:t>
      </w:r>
    </w:p>
    <w:p w14:paraId="120601C8" w14:textId="77777777" w:rsidR="00105187" w:rsidRDefault="00105187" w:rsidP="0056680B">
      <w:pPr>
        <w:widowControl w:val="0"/>
        <w:autoSpaceDE w:val="0"/>
        <w:autoSpaceDN w:val="0"/>
        <w:adjustRightInd w:val="0"/>
        <w:spacing w:line="480" w:lineRule="auto"/>
        <w:ind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5BA1FC6">
            <wp:extent cx="4438725" cy="323230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8.png"/>
                    <pic:cNvPicPr/>
                  </pic:nvPicPr>
                  <pic:blipFill>
                    <a:blip r:embed="rId12">
                      <a:extLst>
                        <a:ext uri="{28A0092B-C50C-407E-A947-70E740481C1C}">
                          <a14:useLocalDpi xmlns:a14="http://schemas.microsoft.com/office/drawing/2010/main" val="0"/>
                        </a:ext>
                      </a:extLst>
                    </a:blip>
                    <a:stretch>
                      <a:fillRect/>
                    </a:stretch>
                  </pic:blipFill>
                  <pic:spPr>
                    <a:xfrm>
                      <a:off x="0" y="0"/>
                      <a:ext cx="4446053" cy="3237638"/>
                    </a:xfrm>
                    <a:prstGeom prst="rect">
                      <a:avLst/>
                    </a:prstGeom>
                  </pic:spPr>
                </pic:pic>
              </a:graphicData>
            </a:graphic>
          </wp:inline>
        </w:drawing>
      </w:r>
    </w:p>
    <w:p w14:paraId="0B7F1486" w14:textId="77777777" w:rsidR="00105187" w:rsidRDefault="00105187" w:rsidP="0010518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result from the third regression showing a statistically insignificant yet positive temple effect is more similar to what our expectation of a potential effect was when we first began pursuing this research question. </w:t>
      </w:r>
    </w:p>
    <w:p w14:paraId="25431B5E" w14:textId="77777777" w:rsidR="00105187" w:rsidRDefault="00105187" w:rsidP="00105187">
      <w:pPr>
        <w:widowControl w:val="0"/>
        <w:autoSpaceDE w:val="0"/>
        <w:autoSpaceDN w:val="0"/>
        <w:adjustRightInd w:val="0"/>
        <w:spacing w:line="480" w:lineRule="auto"/>
        <w:jc w:val="center"/>
        <w:rPr>
          <w:rFonts w:ascii="Times New Roman" w:hAnsi="Times New Roman" w:cs="Times New Roman"/>
          <w:b/>
          <w:sz w:val="24"/>
          <w:szCs w:val="24"/>
        </w:rPr>
      </w:pPr>
      <w:r w:rsidRPr="00105187">
        <w:rPr>
          <w:rFonts w:ascii="Times New Roman" w:hAnsi="Times New Roman" w:cs="Times New Roman"/>
          <w:b/>
          <w:sz w:val="24"/>
          <w:szCs w:val="24"/>
        </w:rPr>
        <w:t>Conclusion:</w:t>
      </w:r>
    </w:p>
    <w:p w14:paraId="1A7DB1F4" w14:textId="77777777" w:rsidR="00105187" w:rsidRDefault="00105187" w:rsidP="00B65F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three regressions revealed that the construction of the Gilbert Temple had a positive effect on surrounding housing prices within the 0-0.75-mile range, although the magnitude and statistical significance of this effect changed depending on the size of our control group. </w:t>
      </w:r>
    </w:p>
    <w:p w14:paraId="63209815" w14:textId="77777777" w:rsidR="00105187" w:rsidRDefault="00105187" w:rsidP="00B65F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there appears to be no causal impact of building a temple on surrounding</w:t>
      </w:r>
      <w:r w:rsidR="00B65FB1">
        <w:rPr>
          <w:rFonts w:ascii="Times New Roman" w:eastAsia="Times New Roman" w:hAnsi="Times New Roman" w:cs="Times New Roman"/>
          <w:sz w:val="24"/>
          <w:szCs w:val="24"/>
        </w:rPr>
        <w:t xml:space="preserve"> housing prices. Although we see</w:t>
      </w:r>
      <w:r>
        <w:rPr>
          <w:rFonts w:ascii="Times New Roman" w:eastAsia="Times New Roman" w:hAnsi="Times New Roman" w:cs="Times New Roman"/>
          <w:sz w:val="24"/>
          <w:szCs w:val="24"/>
        </w:rPr>
        <w:t xml:space="preserve"> some statistically significant results </w:t>
      </w:r>
      <w:r w:rsidR="00B65FB1">
        <w:rPr>
          <w:rFonts w:ascii="Times New Roman" w:eastAsia="Times New Roman" w:hAnsi="Times New Roman" w:cs="Times New Roman"/>
          <w:sz w:val="24"/>
          <w:szCs w:val="24"/>
        </w:rPr>
        <w:t>depending on how we define treatment and</w:t>
      </w:r>
      <w:r>
        <w:rPr>
          <w:rFonts w:ascii="Times New Roman" w:eastAsia="Times New Roman" w:hAnsi="Times New Roman" w:cs="Times New Roman"/>
          <w:sz w:val="24"/>
          <w:szCs w:val="24"/>
        </w:rPr>
        <w:t xml:space="preserve"> control groups, those can most likely be attributed to randomness and a small sample size. The dataset only included 16 houses that were sold within our treatment group after the construction of the temple. A sample size this small is very unlikely to produce any sort of reliable estimate, especially given that the expected effect of a temple on housing prices is small to begin with. </w:t>
      </w:r>
      <w:r w:rsidR="00B65FB1">
        <w:rPr>
          <w:rFonts w:ascii="Times New Roman" w:eastAsia="Times New Roman" w:hAnsi="Times New Roman" w:cs="Times New Roman"/>
          <w:sz w:val="24"/>
          <w:szCs w:val="24"/>
        </w:rPr>
        <w:t xml:space="preserve">Further, a sample size this small makes it </w:t>
      </w:r>
      <w:r w:rsidR="00417DFC">
        <w:rPr>
          <w:rFonts w:ascii="Times New Roman" w:eastAsia="Times New Roman" w:hAnsi="Times New Roman" w:cs="Times New Roman"/>
          <w:sz w:val="24"/>
          <w:szCs w:val="24"/>
        </w:rPr>
        <w:t xml:space="preserve">more </w:t>
      </w:r>
      <w:r w:rsidR="00B65FB1">
        <w:rPr>
          <w:rFonts w:ascii="Times New Roman" w:eastAsia="Times New Roman" w:hAnsi="Times New Roman" w:cs="Times New Roman"/>
          <w:sz w:val="24"/>
          <w:szCs w:val="24"/>
        </w:rPr>
        <w:t>unlikely that the parallel trends assumption holds</w:t>
      </w:r>
      <w:r w:rsidR="00417DFC">
        <w:rPr>
          <w:rFonts w:ascii="Times New Roman" w:eastAsia="Times New Roman" w:hAnsi="Times New Roman" w:cs="Times New Roman"/>
          <w:sz w:val="24"/>
          <w:szCs w:val="24"/>
        </w:rPr>
        <w:t>, which is necessary for the DID technique that we employed.</w:t>
      </w:r>
      <w:r w:rsidR="00B65F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Had there been a large increase in housing prices in the treatment group</w:t>
      </w:r>
      <w:r w:rsidR="002651D6">
        <w:rPr>
          <w:rFonts w:ascii="Times New Roman" w:eastAsia="Times New Roman" w:hAnsi="Times New Roman" w:cs="Times New Roman"/>
          <w:sz w:val="24"/>
          <w:szCs w:val="24"/>
        </w:rPr>
        <w:t xml:space="preserve"> following the temple dedication</w:t>
      </w:r>
      <w:r>
        <w:rPr>
          <w:rFonts w:ascii="Times New Roman" w:eastAsia="Times New Roman" w:hAnsi="Times New Roman" w:cs="Times New Roman"/>
          <w:sz w:val="24"/>
          <w:szCs w:val="24"/>
        </w:rPr>
        <w:t xml:space="preserve">, there may have been a case for causality. However, the positive effect of the temple on surrounding housing prices appears to mostly be attributed to a random decrease in housing prices within our control group during period 4. This, unfortunately, is not very convincing. </w:t>
      </w:r>
    </w:p>
    <w:p w14:paraId="7477518A" w14:textId="77777777" w:rsidR="00105187" w:rsidRDefault="00105187" w:rsidP="001051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417DFC">
        <w:rPr>
          <w:rFonts w:ascii="Times New Roman" w:eastAsia="Times New Roman" w:hAnsi="Times New Roman" w:cs="Times New Roman"/>
          <w:sz w:val="24"/>
          <w:szCs w:val="24"/>
        </w:rPr>
        <w:t>though we cannot</w:t>
      </w:r>
      <w:r>
        <w:rPr>
          <w:rFonts w:ascii="Times New Roman" w:eastAsia="Times New Roman" w:hAnsi="Times New Roman" w:cs="Times New Roman"/>
          <w:sz w:val="24"/>
          <w:szCs w:val="24"/>
        </w:rPr>
        <w:t xml:space="preserve"> conclude there is any sort of causal effect of the construction of a temple on surrounding houses prices, these results overall align with our initial intuition that the beauty of temples may provide a positive externality to surrounding houses. </w:t>
      </w:r>
    </w:p>
    <w:p w14:paraId="20801B43" w14:textId="77777777" w:rsidR="002636BD" w:rsidRDefault="00105187" w:rsidP="002636B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only ap</w:t>
      </w:r>
      <w:r w:rsidR="00417DFC">
        <w:rPr>
          <w:rFonts w:ascii="Times New Roman" w:eastAsia="Times New Roman" w:hAnsi="Times New Roman" w:cs="Times New Roman"/>
          <w:sz w:val="24"/>
          <w:szCs w:val="24"/>
        </w:rPr>
        <w:t xml:space="preserve">ply to the Gilbert Arizona area, so we are not </w:t>
      </w:r>
      <w:r>
        <w:rPr>
          <w:rFonts w:ascii="Times New Roman" w:eastAsia="Times New Roman" w:hAnsi="Times New Roman" w:cs="Times New Roman"/>
          <w:sz w:val="24"/>
          <w:szCs w:val="24"/>
        </w:rPr>
        <w:t>able to concl</w:t>
      </w:r>
      <w:r w:rsidR="00417DFC">
        <w:rPr>
          <w:rFonts w:ascii="Times New Roman" w:eastAsia="Times New Roman" w:hAnsi="Times New Roman" w:cs="Times New Roman"/>
          <w:sz w:val="24"/>
          <w:szCs w:val="24"/>
        </w:rPr>
        <w:t>ude much about the effect of a t</w:t>
      </w:r>
      <w:r>
        <w:rPr>
          <w:rFonts w:ascii="Times New Roman" w:eastAsia="Times New Roman" w:hAnsi="Times New Roman" w:cs="Times New Roman"/>
          <w:sz w:val="24"/>
          <w:szCs w:val="24"/>
        </w:rPr>
        <w:t>emple on housing prices in any given area. Our analysis would have carried a little more extern</w:t>
      </w:r>
      <w:r w:rsidR="002651D6">
        <w:rPr>
          <w:rFonts w:ascii="Times New Roman" w:eastAsia="Times New Roman" w:hAnsi="Times New Roman" w:cs="Times New Roman"/>
          <w:sz w:val="24"/>
          <w:szCs w:val="24"/>
        </w:rPr>
        <w:t>al validity if we were not</w:t>
      </w:r>
      <w:r>
        <w:rPr>
          <w:rFonts w:ascii="Times New Roman" w:eastAsia="Times New Roman" w:hAnsi="Times New Roman" w:cs="Times New Roman"/>
          <w:sz w:val="24"/>
          <w:szCs w:val="24"/>
        </w:rPr>
        <w:t xml:space="preserve"> fo</w:t>
      </w:r>
      <w:r w:rsidR="00417DFC">
        <w:rPr>
          <w:rFonts w:ascii="Times New Roman" w:eastAsia="Times New Roman" w:hAnsi="Times New Roman" w:cs="Times New Roman"/>
          <w:sz w:val="24"/>
          <w:szCs w:val="24"/>
        </w:rPr>
        <w:t>rced to drop the other Arizona t</w:t>
      </w:r>
      <w:r>
        <w:rPr>
          <w:rFonts w:ascii="Times New Roman" w:eastAsia="Times New Roman" w:hAnsi="Times New Roman" w:cs="Times New Roman"/>
          <w:sz w:val="24"/>
          <w:szCs w:val="24"/>
        </w:rPr>
        <w:t>emples due to the lack of valid data.</w:t>
      </w:r>
      <w:r w:rsidR="00417DFC">
        <w:rPr>
          <w:rFonts w:ascii="Times New Roman" w:eastAsia="Times New Roman" w:hAnsi="Times New Roman" w:cs="Times New Roman"/>
          <w:sz w:val="24"/>
          <w:szCs w:val="24"/>
        </w:rPr>
        <w:t xml:space="preserve"> If we were to </w:t>
      </w:r>
      <w:r w:rsidR="002651D6">
        <w:rPr>
          <w:rFonts w:ascii="Times New Roman" w:eastAsia="Times New Roman" w:hAnsi="Times New Roman" w:cs="Times New Roman"/>
          <w:sz w:val="24"/>
          <w:szCs w:val="24"/>
        </w:rPr>
        <w:t xml:space="preserve">further </w:t>
      </w:r>
      <w:r w:rsidR="00417DFC">
        <w:rPr>
          <w:rFonts w:ascii="Times New Roman" w:eastAsia="Times New Roman" w:hAnsi="Times New Roman" w:cs="Times New Roman"/>
          <w:sz w:val="24"/>
          <w:szCs w:val="24"/>
        </w:rPr>
        <w:t xml:space="preserve">pursue this question in the future, we would ideally look for data around a wide range of temples in multiple states. </w:t>
      </w:r>
      <w:r w:rsidR="007E1F88">
        <w:rPr>
          <w:rFonts w:ascii="Times New Roman" w:eastAsia="Times New Roman" w:hAnsi="Times New Roman" w:cs="Times New Roman"/>
          <w:sz w:val="24"/>
          <w:szCs w:val="24"/>
        </w:rPr>
        <w:t xml:space="preserve">This would increase our sample size resulting in more reliable causal estimates and simultaneously add some external validity to any discovered causal effect. </w:t>
      </w:r>
    </w:p>
    <w:p w14:paraId="6DA2A431" w14:textId="77777777" w:rsidR="007E1F88" w:rsidRPr="002636BD" w:rsidRDefault="007E1F88" w:rsidP="002636BD">
      <w:pPr>
        <w:spacing w:line="480" w:lineRule="auto"/>
        <w:jc w:val="center"/>
        <w:rPr>
          <w:rFonts w:ascii="Times New Roman" w:eastAsia="Times New Roman" w:hAnsi="Times New Roman" w:cs="Times New Roman"/>
          <w:sz w:val="24"/>
          <w:szCs w:val="24"/>
        </w:rPr>
      </w:pPr>
      <w:r w:rsidRPr="007E1F88">
        <w:rPr>
          <w:rFonts w:ascii="Times New Roman" w:eastAsia="Times New Roman" w:hAnsi="Times New Roman" w:cs="Times New Roman"/>
          <w:b/>
          <w:sz w:val="24"/>
          <w:szCs w:val="24"/>
        </w:rPr>
        <w:t>Sources:</w:t>
      </w:r>
    </w:p>
    <w:sectPr w:rsidR="007E1F88" w:rsidRPr="002636BD" w:rsidSect="006D717E">
      <w:footerReference w:type="even" r:id="rId13"/>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C3472" w14:textId="77777777" w:rsidR="00592FB6" w:rsidRDefault="00592FB6" w:rsidP="006D717E">
      <w:pPr>
        <w:spacing w:line="240" w:lineRule="auto"/>
      </w:pPr>
      <w:r>
        <w:separator/>
      </w:r>
    </w:p>
  </w:endnote>
  <w:endnote w:type="continuationSeparator" w:id="0">
    <w:p w14:paraId="0B180178" w14:textId="77777777" w:rsidR="00592FB6" w:rsidRDefault="00592FB6" w:rsidP="006D717E">
      <w:pPr>
        <w:spacing w:line="240" w:lineRule="auto"/>
      </w:pPr>
      <w:r>
        <w:continuationSeparator/>
      </w:r>
    </w:p>
  </w:endnote>
  <w:endnote w:id="1">
    <w:p w14:paraId="580F91B7" w14:textId="77777777" w:rsidR="00A225C6" w:rsidRPr="008B4153" w:rsidRDefault="00253748" w:rsidP="0070371A">
      <w:pPr>
        <w:pStyle w:val="EndnoteText"/>
        <w:rPr>
          <w:rFonts w:ascii="Times New Roman" w:hAnsi="Times New Roman" w:cs="Times New Roman"/>
          <w:color w:val="000000" w:themeColor="text1"/>
          <w:sz w:val="24"/>
          <w:szCs w:val="24"/>
          <w:lang w:val="en-US"/>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rPr>
        <w:t xml:space="preserve"> </w:t>
      </w:r>
      <w:r w:rsidR="008D60EF" w:rsidRPr="008B4153">
        <w:rPr>
          <w:rFonts w:ascii="Times New Roman" w:hAnsi="Times New Roman" w:cs="Times New Roman"/>
          <w:color w:val="000000" w:themeColor="text1"/>
          <w:sz w:val="24"/>
          <w:szCs w:val="24"/>
          <w:lang w:val="en-US"/>
        </w:rPr>
        <w:t xml:space="preserve">Merkley, L. (2019, Oct 8). New temples bring excitement, traffic, and higher housing prices. </w:t>
      </w:r>
      <w:r w:rsidR="008D60EF" w:rsidRPr="008B4153">
        <w:rPr>
          <w:rFonts w:ascii="Times New Roman" w:hAnsi="Times New Roman" w:cs="Times New Roman"/>
          <w:i/>
          <w:color w:val="000000" w:themeColor="text1"/>
          <w:sz w:val="24"/>
          <w:szCs w:val="24"/>
          <w:lang w:val="en-US"/>
        </w:rPr>
        <w:t xml:space="preserve">The Daily Universe, </w:t>
      </w:r>
      <w:r w:rsidR="008D60EF" w:rsidRPr="008B4153">
        <w:rPr>
          <w:rFonts w:ascii="Times New Roman" w:hAnsi="Times New Roman" w:cs="Times New Roman"/>
          <w:color w:val="000000" w:themeColor="text1"/>
          <w:sz w:val="24"/>
          <w:szCs w:val="24"/>
          <w:lang w:val="en-US"/>
        </w:rPr>
        <w:t xml:space="preserve">Retrieved from </w:t>
      </w:r>
      <w:hyperlink r:id="rId1" w:history="1">
        <w:r w:rsidR="008D60EF" w:rsidRPr="008B4153">
          <w:rPr>
            <w:rStyle w:val="Hyperlink"/>
            <w:rFonts w:ascii="Times New Roman" w:hAnsi="Times New Roman" w:cs="Times New Roman"/>
            <w:color w:val="000000" w:themeColor="text1"/>
            <w:sz w:val="24"/>
            <w:szCs w:val="24"/>
            <w:u w:val="none"/>
            <w:lang w:val="en-US"/>
          </w:rPr>
          <w:t>https://universe.byu.edu/2019/10/08/new-temples-bring-excitement-and-higher-housing-prices/</w:t>
        </w:r>
      </w:hyperlink>
    </w:p>
    <w:p w14:paraId="6855F856" w14:textId="77777777" w:rsidR="00A225C6" w:rsidRPr="008B4153" w:rsidRDefault="00A225C6" w:rsidP="0070371A">
      <w:pPr>
        <w:pStyle w:val="EndnoteText"/>
        <w:rPr>
          <w:rFonts w:ascii="Times New Roman" w:hAnsi="Times New Roman" w:cs="Times New Roman"/>
          <w:color w:val="000000" w:themeColor="text1"/>
          <w:sz w:val="24"/>
          <w:szCs w:val="24"/>
          <w:lang w:val="en-US"/>
        </w:rPr>
      </w:pPr>
    </w:p>
    <w:p w14:paraId="4524F9CC" w14:textId="77777777" w:rsidR="00A225C6" w:rsidRPr="008B4153" w:rsidRDefault="008D60EF" w:rsidP="0070371A">
      <w:pPr>
        <w:pStyle w:val="NormalWeb"/>
        <w:spacing w:before="0" w:beforeAutospacing="0" w:after="0" w:afterAutospacing="0"/>
        <w:ind w:left="720"/>
        <w:rPr>
          <w:color w:val="000000" w:themeColor="text1"/>
        </w:rPr>
      </w:pPr>
      <w:r w:rsidRPr="008B4153">
        <w:rPr>
          <w:color w:val="000000" w:themeColor="text1"/>
        </w:rPr>
        <w:t xml:space="preserve">Associated Press. (2007, Dec 22). </w:t>
      </w:r>
      <w:r w:rsidR="00A225C6" w:rsidRPr="008B4153">
        <w:rPr>
          <w:color w:val="000000" w:themeColor="text1"/>
        </w:rPr>
        <w:t xml:space="preserve">As LDS temples rise, home values do, too. </w:t>
      </w:r>
      <w:r w:rsidR="00A225C6" w:rsidRPr="008B4153">
        <w:rPr>
          <w:i/>
          <w:color w:val="000000" w:themeColor="text1"/>
        </w:rPr>
        <w:t xml:space="preserve">Deseret News, </w:t>
      </w:r>
      <w:r w:rsidR="00A225C6" w:rsidRPr="008B4153">
        <w:rPr>
          <w:color w:val="000000" w:themeColor="text1"/>
        </w:rPr>
        <w:t xml:space="preserve">Faith, Retrieved from </w:t>
      </w:r>
      <w:hyperlink r:id="rId2" w:history="1">
        <w:r w:rsidR="00A225C6" w:rsidRPr="008B4153">
          <w:rPr>
            <w:rStyle w:val="Hyperlink"/>
            <w:color w:val="000000" w:themeColor="text1"/>
            <w:u w:val="none"/>
          </w:rPr>
          <w:t>https://www.deseret.com/2007/12/22/20060504/as-lds-temples-rise-home-values-do-too</w:t>
        </w:r>
      </w:hyperlink>
    </w:p>
    <w:p w14:paraId="368FD8EF" w14:textId="77777777" w:rsidR="00A225C6" w:rsidRPr="008B4153" w:rsidRDefault="00A225C6" w:rsidP="0070371A">
      <w:pPr>
        <w:pStyle w:val="NormalWeb"/>
        <w:spacing w:before="0" w:beforeAutospacing="0" w:after="0" w:afterAutospacing="0"/>
        <w:ind w:left="90"/>
        <w:rPr>
          <w:color w:val="000000" w:themeColor="text1"/>
        </w:rPr>
      </w:pPr>
    </w:p>
    <w:p w14:paraId="478209C9" w14:textId="77777777" w:rsidR="008D60EF" w:rsidRPr="008B4153" w:rsidRDefault="00A225C6" w:rsidP="0070371A">
      <w:pPr>
        <w:pStyle w:val="NormalWeb"/>
        <w:spacing w:before="0" w:beforeAutospacing="0" w:after="0" w:afterAutospacing="0"/>
        <w:ind w:left="1440"/>
        <w:rPr>
          <w:color w:val="000000" w:themeColor="text1"/>
        </w:rPr>
      </w:pPr>
      <w:r w:rsidRPr="008B4153">
        <w:rPr>
          <w:color w:val="000000" w:themeColor="text1"/>
        </w:rPr>
        <w:t xml:space="preserve">Roe, G. (2019, Apr 8). Will new temple increase home values in Tooele County? Experts say maybe. </w:t>
      </w:r>
      <w:r w:rsidRPr="008B4153">
        <w:rPr>
          <w:i/>
          <w:color w:val="000000" w:themeColor="text1"/>
        </w:rPr>
        <w:t xml:space="preserve">2KUTV, </w:t>
      </w:r>
      <w:r w:rsidRPr="008B4153">
        <w:rPr>
          <w:color w:val="000000" w:themeColor="text1"/>
        </w:rPr>
        <w:t xml:space="preserve">News, Retrieved from </w:t>
      </w:r>
      <w:hyperlink r:id="rId3" w:history="1">
        <w:r w:rsidRPr="008B4153">
          <w:rPr>
            <w:rStyle w:val="Hyperlink"/>
            <w:color w:val="000000" w:themeColor="text1"/>
            <w:u w:val="none"/>
          </w:rPr>
          <w:t>https://kutv.com/news/local/will-new-temple-increase-home-values-in-tooele-county-experts-say-maybe</w:t>
        </w:r>
      </w:hyperlink>
    </w:p>
    <w:p w14:paraId="62BE505D" w14:textId="77777777" w:rsidR="00A225C6" w:rsidRPr="008B4153" w:rsidRDefault="00A225C6" w:rsidP="0070371A">
      <w:pPr>
        <w:pStyle w:val="NormalWeb"/>
        <w:spacing w:before="0" w:beforeAutospacing="0" w:after="0" w:afterAutospacing="0"/>
        <w:rPr>
          <w:color w:val="000000" w:themeColor="text1"/>
        </w:rPr>
      </w:pPr>
    </w:p>
    <w:p w14:paraId="3A1DF2A7" w14:textId="77777777" w:rsidR="008F4E89" w:rsidRPr="008B4153" w:rsidRDefault="008F4E89" w:rsidP="0070371A">
      <w:pPr>
        <w:pStyle w:val="NormalWeb"/>
        <w:spacing w:before="0" w:beforeAutospacing="0" w:after="0" w:afterAutospacing="0"/>
        <w:rPr>
          <w:color w:val="000000" w:themeColor="text1"/>
        </w:rPr>
      </w:pPr>
    </w:p>
  </w:endnote>
  <w:endnote w:id="2">
    <w:p w14:paraId="29F2B59B" w14:textId="77777777" w:rsidR="008F4E89" w:rsidRPr="008B4153" w:rsidRDefault="00A225C6" w:rsidP="0070371A">
      <w:pPr>
        <w:pStyle w:val="NormalWeb"/>
        <w:spacing w:before="0" w:beforeAutospacing="0" w:after="0" w:afterAutospacing="0"/>
        <w:textAlignment w:val="baseline"/>
        <w:rPr>
          <w:color w:val="000000" w:themeColor="text1"/>
        </w:rPr>
      </w:pPr>
      <w:r w:rsidRPr="008B4153">
        <w:rPr>
          <w:rStyle w:val="EndnoteReference"/>
          <w:color w:val="000000" w:themeColor="text1"/>
        </w:rPr>
        <w:endnoteRef/>
      </w:r>
      <w:r w:rsidRPr="008B4153">
        <w:rPr>
          <w:color w:val="000000" w:themeColor="text1"/>
        </w:rPr>
        <w:t xml:space="preserve"> Danderson, S. J</w:t>
      </w:r>
      <w:r w:rsidR="008F4E89" w:rsidRPr="008B4153">
        <w:rPr>
          <w:color w:val="000000" w:themeColor="text1"/>
        </w:rPr>
        <w:t xml:space="preserve">. (2003) The impact of LDS temples on local property values. Retrieved from </w:t>
      </w:r>
      <w:hyperlink r:id="rId4" w:history="1">
        <w:r w:rsidR="008F4E89" w:rsidRPr="008B4153">
          <w:rPr>
            <w:rStyle w:val="Hyperlink"/>
            <w:color w:val="000000" w:themeColor="text1"/>
            <w:u w:val="none"/>
          </w:rPr>
          <w:t>https://www.fairlatterdaysaints.org/wp-content/uploads/2011/12/danderson-the-impact-of-lds-temples.pdf</w:t>
        </w:r>
      </w:hyperlink>
    </w:p>
    <w:p w14:paraId="5F2DB2FB" w14:textId="77777777" w:rsidR="00A225C6" w:rsidRPr="008B4153" w:rsidRDefault="00A225C6" w:rsidP="0070371A">
      <w:pPr>
        <w:pStyle w:val="EndnoteText"/>
        <w:rPr>
          <w:rFonts w:ascii="Times New Roman" w:hAnsi="Times New Roman" w:cs="Times New Roman"/>
          <w:color w:val="000000" w:themeColor="text1"/>
          <w:sz w:val="24"/>
          <w:szCs w:val="24"/>
          <w:lang w:val="en-US"/>
        </w:rPr>
      </w:pPr>
    </w:p>
    <w:p w14:paraId="77381F72" w14:textId="77777777" w:rsidR="008F4E89" w:rsidRPr="008B4153" w:rsidRDefault="008F4E89" w:rsidP="0070371A">
      <w:pPr>
        <w:pStyle w:val="EndnoteText"/>
        <w:rPr>
          <w:rFonts w:ascii="Times New Roman" w:hAnsi="Times New Roman" w:cs="Times New Roman"/>
          <w:color w:val="000000" w:themeColor="text1"/>
          <w:sz w:val="24"/>
          <w:szCs w:val="24"/>
          <w:lang w:val="en-US"/>
        </w:rPr>
      </w:pPr>
    </w:p>
  </w:endnote>
  <w:endnote w:id="3">
    <w:p w14:paraId="3F1B5791" w14:textId="77777777" w:rsidR="008B4153" w:rsidRPr="008B4153" w:rsidRDefault="008F4E89" w:rsidP="0070371A">
      <w:pPr>
        <w:rPr>
          <w:rFonts w:ascii="Times New Roman" w:eastAsia="Times New Roman" w:hAnsi="Times New Roman" w:cs="Times New Roman"/>
          <w:color w:val="000000" w:themeColor="text1"/>
          <w:sz w:val="24"/>
          <w:szCs w:val="24"/>
          <w:lang w:val="en-US"/>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rPr>
        <w:t xml:space="preserve"> </w:t>
      </w:r>
      <w:r w:rsidR="009503F8" w:rsidRPr="008B4153">
        <w:rPr>
          <w:rFonts w:ascii="Times New Roman" w:eastAsia="Times New Roman" w:hAnsi="Times New Roman" w:cs="Times New Roman"/>
          <w:color w:val="000000" w:themeColor="text1"/>
          <w:sz w:val="24"/>
          <w:szCs w:val="24"/>
          <w:lang w:val="en-US"/>
        </w:rPr>
        <w:t>Brandt,</w:t>
      </w:r>
      <w:r w:rsidR="00CF3A22" w:rsidRPr="008B4153">
        <w:rPr>
          <w:rFonts w:ascii="Times New Roman" w:eastAsia="Times New Roman" w:hAnsi="Times New Roman" w:cs="Times New Roman"/>
          <w:color w:val="000000" w:themeColor="text1"/>
          <w:sz w:val="24"/>
          <w:szCs w:val="24"/>
          <w:lang w:val="en-US"/>
        </w:rPr>
        <w:t xml:space="preserve"> S.,</w:t>
      </w:r>
      <w:r w:rsidRPr="008B4153">
        <w:rPr>
          <w:rFonts w:ascii="Times New Roman" w:eastAsia="Times New Roman" w:hAnsi="Times New Roman" w:cs="Times New Roman"/>
          <w:color w:val="000000" w:themeColor="text1"/>
          <w:sz w:val="24"/>
          <w:szCs w:val="24"/>
          <w:lang w:val="en-US"/>
        </w:rPr>
        <w:t xml:space="preserve"> Maennig,</w:t>
      </w:r>
      <w:r w:rsidR="00CF3A22" w:rsidRPr="008B4153">
        <w:rPr>
          <w:rFonts w:ascii="Times New Roman" w:eastAsia="Times New Roman" w:hAnsi="Times New Roman" w:cs="Times New Roman"/>
          <w:color w:val="000000" w:themeColor="text1"/>
          <w:sz w:val="24"/>
          <w:szCs w:val="24"/>
          <w:lang w:val="en-US"/>
        </w:rPr>
        <w:t xml:space="preserve"> W.,</w:t>
      </w:r>
      <w:r w:rsidR="009503F8" w:rsidRPr="008B4153">
        <w:rPr>
          <w:rFonts w:ascii="Times New Roman" w:eastAsia="Times New Roman" w:hAnsi="Times New Roman" w:cs="Times New Roman"/>
          <w:color w:val="000000" w:themeColor="text1"/>
          <w:sz w:val="24"/>
          <w:szCs w:val="24"/>
          <w:lang w:val="en-US"/>
        </w:rPr>
        <w:t xml:space="preserve"> and Richter</w:t>
      </w:r>
      <w:r w:rsidR="00CF3A22" w:rsidRPr="008B4153">
        <w:rPr>
          <w:rFonts w:ascii="Times New Roman" w:eastAsia="Times New Roman" w:hAnsi="Times New Roman" w:cs="Times New Roman"/>
          <w:color w:val="000000" w:themeColor="text1"/>
          <w:sz w:val="24"/>
          <w:szCs w:val="24"/>
          <w:lang w:val="en-US"/>
        </w:rPr>
        <w:t>, F.</w:t>
      </w:r>
      <w:r w:rsidR="00656C9E" w:rsidRPr="008B4153">
        <w:rPr>
          <w:rFonts w:ascii="Times New Roman" w:eastAsia="Times New Roman" w:hAnsi="Times New Roman" w:cs="Times New Roman"/>
          <w:color w:val="000000" w:themeColor="text1"/>
          <w:sz w:val="24"/>
          <w:szCs w:val="24"/>
          <w:lang w:val="en-US"/>
        </w:rPr>
        <w:t xml:space="preserve"> (2013) </w:t>
      </w:r>
      <w:r w:rsidRPr="008B4153">
        <w:rPr>
          <w:rFonts w:ascii="Times New Roman" w:eastAsia="Times New Roman" w:hAnsi="Times New Roman" w:cs="Times New Roman"/>
          <w:color w:val="000000" w:themeColor="text1"/>
          <w:sz w:val="24"/>
          <w:szCs w:val="24"/>
          <w:lang w:val="en-US"/>
        </w:rPr>
        <w:t xml:space="preserve">Do places of worship affect housing prices? Evidence from Germany, </w:t>
      </w:r>
      <w:r w:rsidRPr="008B4153">
        <w:rPr>
          <w:rFonts w:ascii="Times New Roman" w:eastAsia="Times New Roman" w:hAnsi="Times New Roman" w:cs="Times New Roman"/>
          <w:i/>
          <w:color w:val="000000" w:themeColor="text1"/>
          <w:sz w:val="24"/>
          <w:szCs w:val="24"/>
          <w:lang w:val="en-US"/>
        </w:rPr>
        <w:t>Hamburg Contemporary Economic Discussions</w:t>
      </w:r>
      <w:r w:rsidRPr="008B4153">
        <w:rPr>
          <w:rFonts w:ascii="Times New Roman" w:eastAsia="Times New Roman" w:hAnsi="Times New Roman" w:cs="Times New Roman"/>
          <w:color w:val="000000" w:themeColor="text1"/>
          <w:sz w:val="24"/>
          <w:szCs w:val="24"/>
          <w:lang w:val="en-US"/>
        </w:rPr>
        <w:t>, No. 48, ISBN 978-3-942820-11-0, University of Hamburg, Faculty of Business, Economics and Social Sciences, Chair for Economic Policy, Hamburg</w:t>
      </w:r>
      <w:r w:rsidR="00656C9E" w:rsidRPr="008B4153">
        <w:rPr>
          <w:rFonts w:ascii="Times New Roman" w:eastAsia="Times New Roman" w:hAnsi="Times New Roman" w:cs="Times New Roman"/>
          <w:color w:val="000000" w:themeColor="text1"/>
          <w:sz w:val="24"/>
          <w:szCs w:val="24"/>
          <w:lang w:val="en-US"/>
        </w:rPr>
        <w:t xml:space="preserve">. Retrieved from </w:t>
      </w:r>
      <w:hyperlink r:id="rId5" w:history="1">
        <w:r w:rsidR="008B4153" w:rsidRPr="008B4153">
          <w:rPr>
            <w:rStyle w:val="Hyperlink"/>
            <w:rFonts w:ascii="Times New Roman" w:eastAsia="Times New Roman" w:hAnsi="Times New Roman" w:cs="Times New Roman"/>
            <w:color w:val="000000" w:themeColor="text1"/>
            <w:sz w:val="24"/>
            <w:szCs w:val="24"/>
            <w:u w:val="none"/>
            <w:lang w:val="en-US"/>
          </w:rPr>
          <w:t>https://www.econstar.eu/bitstream/10419/92962/1/769643752.pdf</w:t>
        </w:r>
      </w:hyperlink>
    </w:p>
    <w:p w14:paraId="16FB38F5" w14:textId="77777777" w:rsidR="00656C9E" w:rsidRPr="008B4153" w:rsidRDefault="00656C9E" w:rsidP="0070371A">
      <w:pPr>
        <w:rPr>
          <w:rFonts w:ascii="Times New Roman" w:hAnsi="Times New Roman" w:cs="Times New Roman"/>
          <w:color w:val="000000" w:themeColor="text1"/>
          <w:sz w:val="24"/>
          <w:szCs w:val="24"/>
        </w:rPr>
      </w:pPr>
    </w:p>
    <w:p w14:paraId="3EC4DC55" w14:textId="77777777" w:rsidR="008F4E89" w:rsidRPr="008B4153" w:rsidRDefault="008F4E89" w:rsidP="0070371A">
      <w:pPr>
        <w:pStyle w:val="EndnoteText"/>
        <w:rPr>
          <w:rFonts w:ascii="Times New Roman" w:hAnsi="Times New Roman" w:cs="Times New Roman"/>
          <w:color w:val="000000" w:themeColor="text1"/>
          <w:sz w:val="24"/>
          <w:szCs w:val="24"/>
          <w:lang w:val="en-US"/>
        </w:rPr>
      </w:pPr>
    </w:p>
  </w:endnote>
  <w:endnote w:id="4">
    <w:p w14:paraId="21456DBD" w14:textId="77777777" w:rsidR="00656C9E" w:rsidRPr="008B4153" w:rsidRDefault="00656C9E" w:rsidP="0070371A">
      <w:pPr>
        <w:pStyle w:val="NormalWeb"/>
        <w:spacing w:before="0" w:beforeAutospacing="0" w:after="0" w:afterAutospacing="0"/>
        <w:rPr>
          <w:color w:val="000000" w:themeColor="text1"/>
        </w:rPr>
      </w:pPr>
      <w:r w:rsidRPr="008B4153">
        <w:rPr>
          <w:rStyle w:val="EndnoteReference"/>
          <w:color w:val="000000" w:themeColor="text1"/>
        </w:rPr>
        <w:endnoteRef/>
      </w:r>
      <w:r w:rsidRPr="008B4153">
        <w:rPr>
          <w:color w:val="000000" w:themeColor="text1"/>
        </w:rPr>
        <w:t xml:space="preserve"> </w:t>
      </w:r>
      <w:r w:rsidRPr="008B4153">
        <w:rPr>
          <w:i/>
          <w:color w:val="000000" w:themeColor="text1"/>
        </w:rPr>
        <w:t xml:space="preserve">Temple List. </w:t>
      </w:r>
      <w:r w:rsidRPr="008B4153">
        <w:rPr>
          <w:color w:val="000000" w:themeColor="text1"/>
        </w:rPr>
        <w:t xml:space="preserve">Retrieved from </w:t>
      </w:r>
      <w:hyperlink r:id="rId6" w:history="1">
        <w:r w:rsidRPr="008B4153">
          <w:rPr>
            <w:rStyle w:val="Hyperlink"/>
            <w:color w:val="000000" w:themeColor="text1"/>
            <w:u w:val="none"/>
          </w:rPr>
          <w:t>https://www.churchofjesuschrist.org/temples/list?lang=eng</w:t>
        </w:r>
      </w:hyperlink>
    </w:p>
    <w:p w14:paraId="7F8FC2B9" w14:textId="77777777" w:rsidR="00656C9E" w:rsidRPr="008B4153" w:rsidRDefault="00656C9E" w:rsidP="0070371A">
      <w:pPr>
        <w:rPr>
          <w:rFonts w:ascii="Times New Roman" w:hAnsi="Times New Roman" w:cs="Times New Roman"/>
          <w:color w:val="000000" w:themeColor="text1"/>
          <w:sz w:val="24"/>
          <w:szCs w:val="24"/>
        </w:rPr>
      </w:pPr>
    </w:p>
    <w:p w14:paraId="492E35F5" w14:textId="77777777" w:rsidR="00656C9E" w:rsidRPr="008B4153" w:rsidRDefault="00656C9E" w:rsidP="0070371A">
      <w:pPr>
        <w:pStyle w:val="EndnoteText"/>
        <w:rPr>
          <w:rFonts w:ascii="Times New Roman" w:hAnsi="Times New Roman" w:cs="Times New Roman"/>
          <w:color w:val="000000" w:themeColor="text1"/>
          <w:sz w:val="24"/>
          <w:szCs w:val="24"/>
        </w:rPr>
      </w:pPr>
    </w:p>
  </w:endnote>
  <w:endnote w:id="5">
    <w:p w14:paraId="0CD8D07F" w14:textId="77777777" w:rsidR="008B4153" w:rsidRPr="008B4153" w:rsidRDefault="00656C9E" w:rsidP="0070371A">
      <w:pPr>
        <w:rPr>
          <w:rFonts w:ascii="Times New Roman" w:hAnsi="Times New Roman" w:cs="Times New Roman"/>
          <w:color w:val="000000" w:themeColor="text1"/>
          <w:sz w:val="24"/>
          <w:szCs w:val="24"/>
          <w:lang w:val="en-US"/>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rPr>
        <w:t xml:space="preserve"> </w:t>
      </w:r>
      <w:r w:rsidRPr="008B4153">
        <w:rPr>
          <w:rFonts w:ascii="Times New Roman" w:hAnsi="Times New Roman" w:cs="Times New Roman"/>
          <w:i/>
          <w:color w:val="000000" w:themeColor="text1"/>
          <w:sz w:val="24"/>
          <w:szCs w:val="24"/>
          <w:lang w:val="en-US"/>
        </w:rPr>
        <w:t>Temple Dimensions.</w:t>
      </w:r>
      <w:r w:rsidR="0070371A" w:rsidRPr="008B4153">
        <w:rPr>
          <w:rFonts w:ascii="Times New Roman" w:hAnsi="Times New Roman" w:cs="Times New Roman"/>
          <w:i/>
          <w:color w:val="000000" w:themeColor="text1"/>
          <w:sz w:val="24"/>
          <w:szCs w:val="24"/>
          <w:lang w:val="en-US"/>
        </w:rPr>
        <w:t xml:space="preserve"> </w:t>
      </w:r>
      <w:r w:rsidRPr="008B4153">
        <w:rPr>
          <w:rFonts w:ascii="Times New Roman" w:hAnsi="Times New Roman" w:cs="Times New Roman"/>
          <w:color w:val="000000" w:themeColor="text1"/>
          <w:sz w:val="24"/>
          <w:szCs w:val="24"/>
          <w:lang w:val="en-US"/>
        </w:rPr>
        <w:t xml:space="preserve">Retrieved from </w:t>
      </w:r>
    </w:p>
    <w:p w14:paraId="74C35F77" w14:textId="77777777" w:rsidR="008B4153" w:rsidRPr="008B4153" w:rsidRDefault="00000000" w:rsidP="0070371A">
      <w:pPr>
        <w:rPr>
          <w:rFonts w:ascii="Times New Roman" w:hAnsi="Times New Roman" w:cs="Times New Roman"/>
          <w:color w:val="000000" w:themeColor="text1"/>
          <w:sz w:val="24"/>
          <w:szCs w:val="24"/>
          <w:lang w:val="en-US"/>
        </w:rPr>
      </w:pPr>
      <w:hyperlink r:id="rId7" w:history="1">
        <w:r w:rsidR="008B4153" w:rsidRPr="008B4153">
          <w:rPr>
            <w:rStyle w:val="Hyperlink"/>
            <w:rFonts w:ascii="Times New Roman" w:hAnsi="Times New Roman" w:cs="Times New Roman"/>
            <w:color w:val="000000" w:themeColor="text1"/>
            <w:sz w:val="24"/>
            <w:szCs w:val="24"/>
            <w:u w:val="none"/>
            <w:lang w:val="en-US"/>
          </w:rPr>
          <w:t>https://churchofjesuschristtemples.org/statistics/dimensions/</w:t>
        </w:r>
      </w:hyperlink>
    </w:p>
    <w:p w14:paraId="06325571" w14:textId="77777777" w:rsidR="00656C9E" w:rsidRPr="008B4153" w:rsidRDefault="00656C9E" w:rsidP="0070371A">
      <w:pPr>
        <w:rPr>
          <w:rFonts w:ascii="Times New Roman" w:hAnsi="Times New Roman" w:cs="Times New Roman"/>
          <w:color w:val="000000" w:themeColor="text1"/>
          <w:sz w:val="24"/>
          <w:szCs w:val="24"/>
        </w:rPr>
      </w:pPr>
    </w:p>
    <w:p w14:paraId="5404713E" w14:textId="77777777" w:rsidR="0070371A" w:rsidRPr="008B4153" w:rsidRDefault="0070371A" w:rsidP="0070371A">
      <w:pPr>
        <w:ind w:firstLine="720"/>
        <w:rPr>
          <w:rFonts w:ascii="Times New Roman" w:hAnsi="Times New Roman" w:cs="Times New Roman"/>
          <w:color w:val="000000" w:themeColor="text1"/>
          <w:sz w:val="24"/>
          <w:szCs w:val="24"/>
        </w:rPr>
      </w:pPr>
      <w:r w:rsidRPr="008B4153">
        <w:rPr>
          <w:rFonts w:ascii="Times New Roman" w:hAnsi="Times New Roman" w:cs="Times New Roman"/>
          <w:i/>
          <w:color w:val="000000" w:themeColor="text1"/>
          <w:sz w:val="24"/>
          <w:szCs w:val="24"/>
        </w:rPr>
        <w:t xml:space="preserve">Google Earth. </w:t>
      </w:r>
      <w:r w:rsidRPr="008B4153">
        <w:rPr>
          <w:rFonts w:ascii="Times New Roman" w:hAnsi="Times New Roman" w:cs="Times New Roman"/>
          <w:color w:val="000000" w:themeColor="text1"/>
          <w:sz w:val="24"/>
          <w:szCs w:val="24"/>
        </w:rPr>
        <w:t xml:space="preserve">Retrieved from </w:t>
      </w:r>
      <w:hyperlink r:id="rId8" w:history="1">
        <w:r w:rsidRPr="008B4153">
          <w:rPr>
            <w:rStyle w:val="Hyperlink"/>
            <w:rFonts w:ascii="Times New Roman" w:hAnsi="Times New Roman" w:cs="Times New Roman"/>
            <w:color w:val="000000" w:themeColor="text1"/>
            <w:sz w:val="24"/>
            <w:szCs w:val="24"/>
            <w:u w:val="none"/>
          </w:rPr>
          <w:t>https://earth.google.com/web</w:t>
        </w:r>
      </w:hyperlink>
    </w:p>
    <w:p w14:paraId="49794345" w14:textId="77777777" w:rsidR="00656C9E" w:rsidRPr="008B4153" w:rsidRDefault="00656C9E" w:rsidP="0070371A">
      <w:pPr>
        <w:pStyle w:val="EndnoteText"/>
        <w:rPr>
          <w:rFonts w:ascii="Times New Roman" w:hAnsi="Times New Roman" w:cs="Times New Roman"/>
          <w:color w:val="000000" w:themeColor="text1"/>
          <w:sz w:val="24"/>
          <w:szCs w:val="24"/>
        </w:rPr>
      </w:pPr>
    </w:p>
    <w:p w14:paraId="4C168F8C" w14:textId="77777777" w:rsidR="0070371A" w:rsidRPr="008B4153" w:rsidRDefault="0070371A" w:rsidP="0070371A">
      <w:pPr>
        <w:pStyle w:val="EndnoteText"/>
        <w:rPr>
          <w:rFonts w:ascii="Times New Roman" w:hAnsi="Times New Roman" w:cs="Times New Roman"/>
          <w:color w:val="000000" w:themeColor="text1"/>
          <w:sz w:val="24"/>
          <w:szCs w:val="24"/>
          <w:lang w:val="en-US"/>
        </w:rPr>
      </w:pPr>
    </w:p>
  </w:endnote>
  <w:endnote w:id="6">
    <w:p w14:paraId="188DD3C4" w14:textId="77777777" w:rsidR="0070371A" w:rsidRPr="008B4153" w:rsidRDefault="0070371A">
      <w:pPr>
        <w:pStyle w:val="EndnoteText"/>
        <w:rPr>
          <w:rFonts w:ascii="Times New Roman" w:hAnsi="Times New Roman" w:cs="Times New Roman"/>
          <w:color w:val="000000" w:themeColor="text1"/>
          <w:sz w:val="24"/>
          <w:szCs w:val="24"/>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rPr>
        <w:t xml:space="preserve"> </w:t>
      </w:r>
      <w:r w:rsidRPr="008B4153">
        <w:rPr>
          <w:rFonts w:ascii="Times New Roman" w:hAnsi="Times New Roman" w:cs="Times New Roman"/>
          <w:i/>
          <w:color w:val="000000" w:themeColor="text1"/>
          <w:sz w:val="24"/>
          <w:szCs w:val="24"/>
        </w:rPr>
        <w:t>Zillow.</w:t>
      </w:r>
      <w:r w:rsidRPr="008B4153">
        <w:rPr>
          <w:rFonts w:ascii="Times New Roman" w:hAnsi="Times New Roman" w:cs="Times New Roman"/>
          <w:color w:val="000000" w:themeColor="text1"/>
          <w:sz w:val="24"/>
          <w:szCs w:val="24"/>
        </w:rPr>
        <w:t xml:space="preserve"> Retrieved from </w:t>
      </w:r>
      <w:hyperlink r:id="rId9" w:history="1">
        <w:r w:rsidRPr="008B4153">
          <w:rPr>
            <w:rStyle w:val="Hyperlink"/>
            <w:rFonts w:ascii="Times New Roman" w:hAnsi="Times New Roman" w:cs="Times New Roman"/>
            <w:color w:val="000000" w:themeColor="text1"/>
            <w:sz w:val="24"/>
            <w:szCs w:val="24"/>
            <w:u w:val="none"/>
          </w:rPr>
          <w:t>https://zillow.com</w:t>
        </w:r>
      </w:hyperlink>
      <w:r w:rsidRPr="008B4153">
        <w:rPr>
          <w:rFonts w:ascii="Times New Roman" w:hAnsi="Times New Roman" w:cs="Times New Roman"/>
          <w:color w:val="000000" w:themeColor="text1"/>
          <w:sz w:val="24"/>
          <w:szCs w:val="24"/>
        </w:rPr>
        <w:t xml:space="preserve"> </w:t>
      </w:r>
    </w:p>
    <w:p w14:paraId="1401BAE1" w14:textId="77777777" w:rsidR="0070371A" w:rsidRPr="008B4153" w:rsidRDefault="0070371A">
      <w:pPr>
        <w:pStyle w:val="EndnoteText"/>
        <w:rPr>
          <w:rFonts w:ascii="Times New Roman" w:hAnsi="Times New Roman" w:cs="Times New Roman"/>
          <w:color w:val="000000" w:themeColor="text1"/>
          <w:sz w:val="24"/>
          <w:szCs w:val="24"/>
        </w:rPr>
      </w:pPr>
    </w:p>
    <w:p w14:paraId="216B17D1" w14:textId="77777777" w:rsidR="0070371A" w:rsidRPr="008B4153" w:rsidRDefault="0070371A">
      <w:pPr>
        <w:pStyle w:val="EndnoteText"/>
        <w:rPr>
          <w:rFonts w:ascii="Times New Roman" w:hAnsi="Times New Roman" w:cs="Times New Roman"/>
          <w:color w:val="000000" w:themeColor="text1"/>
          <w:sz w:val="24"/>
          <w:szCs w:val="24"/>
          <w:lang w:val="en-US"/>
        </w:rPr>
      </w:pPr>
    </w:p>
  </w:endnote>
  <w:endnote w:id="7">
    <w:p w14:paraId="247D6ABE" w14:textId="77777777" w:rsidR="009503F8" w:rsidRPr="008B4153" w:rsidRDefault="009503F8" w:rsidP="009503F8">
      <w:pPr>
        <w:rPr>
          <w:rFonts w:ascii="Times New Roman" w:hAnsi="Times New Roman" w:cs="Times New Roman"/>
          <w:color w:val="000000" w:themeColor="text1"/>
          <w:sz w:val="24"/>
          <w:szCs w:val="24"/>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rPr>
        <w:t xml:space="preserve"> County Population Totals: 2010 – 2019. </w:t>
      </w:r>
      <w:r w:rsidRPr="008B4153">
        <w:rPr>
          <w:rFonts w:ascii="Times New Roman" w:hAnsi="Times New Roman" w:cs="Times New Roman"/>
          <w:i/>
          <w:color w:val="000000" w:themeColor="text1"/>
          <w:sz w:val="24"/>
          <w:szCs w:val="24"/>
        </w:rPr>
        <w:t xml:space="preserve">United States Census Bureau. </w:t>
      </w:r>
      <w:r w:rsidRPr="008B4153">
        <w:rPr>
          <w:rFonts w:ascii="Times New Roman" w:hAnsi="Times New Roman" w:cs="Times New Roman"/>
          <w:color w:val="000000" w:themeColor="text1"/>
          <w:sz w:val="24"/>
          <w:szCs w:val="24"/>
        </w:rPr>
        <w:t xml:space="preserve">Retrieved from </w:t>
      </w:r>
      <w:hyperlink r:id="rId10" w:history="1">
        <w:r w:rsidRPr="008B4153">
          <w:rPr>
            <w:rStyle w:val="Hyperlink"/>
            <w:rFonts w:ascii="Times New Roman" w:hAnsi="Times New Roman" w:cs="Times New Roman"/>
            <w:color w:val="000000" w:themeColor="text1"/>
            <w:sz w:val="24"/>
            <w:szCs w:val="24"/>
            <w:u w:val="none"/>
          </w:rPr>
          <w:t>https://www.census.gov/data/datasets/time-series/demo/popest/2010s-counties-total.html</w:t>
        </w:r>
      </w:hyperlink>
    </w:p>
    <w:p w14:paraId="7A74CF3D" w14:textId="77777777" w:rsidR="009503F8" w:rsidRPr="008B4153" w:rsidRDefault="009503F8">
      <w:pPr>
        <w:pStyle w:val="EndnoteText"/>
        <w:rPr>
          <w:rFonts w:ascii="Times New Roman" w:hAnsi="Times New Roman" w:cs="Times New Roman"/>
          <w:color w:val="000000" w:themeColor="text1"/>
          <w:sz w:val="24"/>
          <w:szCs w:val="24"/>
        </w:rPr>
      </w:pPr>
    </w:p>
  </w:endnote>
  <w:endnote w:id="8">
    <w:p w14:paraId="6E3F5DA7" w14:textId="77777777" w:rsidR="00CF3A22" w:rsidRPr="008B4153" w:rsidRDefault="00CF3A22" w:rsidP="00CF3A22">
      <w:pPr>
        <w:pStyle w:val="EndnoteText"/>
        <w:rPr>
          <w:rFonts w:ascii="Times New Roman" w:hAnsi="Times New Roman" w:cs="Times New Roman"/>
          <w:i/>
          <w:sz w:val="24"/>
          <w:szCs w:val="24"/>
          <w:lang w:val="en-US"/>
        </w:rPr>
      </w:pPr>
      <w:r w:rsidRPr="008B4153">
        <w:rPr>
          <w:rStyle w:val="EndnoteReference"/>
          <w:rFonts w:ascii="Times New Roman" w:hAnsi="Times New Roman" w:cs="Times New Roman"/>
          <w:color w:val="000000" w:themeColor="text1"/>
          <w:sz w:val="24"/>
          <w:szCs w:val="24"/>
        </w:rPr>
        <w:endnoteRef/>
      </w:r>
      <w:r w:rsidRPr="008B4153">
        <w:rPr>
          <w:rFonts w:ascii="Times New Roman" w:hAnsi="Times New Roman" w:cs="Times New Roman"/>
          <w:color w:val="000000" w:themeColor="text1"/>
          <w:sz w:val="24"/>
          <w:szCs w:val="24"/>
          <w:lang w:val="fr-FR"/>
        </w:rPr>
        <w:t xml:space="preserve"> Pope, D. G., Pope, J. C. (2015). </w:t>
      </w:r>
      <w:r w:rsidRPr="008B4153">
        <w:rPr>
          <w:rFonts w:ascii="Times New Roman" w:hAnsi="Times New Roman" w:cs="Times New Roman"/>
          <w:color w:val="000000" w:themeColor="text1"/>
          <w:sz w:val="24"/>
          <w:szCs w:val="24"/>
          <w:lang w:val="en-US"/>
        </w:rPr>
        <w:t xml:space="preserve">When Walmart comes to town: Always low housing prices? Always?. </w:t>
      </w:r>
      <w:r w:rsidRPr="008B4153">
        <w:rPr>
          <w:rFonts w:ascii="Times New Roman" w:hAnsi="Times New Roman" w:cs="Times New Roman"/>
          <w:i/>
          <w:color w:val="000000" w:themeColor="text1"/>
          <w:sz w:val="24"/>
          <w:szCs w:val="24"/>
          <w:lang w:val="en-US"/>
        </w:rPr>
        <w:t xml:space="preserve">Journal of Urban Economics, </w:t>
      </w:r>
      <w:r w:rsidRPr="008B4153">
        <w:rPr>
          <w:rFonts w:ascii="Times New Roman" w:hAnsi="Times New Roman" w:cs="Times New Roman"/>
          <w:color w:val="000000" w:themeColor="text1"/>
          <w:sz w:val="24"/>
          <w:szCs w:val="24"/>
          <w:lang w:val="en-US"/>
        </w:rPr>
        <w:t xml:space="preserve">87, 1-13. Retrieved from </w:t>
      </w:r>
      <w:hyperlink r:id="rId11" w:history="1">
        <w:r w:rsidRPr="008B4153">
          <w:rPr>
            <w:rStyle w:val="Hyperlink"/>
            <w:rFonts w:ascii="Times New Roman" w:hAnsi="Times New Roman" w:cs="Times New Roman"/>
            <w:color w:val="000000" w:themeColor="text1"/>
            <w:sz w:val="24"/>
            <w:szCs w:val="24"/>
            <w:u w:val="none"/>
          </w:rPr>
          <w:t>https://www.sciencedirect.com/science/article/pii/S0094119014000795</w:t>
        </w:r>
      </w:hyperlink>
      <w:r w:rsidRPr="008B4153">
        <w:rPr>
          <w:rFonts w:ascii="Times New Roman" w:hAnsi="Times New Roman" w:cs="Times New Roman"/>
          <w:i/>
          <w:sz w:val="24"/>
          <w:szCs w:val="24"/>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424945"/>
      <w:docPartObj>
        <w:docPartGallery w:val="Page Numbers (Bottom of Page)"/>
        <w:docPartUnique/>
      </w:docPartObj>
    </w:sdtPr>
    <w:sdtContent>
      <w:p w14:paraId="760334A9" w14:textId="77777777" w:rsidR="00C7275A" w:rsidRDefault="00C7275A" w:rsidP="00C727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0826CF" w14:textId="77777777" w:rsidR="00C7275A" w:rsidRDefault="00C7275A" w:rsidP="006D71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463644"/>
      <w:docPartObj>
        <w:docPartGallery w:val="Page Numbers (Bottom of Page)"/>
        <w:docPartUnique/>
      </w:docPartObj>
    </w:sdtPr>
    <w:sdtContent>
      <w:p w14:paraId="7BE16170" w14:textId="77777777" w:rsidR="00C7275A" w:rsidRDefault="00C7275A" w:rsidP="00C727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63F602" w14:textId="77777777" w:rsidR="00C7275A" w:rsidRPr="006D717E" w:rsidRDefault="00C7275A" w:rsidP="00B311E6">
    <w:pPr>
      <w:pStyle w:val="Footer"/>
      <w:ind w:right="288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A66E" w14:textId="77777777" w:rsidR="00592FB6" w:rsidRDefault="00592FB6" w:rsidP="006D717E">
      <w:pPr>
        <w:spacing w:line="240" w:lineRule="auto"/>
      </w:pPr>
      <w:r>
        <w:separator/>
      </w:r>
    </w:p>
  </w:footnote>
  <w:footnote w:type="continuationSeparator" w:id="0">
    <w:p w14:paraId="155F69F5" w14:textId="77777777" w:rsidR="00592FB6" w:rsidRDefault="00592FB6" w:rsidP="006D717E">
      <w:pPr>
        <w:spacing w:line="240" w:lineRule="auto"/>
      </w:pPr>
      <w:r>
        <w:continuationSeparator/>
      </w:r>
    </w:p>
  </w:footnote>
  <w:footnote w:id="1">
    <w:p w14:paraId="0ABB77F6" w14:textId="77777777" w:rsidR="00C7275A" w:rsidRPr="006D717E" w:rsidRDefault="00C7275A" w:rsidP="00B311E6">
      <w:pPr>
        <w:pStyle w:val="Footer"/>
        <w:ind w:right="2880"/>
        <w:rPr>
          <w:rFonts w:ascii="Times New Roman" w:hAnsi="Times New Roman" w:cs="Times New Roman"/>
        </w:rPr>
      </w:pPr>
      <w:r>
        <w:rPr>
          <w:rStyle w:val="FootnoteReference"/>
        </w:rPr>
        <w:footnoteRef/>
      </w:r>
      <w:r>
        <w:t xml:space="preserve"> </w:t>
      </w:r>
      <w:r w:rsidRPr="006D717E">
        <w:rPr>
          <w:rFonts w:ascii="Times New Roman" w:hAnsi="Times New Roman" w:cs="Times New Roman"/>
        </w:rPr>
        <w:t>the only occasion where nonmembers can enter a temple is the Temple Open House that occurs in the couple of months before the dedication</w:t>
      </w:r>
      <w:r>
        <w:rPr>
          <w:rFonts w:ascii="Times New Roman" w:hAnsi="Times New Roman" w:cs="Times New Roman"/>
        </w:rPr>
        <w:t xml:space="preserve"> (or rededication in the ca</w:t>
      </w:r>
      <w:r w:rsidRPr="006D717E">
        <w:rPr>
          <w:rFonts w:ascii="Times New Roman" w:hAnsi="Times New Roman" w:cs="Times New Roman"/>
        </w:rPr>
        <w:t xml:space="preserve">se of extensive renovation) of the temple. </w:t>
      </w:r>
    </w:p>
    <w:p w14:paraId="54F5CFD0" w14:textId="77777777" w:rsidR="00C7275A" w:rsidRPr="00B311E6" w:rsidRDefault="00C7275A">
      <w:pPr>
        <w:pStyle w:val="FootnoteText"/>
      </w:pPr>
    </w:p>
  </w:footnote>
  <w:footnote w:id="2">
    <w:p w14:paraId="75324849" w14:textId="77777777" w:rsidR="00967A29" w:rsidRPr="00967A29" w:rsidRDefault="00967A29" w:rsidP="00967A29">
      <w:pPr>
        <w:pStyle w:val="FootnoteText"/>
        <w:ind w:right="4410"/>
        <w:rPr>
          <w:lang w:val="en-US"/>
        </w:rPr>
      </w:pPr>
      <w:r>
        <w:rPr>
          <w:rStyle w:val="FootnoteReference"/>
        </w:rPr>
        <w:footnoteRef/>
      </w:r>
      <w:r>
        <w:t xml:space="preserve"> </w:t>
      </w:r>
      <w:r>
        <w:rPr>
          <w:lang w:val="en-US"/>
        </w:rPr>
        <w:t xml:space="preserve">Column (1) contains the results from our original regression using only the treatment (within 0.75 miles) and the single control (0.75 – 1.25 miles).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0E47"/>
    <w:multiLevelType w:val="multilevel"/>
    <w:tmpl w:val="C654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49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3FD"/>
    <w:rsid w:val="00026CF9"/>
    <w:rsid w:val="0007622B"/>
    <w:rsid w:val="000D5FEB"/>
    <w:rsid w:val="00105187"/>
    <w:rsid w:val="001477E6"/>
    <w:rsid w:val="001F057E"/>
    <w:rsid w:val="002463FD"/>
    <w:rsid w:val="00253748"/>
    <w:rsid w:val="002636BD"/>
    <w:rsid w:val="00264AE8"/>
    <w:rsid w:val="002651D6"/>
    <w:rsid w:val="00317A82"/>
    <w:rsid w:val="00380EAA"/>
    <w:rsid w:val="003B1B46"/>
    <w:rsid w:val="00401AC8"/>
    <w:rsid w:val="00417DFC"/>
    <w:rsid w:val="0056680B"/>
    <w:rsid w:val="00592FB6"/>
    <w:rsid w:val="00650527"/>
    <w:rsid w:val="00656C9E"/>
    <w:rsid w:val="006D717E"/>
    <w:rsid w:val="006E534E"/>
    <w:rsid w:val="0070371A"/>
    <w:rsid w:val="007433AF"/>
    <w:rsid w:val="007509DB"/>
    <w:rsid w:val="00750D31"/>
    <w:rsid w:val="0078172D"/>
    <w:rsid w:val="007E1F88"/>
    <w:rsid w:val="008B4153"/>
    <w:rsid w:val="008D60EF"/>
    <w:rsid w:val="008F4E89"/>
    <w:rsid w:val="00925825"/>
    <w:rsid w:val="009503F8"/>
    <w:rsid w:val="00967A29"/>
    <w:rsid w:val="009B1CD0"/>
    <w:rsid w:val="00A225C6"/>
    <w:rsid w:val="00B311E6"/>
    <w:rsid w:val="00B65FB1"/>
    <w:rsid w:val="00C4200C"/>
    <w:rsid w:val="00C4340F"/>
    <w:rsid w:val="00C7275A"/>
    <w:rsid w:val="00CE140A"/>
    <w:rsid w:val="00CF3A22"/>
    <w:rsid w:val="00D20DAE"/>
    <w:rsid w:val="00DA6612"/>
    <w:rsid w:val="00DE5F2E"/>
    <w:rsid w:val="00E06572"/>
    <w:rsid w:val="00E91094"/>
    <w:rsid w:val="00ED05D8"/>
    <w:rsid w:val="00F56A6A"/>
    <w:rsid w:val="00F8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4DC6"/>
  <w15:docId w15:val="{A5F52CA6-FEE2-D84E-910E-E7DD48DF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5F2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5F2E"/>
    <w:rPr>
      <w:rFonts w:ascii="Times New Roman" w:hAnsi="Times New Roman" w:cs="Times New Roman"/>
      <w:sz w:val="18"/>
      <w:szCs w:val="18"/>
    </w:rPr>
  </w:style>
  <w:style w:type="paragraph" w:styleId="NoSpacing">
    <w:name w:val="No Spacing"/>
    <w:link w:val="NoSpacingChar"/>
    <w:uiPriority w:val="1"/>
    <w:qFormat/>
    <w:rsid w:val="00DE5F2E"/>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DE5F2E"/>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6D717E"/>
    <w:pPr>
      <w:tabs>
        <w:tab w:val="center" w:pos="4680"/>
        <w:tab w:val="right" w:pos="9360"/>
      </w:tabs>
      <w:spacing w:line="240" w:lineRule="auto"/>
    </w:pPr>
  </w:style>
  <w:style w:type="character" w:customStyle="1" w:styleId="FooterChar">
    <w:name w:val="Footer Char"/>
    <w:basedOn w:val="DefaultParagraphFont"/>
    <w:link w:val="Footer"/>
    <w:uiPriority w:val="99"/>
    <w:rsid w:val="006D717E"/>
  </w:style>
  <w:style w:type="character" w:styleId="PageNumber">
    <w:name w:val="page number"/>
    <w:basedOn w:val="DefaultParagraphFont"/>
    <w:uiPriority w:val="99"/>
    <w:semiHidden/>
    <w:unhideWhenUsed/>
    <w:rsid w:val="006D717E"/>
  </w:style>
  <w:style w:type="paragraph" w:styleId="Header">
    <w:name w:val="header"/>
    <w:basedOn w:val="Normal"/>
    <w:link w:val="HeaderChar"/>
    <w:uiPriority w:val="99"/>
    <w:unhideWhenUsed/>
    <w:rsid w:val="006D717E"/>
    <w:pPr>
      <w:tabs>
        <w:tab w:val="center" w:pos="4680"/>
        <w:tab w:val="right" w:pos="9360"/>
      </w:tabs>
      <w:spacing w:line="240" w:lineRule="auto"/>
    </w:pPr>
  </w:style>
  <w:style w:type="character" w:customStyle="1" w:styleId="HeaderChar">
    <w:name w:val="Header Char"/>
    <w:basedOn w:val="DefaultParagraphFont"/>
    <w:link w:val="Header"/>
    <w:uiPriority w:val="99"/>
    <w:rsid w:val="006D717E"/>
  </w:style>
  <w:style w:type="paragraph" w:styleId="FootnoteText">
    <w:name w:val="footnote text"/>
    <w:basedOn w:val="Normal"/>
    <w:link w:val="FootnoteTextChar"/>
    <w:uiPriority w:val="99"/>
    <w:semiHidden/>
    <w:unhideWhenUsed/>
    <w:rsid w:val="00B311E6"/>
    <w:pPr>
      <w:spacing w:line="240" w:lineRule="auto"/>
    </w:pPr>
    <w:rPr>
      <w:sz w:val="20"/>
      <w:szCs w:val="20"/>
    </w:rPr>
  </w:style>
  <w:style w:type="character" w:customStyle="1" w:styleId="FootnoteTextChar">
    <w:name w:val="Footnote Text Char"/>
    <w:basedOn w:val="DefaultParagraphFont"/>
    <w:link w:val="FootnoteText"/>
    <w:uiPriority w:val="99"/>
    <w:semiHidden/>
    <w:rsid w:val="00B311E6"/>
    <w:rPr>
      <w:sz w:val="20"/>
      <w:szCs w:val="20"/>
    </w:rPr>
  </w:style>
  <w:style w:type="character" w:styleId="FootnoteReference">
    <w:name w:val="footnote reference"/>
    <w:basedOn w:val="DefaultParagraphFont"/>
    <w:uiPriority w:val="99"/>
    <w:semiHidden/>
    <w:unhideWhenUsed/>
    <w:rsid w:val="00B311E6"/>
    <w:rPr>
      <w:vertAlign w:val="superscript"/>
    </w:rPr>
  </w:style>
  <w:style w:type="character" w:styleId="PlaceholderText">
    <w:name w:val="Placeholder Text"/>
    <w:basedOn w:val="DefaultParagraphFont"/>
    <w:uiPriority w:val="99"/>
    <w:semiHidden/>
    <w:rsid w:val="00C4200C"/>
    <w:rPr>
      <w:color w:val="808080"/>
    </w:rPr>
  </w:style>
  <w:style w:type="table" w:styleId="PlainTable3">
    <w:name w:val="Plain Table 3"/>
    <w:basedOn w:val="TableNormal"/>
    <w:uiPriority w:val="43"/>
    <w:rsid w:val="00F838E8"/>
    <w:pPr>
      <w:spacing w:line="240" w:lineRule="auto"/>
    </w:pPr>
    <w:rPr>
      <w:rFonts w:asciiTheme="minorHAnsi" w:eastAsiaTheme="minorEastAsia" w:hAnsiTheme="minorHAnsi" w:cstheme="minorBidi"/>
      <w:lang w:val="en-US"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unhideWhenUsed/>
    <w:rsid w:val="00253748"/>
    <w:pPr>
      <w:spacing w:line="240" w:lineRule="auto"/>
    </w:pPr>
    <w:rPr>
      <w:sz w:val="20"/>
      <w:szCs w:val="20"/>
    </w:rPr>
  </w:style>
  <w:style w:type="character" w:customStyle="1" w:styleId="EndnoteTextChar">
    <w:name w:val="Endnote Text Char"/>
    <w:basedOn w:val="DefaultParagraphFont"/>
    <w:link w:val="EndnoteText"/>
    <w:uiPriority w:val="99"/>
    <w:rsid w:val="00253748"/>
    <w:rPr>
      <w:sz w:val="20"/>
      <w:szCs w:val="20"/>
    </w:rPr>
  </w:style>
  <w:style w:type="character" w:styleId="EndnoteReference">
    <w:name w:val="endnote reference"/>
    <w:basedOn w:val="DefaultParagraphFont"/>
    <w:uiPriority w:val="99"/>
    <w:semiHidden/>
    <w:unhideWhenUsed/>
    <w:rsid w:val="00253748"/>
    <w:rPr>
      <w:vertAlign w:val="superscript"/>
    </w:rPr>
  </w:style>
  <w:style w:type="character" w:styleId="Hyperlink">
    <w:name w:val="Hyperlink"/>
    <w:basedOn w:val="DefaultParagraphFont"/>
    <w:uiPriority w:val="99"/>
    <w:unhideWhenUsed/>
    <w:rsid w:val="008D60EF"/>
    <w:rPr>
      <w:color w:val="0000FF" w:themeColor="hyperlink"/>
      <w:u w:val="single"/>
    </w:rPr>
  </w:style>
  <w:style w:type="character" w:styleId="UnresolvedMention">
    <w:name w:val="Unresolved Mention"/>
    <w:basedOn w:val="DefaultParagraphFont"/>
    <w:uiPriority w:val="99"/>
    <w:semiHidden/>
    <w:unhideWhenUsed/>
    <w:rsid w:val="008D60EF"/>
    <w:rPr>
      <w:color w:val="808080"/>
      <w:shd w:val="clear" w:color="auto" w:fill="E6E6E6"/>
    </w:rPr>
  </w:style>
  <w:style w:type="paragraph" w:styleId="NormalWeb">
    <w:name w:val="Normal (Web)"/>
    <w:basedOn w:val="Normal"/>
    <w:uiPriority w:val="99"/>
    <w:unhideWhenUsed/>
    <w:rsid w:val="00A225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A225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854">
      <w:bodyDiv w:val="1"/>
      <w:marLeft w:val="0"/>
      <w:marRight w:val="0"/>
      <w:marTop w:val="0"/>
      <w:marBottom w:val="0"/>
      <w:divBdr>
        <w:top w:val="none" w:sz="0" w:space="0" w:color="auto"/>
        <w:left w:val="none" w:sz="0" w:space="0" w:color="auto"/>
        <w:bottom w:val="none" w:sz="0" w:space="0" w:color="auto"/>
        <w:right w:val="none" w:sz="0" w:space="0" w:color="auto"/>
      </w:divBdr>
    </w:div>
    <w:div w:id="213782995">
      <w:bodyDiv w:val="1"/>
      <w:marLeft w:val="0"/>
      <w:marRight w:val="0"/>
      <w:marTop w:val="0"/>
      <w:marBottom w:val="0"/>
      <w:divBdr>
        <w:top w:val="none" w:sz="0" w:space="0" w:color="auto"/>
        <w:left w:val="none" w:sz="0" w:space="0" w:color="auto"/>
        <w:bottom w:val="none" w:sz="0" w:space="0" w:color="auto"/>
        <w:right w:val="none" w:sz="0" w:space="0" w:color="auto"/>
      </w:divBdr>
    </w:div>
    <w:div w:id="332999049">
      <w:bodyDiv w:val="1"/>
      <w:marLeft w:val="0"/>
      <w:marRight w:val="0"/>
      <w:marTop w:val="0"/>
      <w:marBottom w:val="0"/>
      <w:divBdr>
        <w:top w:val="none" w:sz="0" w:space="0" w:color="auto"/>
        <w:left w:val="none" w:sz="0" w:space="0" w:color="auto"/>
        <w:bottom w:val="none" w:sz="0" w:space="0" w:color="auto"/>
        <w:right w:val="none" w:sz="0" w:space="0" w:color="auto"/>
      </w:divBdr>
    </w:div>
    <w:div w:id="339166800">
      <w:bodyDiv w:val="1"/>
      <w:marLeft w:val="0"/>
      <w:marRight w:val="0"/>
      <w:marTop w:val="0"/>
      <w:marBottom w:val="0"/>
      <w:divBdr>
        <w:top w:val="none" w:sz="0" w:space="0" w:color="auto"/>
        <w:left w:val="none" w:sz="0" w:space="0" w:color="auto"/>
        <w:bottom w:val="none" w:sz="0" w:space="0" w:color="auto"/>
        <w:right w:val="none" w:sz="0" w:space="0" w:color="auto"/>
      </w:divBdr>
    </w:div>
    <w:div w:id="395251110">
      <w:bodyDiv w:val="1"/>
      <w:marLeft w:val="0"/>
      <w:marRight w:val="0"/>
      <w:marTop w:val="0"/>
      <w:marBottom w:val="0"/>
      <w:divBdr>
        <w:top w:val="none" w:sz="0" w:space="0" w:color="auto"/>
        <w:left w:val="none" w:sz="0" w:space="0" w:color="auto"/>
        <w:bottom w:val="none" w:sz="0" w:space="0" w:color="auto"/>
        <w:right w:val="none" w:sz="0" w:space="0" w:color="auto"/>
      </w:divBdr>
    </w:div>
    <w:div w:id="465315761">
      <w:bodyDiv w:val="1"/>
      <w:marLeft w:val="0"/>
      <w:marRight w:val="0"/>
      <w:marTop w:val="0"/>
      <w:marBottom w:val="0"/>
      <w:divBdr>
        <w:top w:val="none" w:sz="0" w:space="0" w:color="auto"/>
        <w:left w:val="none" w:sz="0" w:space="0" w:color="auto"/>
        <w:bottom w:val="none" w:sz="0" w:space="0" w:color="auto"/>
        <w:right w:val="none" w:sz="0" w:space="0" w:color="auto"/>
      </w:divBdr>
    </w:div>
    <w:div w:id="810706822">
      <w:bodyDiv w:val="1"/>
      <w:marLeft w:val="0"/>
      <w:marRight w:val="0"/>
      <w:marTop w:val="0"/>
      <w:marBottom w:val="0"/>
      <w:divBdr>
        <w:top w:val="none" w:sz="0" w:space="0" w:color="auto"/>
        <w:left w:val="none" w:sz="0" w:space="0" w:color="auto"/>
        <w:bottom w:val="none" w:sz="0" w:space="0" w:color="auto"/>
        <w:right w:val="none" w:sz="0" w:space="0" w:color="auto"/>
      </w:divBdr>
    </w:div>
    <w:div w:id="1127239590">
      <w:bodyDiv w:val="1"/>
      <w:marLeft w:val="0"/>
      <w:marRight w:val="0"/>
      <w:marTop w:val="0"/>
      <w:marBottom w:val="0"/>
      <w:divBdr>
        <w:top w:val="none" w:sz="0" w:space="0" w:color="auto"/>
        <w:left w:val="none" w:sz="0" w:space="0" w:color="auto"/>
        <w:bottom w:val="none" w:sz="0" w:space="0" w:color="auto"/>
        <w:right w:val="none" w:sz="0" w:space="0" w:color="auto"/>
      </w:divBdr>
    </w:div>
    <w:div w:id="1229152120">
      <w:bodyDiv w:val="1"/>
      <w:marLeft w:val="0"/>
      <w:marRight w:val="0"/>
      <w:marTop w:val="0"/>
      <w:marBottom w:val="0"/>
      <w:divBdr>
        <w:top w:val="none" w:sz="0" w:space="0" w:color="auto"/>
        <w:left w:val="none" w:sz="0" w:space="0" w:color="auto"/>
        <w:bottom w:val="none" w:sz="0" w:space="0" w:color="auto"/>
        <w:right w:val="none" w:sz="0" w:space="0" w:color="auto"/>
      </w:divBdr>
    </w:div>
    <w:div w:id="1451588986">
      <w:bodyDiv w:val="1"/>
      <w:marLeft w:val="0"/>
      <w:marRight w:val="0"/>
      <w:marTop w:val="0"/>
      <w:marBottom w:val="0"/>
      <w:divBdr>
        <w:top w:val="none" w:sz="0" w:space="0" w:color="auto"/>
        <w:left w:val="none" w:sz="0" w:space="0" w:color="auto"/>
        <w:bottom w:val="none" w:sz="0" w:space="0" w:color="auto"/>
        <w:right w:val="none" w:sz="0" w:space="0" w:color="auto"/>
      </w:divBdr>
    </w:div>
    <w:div w:id="1467429192">
      <w:bodyDiv w:val="1"/>
      <w:marLeft w:val="0"/>
      <w:marRight w:val="0"/>
      <w:marTop w:val="0"/>
      <w:marBottom w:val="0"/>
      <w:divBdr>
        <w:top w:val="none" w:sz="0" w:space="0" w:color="auto"/>
        <w:left w:val="none" w:sz="0" w:space="0" w:color="auto"/>
        <w:bottom w:val="none" w:sz="0" w:space="0" w:color="auto"/>
        <w:right w:val="none" w:sz="0" w:space="0" w:color="auto"/>
      </w:divBdr>
    </w:div>
    <w:div w:id="1482960545">
      <w:bodyDiv w:val="1"/>
      <w:marLeft w:val="0"/>
      <w:marRight w:val="0"/>
      <w:marTop w:val="0"/>
      <w:marBottom w:val="0"/>
      <w:divBdr>
        <w:top w:val="none" w:sz="0" w:space="0" w:color="auto"/>
        <w:left w:val="none" w:sz="0" w:space="0" w:color="auto"/>
        <w:bottom w:val="none" w:sz="0" w:space="0" w:color="auto"/>
        <w:right w:val="none" w:sz="0" w:space="0" w:color="auto"/>
      </w:divBdr>
    </w:div>
    <w:div w:id="1608613156">
      <w:bodyDiv w:val="1"/>
      <w:marLeft w:val="0"/>
      <w:marRight w:val="0"/>
      <w:marTop w:val="0"/>
      <w:marBottom w:val="0"/>
      <w:divBdr>
        <w:top w:val="none" w:sz="0" w:space="0" w:color="auto"/>
        <w:left w:val="none" w:sz="0" w:space="0" w:color="auto"/>
        <w:bottom w:val="none" w:sz="0" w:space="0" w:color="auto"/>
        <w:right w:val="none" w:sz="0" w:space="0" w:color="auto"/>
      </w:divBdr>
    </w:div>
    <w:div w:id="1727993940">
      <w:bodyDiv w:val="1"/>
      <w:marLeft w:val="0"/>
      <w:marRight w:val="0"/>
      <w:marTop w:val="0"/>
      <w:marBottom w:val="0"/>
      <w:divBdr>
        <w:top w:val="none" w:sz="0" w:space="0" w:color="auto"/>
        <w:left w:val="none" w:sz="0" w:space="0" w:color="auto"/>
        <w:bottom w:val="none" w:sz="0" w:space="0" w:color="auto"/>
        <w:right w:val="none" w:sz="0" w:space="0" w:color="auto"/>
      </w:divBdr>
    </w:div>
    <w:div w:id="1763841047">
      <w:bodyDiv w:val="1"/>
      <w:marLeft w:val="0"/>
      <w:marRight w:val="0"/>
      <w:marTop w:val="0"/>
      <w:marBottom w:val="0"/>
      <w:divBdr>
        <w:top w:val="none" w:sz="0" w:space="0" w:color="auto"/>
        <w:left w:val="none" w:sz="0" w:space="0" w:color="auto"/>
        <w:bottom w:val="none" w:sz="0" w:space="0" w:color="auto"/>
        <w:right w:val="none" w:sz="0" w:space="0" w:color="auto"/>
      </w:divBdr>
    </w:div>
    <w:div w:id="1892768066">
      <w:bodyDiv w:val="1"/>
      <w:marLeft w:val="0"/>
      <w:marRight w:val="0"/>
      <w:marTop w:val="0"/>
      <w:marBottom w:val="0"/>
      <w:divBdr>
        <w:top w:val="none" w:sz="0" w:space="0" w:color="auto"/>
        <w:left w:val="none" w:sz="0" w:space="0" w:color="auto"/>
        <w:bottom w:val="none" w:sz="0" w:space="0" w:color="auto"/>
        <w:right w:val="none" w:sz="0" w:space="0" w:color="auto"/>
      </w:divBdr>
    </w:div>
    <w:div w:id="2078622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earth.google.com/web" TargetMode="External"/><Relationship Id="rId3" Type="http://schemas.openxmlformats.org/officeDocument/2006/relationships/hyperlink" Target="https://kutv.com/news/local/will-new-temple-increase-home-values-in-tooele-county-experts-say-maybe" TargetMode="External"/><Relationship Id="rId7" Type="http://schemas.openxmlformats.org/officeDocument/2006/relationships/hyperlink" Target="https://churchofjesuschristtemples.org/statistics/dimensions/" TargetMode="External"/><Relationship Id="rId2" Type="http://schemas.openxmlformats.org/officeDocument/2006/relationships/hyperlink" Target="https://www.deseret.com/2007/12/22/20060504/as-lds-temples-rise-home-values-do-too" TargetMode="External"/><Relationship Id="rId1" Type="http://schemas.openxmlformats.org/officeDocument/2006/relationships/hyperlink" Target="https://universe.byu.edu/2019/10/08/new-temples-bring-excitement-and-higher-housing-prices/" TargetMode="External"/><Relationship Id="rId6" Type="http://schemas.openxmlformats.org/officeDocument/2006/relationships/hyperlink" Target="https://www.churchofjesuschrist.org/temples/list?lang=eng" TargetMode="External"/><Relationship Id="rId11" Type="http://schemas.openxmlformats.org/officeDocument/2006/relationships/hyperlink" Target="https://www.sciencedirect.com/science/article/pii/S0094119014000795" TargetMode="External"/><Relationship Id="rId5" Type="http://schemas.openxmlformats.org/officeDocument/2006/relationships/hyperlink" Target="https://www.econstar.eu/bitstream/10419/92962/1/769643752.pdf" TargetMode="External"/><Relationship Id="rId10" Type="http://schemas.openxmlformats.org/officeDocument/2006/relationships/hyperlink" Target="https://www.census.gov/data/datasets/time-series/demo/popest/2010s-counties-total.html" TargetMode="External"/><Relationship Id="rId4" Type="http://schemas.openxmlformats.org/officeDocument/2006/relationships/hyperlink" Target="https://www.fairlatterdaysaints.org/wp-content/uploads/2011/12/danderson-the-impact-of-lds-temples.pdf" TargetMode="External"/><Relationship Id="rId9" Type="http://schemas.openxmlformats.org/officeDocument/2006/relationships/hyperlink" Target="https://zil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Pope 003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E29B1-CFF4-8548-B651-D2E3340F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3225</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Effect of building temples on surrounding housing prices</vt:lpstr>
    </vt:vector>
  </TitlesOfParts>
  <Company>Econ 398</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building temples on surrounding housing prices</dc:title>
  <dc:subject>A difference-in-differences analysis</dc:subject>
  <dc:creator>Chad Nelson and Adrienne Russell</dc:creator>
  <cp:lastModifiedBy>Chad Nelson</cp:lastModifiedBy>
  <cp:revision>12</cp:revision>
  <dcterms:created xsi:type="dcterms:W3CDTF">2022-12-06T23:07:00Z</dcterms:created>
  <dcterms:modified xsi:type="dcterms:W3CDTF">2023-05-09T20:36:00Z</dcterms:modified>
</cp:coreProperties>
</file>