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18C7" w14:textId="4E4BD2F4" w:rsidR="00B628B3" w:rsidRDefault="00DD2AB5" w:rsidP="00DD2AB5">
      <w:pPr>
        <w:spacing w:after="0" w:line="240" w:lineRule="auto"/>
        <w:jc w:val="right"/>
        <w:rPr>
          <w:lang w:val="en-US"/>
        </w:rPr>
      </w:pPr>
      <w:r>
        <w:rPr>
          <w:lang w:val="en-US"/>
        </w:rPr>
        <w:t>Chad Nelson</w:t>
      </w:r>
    </w:p>
    <w:p w14:paraId="4DE8AA37" w14:textId="5FB8137A" w:rsidR="00914A95" w:rsidRDefault="00914A95" w:rsidP="00DD2AB5">
      <w:pPr>
        <w:spacing w:after="0" w:line="240" w:lineRule="auto"/>
        <w:jc w:val="right"/>
        <w:rPr>
          <w:lang w:val="en-US"/>
        </w:rPr>
      </w:pPr>
      <w:r>
        <w:rPr>
          <w:lang w:val="en-US"/>
        </w:rPr>
        <w:t>ECON 450</w:t>
      </w:r>
    </w:p>
    <w:p w14:paraId="2AA836FD" w14:textId="75114321" w:rsidR="00DD2AB5" w:rsidRPr="00EB6BE3" w:rsidRDefault="00DD2AB5" w:rsidP="00950D8D">
      <w:pPr>
        <w:spacing w:line="480" w:lineRule="auto"/>
        <w:jc w:val="center"/>
        <w:rPr>
          <w:b/>
          <w:bCs/>
          <w:lang w:val="en-US"/>
        </w:rPr>
      </w:pPr>
      <w:r w:rsidRPr="00EB6BE3">
        <w:rPr>
          <w:b/>
          <w:bCs/>
          <w:lang w:val="en-US"/>
        </w:rPr>
        <w:t>Testing the CAPM</w:t>
      </w:r>
    </w:p>
    <w:p w14:paraId="324943A6" w14:textId="35015667" w:rsidR="00DD2AB5" w:rsidRDefault="00DD2AB5" w:rsidP="00950D8D">
      <w:pPr>
        <w:spacing w:line="480" w:lineRule="auto"/>
        <w:rPr>
          <w:b/>
          <w:bCs/>
          <w:lang w:val="en-US"/>
        </w:rPr>
      </w:pPr>
      <w:r w:rsidRPr="00EB6BE3">
        <w:rPr>
          <w:b/>
          <w:bCs/>
          <w:lang w:val="en-US"/>
        </w:rPr>
        <w:t>The CAPM and Its Implications</w:t>
      </w:r>
    </w:p>
    <w:p w14:paraId="25528B1A" w14:textId="0B825AD9" w:rsidR="00531FC8" w:rsidRPr="00B96A32" w:rsidRDefault="00B96A32" w:rsidP="00B96A32">
      <w:pPr>
        <w:spacing w:line="480" w:lineRule="auto"/>
        <w:rPr>
          <w:lang w:val="en-US"/>
        </w:rPr>
      </w:pPr>
      <w:r w:rsidRPr="00B96A32">
        <w:rPr>
          <w:lang w:val="en-US"/>
        </w:rPr>
        <w:t xml:space="preserve">The Capital Asset Pricing Model (CAPM) is a financial model that is used to determine what the expected return should be for a stock based on that stock's level of riskiness. Investors expect to be compensated for risk and the price of every stock is a function of the risk-free rate and the risk premium. The risk-free rate is known but the appropriate risk premium for each stock is not always obvious. To understand what the risk premium for a given stock should be, </w:t>
      </w:r>
      <w:proofErr w:type="gramStart"/>
      <w:r w:rsidRPr="00B96A32">
        <w:rPr>
          <w:lang w:val="en-US"/>
        </w:rPr>
        <w:t>it's</w:t>
      </w:r>
      <w:proofErr w:type="gramEnd"/>
      <w:r w:rsidRPr="00B96A32">
        <w:rPr>
          <w:lang w:val="en-US"/>
        </w:rPr>
        <w:t xml:space="preserve"> useful to think about the two sources of risk each stock faces: idiosyncratic or firm-specific risk, and market risk.</w:t>
      </w:r>
    </w:p>
    <w:p w14:paraId="3E40CB5F" w14:textId="04FA25A2" w:rsidR="00531FC8" w:rsidRPr="00B96A32" w:rsidRDefault="00B96A32" w:rsidP="00B96A32">
      <w:pPr>
        <w:spacing w:line="480" w:lineRule="auto"/>
        <w:rPr>
          <w:lang w:val="en-US"/>
        </w:rPr>
      </w:pPr>
      <w:r w:rsidRPr="00B96A32">
        <w:rPr>
          <w:lang w:val="en-US"/>
        </w:rPr>
        <w:t>Firm-specific risk is the risk that is unique to each firm and is determined by factors such as company management, the competitive landscape, and</w:t>
      </w:r>
      <w:r w:rsidR="00351675">
        <w:rPr>
          <w:lang w:val="en-US"/>
        </w:rPr>
        <w:t xml:space="preserve"> firm-specific</w:t>
      </w:r>
      <w:r w:rsidRPr="00B96A32">
        <w:rPr>
          <w:lang w:val="en-US"/>
        </w:rPr>
        <w:t xml:space="preserve"> business operations. Market risk is the risk that comes from macro variables such as interest rates, the state of the economy, and political forces. Firm-specific risk can be eliminated by increasing the number of assets in a portfolio but the market risk cannot be eliminated. Consequently, the CAPM asserts that because individuals are mean-variance optimizers</w:t>
      </w:r>
      <w:r w:rsidR="002645B8">
        <w:rPr>
          <w:rStyle w:val="FootnoteReference"/>
          <w:lang w:val="en-US"/>
        </w:rPr>
        <w:footnoteReference w:id="1"/>
      </w:r>
      <w:r w:rsidRPr="00B96A32">
        <w:rPr>
          <w:lang w:val="en-US"/>
        </w:rPr>
        <w:t>, they will opt for a well-diversified portfolio of stocks to eliminate firm-specific risk and therefore, the only factor that should determine the risk premium for a given s</w:t>
      </w:r>
      <w:r w:rsidR="008A3AFF">
        <w:rPr>
          <w:lang w:val="en-US"/>
        </w:rPr>
        <w:t xml:space="preserve">tock </w:t>
      </w:r>
      <w:r w:rsidRPr="00B96A32">
        <w:rPr>
          <w:lang w:val="en-US"/>
        </w:rPr>
        <w:t xml:space="preserve">is </w:t>
      </w:r>
      <w:r w:rsidR="008A3AFF">
        <w:rPr>
          <w:lang w:val="en-US"/>
        </w:rPr>
        <w:t>how sensitive that stock is to the prevailing market risk</w:t>
      </w:r>
      <w:r w:rsidRPr="00B96A32">
        <w:rPr>
          <w:lang w:val="en-US"/>
        </w:rPr>
        <w:t xml:space="preserve">. The </w:t>
      </w:r>
      <w:r w:rsidR="004E126D">
        <w:rPr>
          <w:lang w:val="en-US"/>
        </w:rPr>
        <w:t xml:space="preserve">sensitivity to </w:t>
      </w:r>
      <w:r w:rsidRPr="00B96A32">
        <w:rPr>
          <w:lang w:val="en-US"/>
        </w:rPr>
        <w:t xml:space="preserve">market risk for a given </w:t>
      </w:r>
      <w:r w:rsidR="008A3AFF">
        <w:rPr>
          <w:lang w:val="en-US"/>
        </w:rPr>
        <w:t>stock</w:t>
      </w:r>
      <w:r w:rsidRPr="00B96A32">
        <w:rPr>
          <w:lang w:val="en-US"/>
        </w:rPr>
        <w:t xml:space="preserve"> is </w:t>
      </w:r>
      <w:r w:rsidR="00351675">
        <w:rPr>
          <w:lang w:val="en-US"/>
        </w:rPr>
        <w:t>measured by the</w:t>
      </w:r>
      <w:r w:rsidRPr="00B96A32">
        <w:rPr>
          <w:lang w:val="en-US"/>
        </w:rPr>
        <w:t xml:space="preserve"> stock’s </w:t>
      </w:r>
      <w:r w:rsidR="00351675">
        <w:rPr>
          <w:lang w:val="en-US"/>
        </w:rPr>
        <w:t>b</w:t>
      </w:r>
      <w:r w:rsidRPr="00B96A32">
        <w:rPr>
          <w:lang w:val="en-US"/>
        </w:rPr>
        <w:t xml:space="preserve">eta. </w:t>
      </w:r>
      <w:r w:rsidR="00351675">
        <w:rPr>
          <w:lang w:val="en-US"/>
        </w:rPr>
        <w:t xml:space="preserve">The beta of a stock is defined as the covariance between the stocks return and the market </w:t>
      </w:r>
      <w:r w:rsidR="00351675">
        <w:rPr>
          <w:lang w:val="en-US"/>
        </w:rPr>
        <w:lastRenderedPageBreak/>
        <w:t>return divided by the variance of the market return</w:t>
      </w:r>
      <w:r w:rsidR="001579D9">
        <w:rPr>
          <w:lang w:val="en-U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lang w:val="en-US"/>
              </w:rPr>
              <m:t>)</m:t>
            </m:r>
          </m:num>
          <m:den>
            <m:r>
              <w:rPr>
                <w:rFonts w:ascii="Cambria Math" w:hAnsi="Cambria Math"/>
                <w:lang w:val="en-US"/>
              </w:rPr>
              <m:t>var(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lang w:val="en-US"/>
              </w:rPr>
              <m:t>)</m:t>
            </m:r>
          </m:den>
        </m:f>
      </m:oMath>
      <w:r w:rsidR="00351675">
        <w:rPr>
          <w:lang w:val="en-US"/>
        </w:rPr>
        <w:t xml:space="preserve">. </w:t>
      </w:r>
      <w:r w:rsidRPr="00B96A32">
        <w:rPr>
          <w:lang w:val="en-US"/>
        </w:rPr>
        <w:t>When the stock's beta is positive, the stock will perform well when the market performs well. When the beta is negative, the stock will perform well when the market is not performing well.</w:t>
      </w:r>
      <w:r w:rsidR="00A550DB">
        <w:rPr>
          <w:lang w:val="en-US"/>
        </w:rPr>
        <w:t xml:space="preserve"> Higher betas mean higher volatility and are therefore considered riskier stocks.</w:t>
      </w:r>
    </w:p>
    <w:p w14:paraId="5CC20D0C" w14:textId="366CBF78" w:rsidR="00531FC8" w:rsidRPr="002D74D2" w:rsidRDefault="00B96A32" w:rsidP="00950D8D">
      <w:pPr>
        <w:spacing w:line="480" w:lineRule="auto"/>
        <w:rPr>
          <w:lang w:val="en-US"/>
        </w:rPr>
      </w:pPr>
      <w:r w:rsidRPr="00B96A32">
        <w:rPr>
          <w:lang w:val="en-US"/>
        </w:rPr>
        <w:t xml:space="preserve">The </w:t>
      </w:r>
      <w:r w:rsidR="00131533">
        <w:rPr>
          <w:lang w:val="en-US"/>
        </w:rPr>
        <w:t xml:space="preserve">CAPM </w:t>
      </w:r>
      <w:r w:rsidRPr="00B96A32">
        <w:rPr>
          <w:lang w:val="en-US"/>
        </w:rPr>
        <w:t>make</w:t>
      </w:r>
      <w:r w:rsidR="008710DD">
        <w:rPr>
          <w:lang w:val="en-US"/>
        </w:rPr>
        <w:t>s</w:t>
      </w:r>
      <w:r w:rsidRPr="00B96A32">
        <w:rPr>
          <w:lang w:val="en-US"/>
        </w:rPr>
        <w:t xml:space="preserve"> sense intuitively but is it what we see in the real world? To answer that question, the CAPM can be tested empirically using data on the returns on stocks, the risk-free rate, and the market portfolio rate of return. If the CAPM holds, the only factor that should determine the risk premium for a stock is the stock’s beta</w:t>
      </w:r>
      <w:r w:rsidR="00131533">
        <w:rPr>
          <w:lang w:val="en-US"/>
        </w:rPr>
        <w:t>,</w:t>
      </w:r>
      <w:r w:rsidRPr="00B96A32">
        <w:rPr>
          <w:lang w:val="en-US"/>
        </w:rPr>
        <w:t xml:space="preserve"> or sensitivity to market risk.</w:t>
      </w:r>
    </w:p>
    <w:p w14:paraId="4E239138" w14:textId="23C46A53" w:rsidR="00DD2AB5" w:rsidRPr="00EB6BE3" w:rsidRDefault="00DD2AB5" w:rsidP="00950D8D">
      <w:pPr>
        <w:spacing w:line="480" w:lineRule="auto"/>
        <w:rPr>
          <w:b/>
          <w:bCs/>
          <w:lang w:val="en-US"/>
        </w:rPr>
      </w:pPr>
      <w:r w:rsidRPr="00EB6BE3">
        <w:rPr>
          <w:b/>
          <w:bCs/>
          <w:lang w:val="en-US"/>
        </w:rPr>
        <w:t>Testing the CAPM</w:t>
      </w:r>
    </w:p>
    <w:p w14:paraId="6A78313C" w14:textId="00401B87" w:rsidR="00531FC8" w:rsidRDefault="00AF581D" w:rsidP="00950D8D">
      <w:pPr>
        <w:spacing w:line="480" w:lineRule="auto"/>
        <w:rPr>
          <w:lang w:val="en-US"/>
        </w:rPr>
      </w:pPr>
      <w:r>
        <w:rPr>
          <w:lang w:val="en-US"/>
        </w:rPr>
        <w:t xml:space="preserve">To test the CAPM, I gathered monthly returns over the past 5 years (Jan 2018 - Dec 2022) of 100 quasi-randomly chosen stocks. </w:t>
      </w:r>
      <w:r w:rsidR="00954F2C">
        <w:rPr>
          <w:lang w:val="en-US"/>
        </w:rPr>
        <w:t xml:space="preserve">The sample was quasi-random because many of the stocks had incomplete information during that five-year span and needed to be replaced by stocks with complete information. I also gathered the </w:t>
      </w:r>
      <w:r w:rsidR="00843CFF">
        <w:rPr>
          <w:lang w:val="en-US"/>
        </w:rPr>
        <w:t>risk-free</w:t>
      </w:r>
      <w:r w:rsidR="00954F2C">
        <w:rPr>
          <w:lang w:val="en-US"/>
        </w:rPr>
        <w:t xml:space="preserve"> rate over that span and used the returns on the S&amp;P 500 as the </w:t>
      </w:r>
      <w:r w:rsidR="00E713A8">
        <w:rPr>
          <w:lang w:val="en-US"/>
        </w:rPr>
        <w:t>proxy market portfolio.</w:t>
      </w:r>
    </w:p>
    <w:p w14:paraId="2D2B6653" w14:textId="17EC2C9F" w:rsidR="00E713A8" w:rsidRDefault="00E713A8" w:rsidP="00950D8D">
      <w:pPr>
        <w:spacing w:line="480" w:lineRule="auto"/>
        <w:rPr>
          <w:lang w:val="en-US"/>
        </w:rPr>
      </w:pPr>
      <w:r>
        <w:rPr>
          <w:lang w:val="en-US"/>
        </w:rPr>
        <w:t xml:space="preserve">Testing the CAPM is a two-step process. A first pass regression is required to estimate the beta for each stock. This is done by estimating the following equation using OLS: </w:t>
      </w:r>
    </w:p>
    <w:p w14:paraId="7408DCF1" w14:textId="1310F6E0" w:rsidR="0036780C" w:rsidRPr="00E713A8" w:rsidRDefault="00000000" w:rsidP="00950D8D">
      <w:pPr>
        <w:spacing w:line="480" w:lineRule="auto"/>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ft</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m:t>
              </m:r>
            </m:sub>
          </m:sSub>
        </m:oMath>
      </m:oMathPara>
    </w:p>
    <w:p w14:paraId="64613ACD" w14:textId="6FD39946" w:rsidR="00E713A8" w:rsidRDefault="00E713A8" w:rsidP="00950D8D">
      <w:pPr>
        <w:spacing w:line="480" w:lineRule="auto"/>
        <w:rPr>
          <w:rFonts w:eastAsiaTheme="minorEastAsia"/>
          <w:lang w:val="en-US"/>
        </w:rPr>
      </w:pPr>
      <w:r>
        <w:rPr>
          <w:rFonts w:eastAsiaTheme="minorEastAsia"/>
          <w:lang w:val="en-US"/>
        </w:rPr>
        <w:t>After the beta for each stock is estimated, a second pass regression is required to test the hypothesis that the only factor that should influence the risk premium o</w:t>
      </w:r>
      <w:r w:rsidR="00843CFF">
        <w:rPr>
          <w:rFonts w:eastAsiaTheme="minorEastAsia"/>
          <w:lang w:val="en-US"/>
        </w:rPr>
        <w:t>f</w:t>
      </w:r>
      <w:r>
        <w:rPr>
          <w:rFonts w:eastAsiaTheme="minorEastAsia"/>
          <w:lang w:val="en-US"/>
        </w:rPr>
        <w:t xml:space="preserve"> an asset is the beta of that sto</w:t>
      </w:r>
      <w:r w:rsidR="00131533">
        <w:rPr>
          <w:rFonts w:eastAsiaTheme="minorEastAsia"/>
          <w:lang w:val="en-US"/>
        </w:rPr>
        <w:t>ck</w:t>
      </w:r>
      <w:r>
        <w:rPr>
          <w:rFonts w:eastAsiaTheme="minorEastAsia"/>
          <w:lang w:val="en-US"/>
        </w:rPr>
        <w:t>. The second pass regression equation is presented below</w:t>
      </w:r>
      <w:r w:rsidR="00131533">
        <w:rPr>
          <w:rFonts w:eastAsiaTheme="minorEastAsia"/>
          <w:lang w:val="en-US"/>
        </w:rPr>
        <w:t xml:space="preserve"> with </w:t>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1</m:t>
            </m:r>
          </m:sub>
        </m:sSub>
      </m:oMath>
      <w:r w:rsidR="00131533">
        <w:rPr>
          <w:rFonts w:eastAsiaTheme="minorEastAsia"/>
          <w:lang w:val="en-US"/>
        </w:rPr>
        <w:t xml:space="preserve"> being the coefficient of the stock’s beta variable and </w:t>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2</m:t>
            </m:r>
          </m:sub>
        </m:sSub>
      </m:oMath>
      <w:r w:rsidR="00131533">
        <w:rPr>
          <w:rFonts w:eastAsiaTheme="minorEastAsia"/>
          <w:lang w:val="en-US"/>
        </w:rPr>
        <w:t xml:space="preserve"> being the coefficient of the variance of the residual’s variable from our first pass regression</w:t>
      </w:r>
      <w:r>
        <w:rPr>
          <w:rFonts w:eastAsiaTheme="minorEastAsia"/>
          <w:lang w:val="en-US"/>
        </w:rPr>
        <w:t>:</w:t>
      </w:r>
    </w:p>
    <w:p w14:paraId="364886F6" w14:textId="4C7B401A" w:rsidR="00843CFF" w:rsidRPr="00E713A8" w:rsidRDefault="00000000" w:rsidP="00950D8D">
      <w:pPr>
        <w:spacing w:line="480" w:lineRule="auto"/>
        <w:rPr>
          <w:rFonts w:eastAsiaTheme="minorEastAsia"/>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f</m:t>
                  </m:r>
                </m:sub>
              </m:sSub>
            </m:e>
          </m:acc>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oMath>
      </m:oMathPara>
    </w:p>
    <w:p w14:paraId="5642F1E7" w14:textId="12357539" w:rsidR="00131533" w:rsidRDefault="003962D5" w:rsidP="00950D8D">
      <w:pPr>
        <w:spacing w:line="480" w:lineRule="auto"/>
        <w:rPr>
          <w:lang w:val="en-US"/>
        </w:rPr>
      </w:pPr>
      <w:r>
        <w:rPr>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1</m:t>
            </m:r>
          </m:sub>
        </m:sSub>
      </m:oMath>
      <w:r>
        <w:rPr>
          <w:rFonts w:eastAsiaTheme="minorEastAsia"/>
          <w:lang w:val="en-US"/>
        </w:rPr>
        <w:t xml:space="preserve"> =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f</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γ</m:t>
            </m:r>
          </m:e>
          <m:sub>
            <m:r>
              <w:rPr>
                <w:rFonts w:ascii="Cambria Math" w:eastAsiaTheme="minorEastAsia" w:hAnsi="Cambria Math"/>
                <w:lang w:val="en-US"/>
              </w:rPr>
              <m:t>2</m:t>
            </m:r>
          </m:sub>
        </m:sSub>
        <m:r>
          <w:rPr>
            <w:rFonts w:ascii="Cambria Math" w:eastAsiaTheme="minorEastAsia" w:hAnsi="Cambria Math"/>
            <w:lang w:val="en-US"/>
          </w:rPr>
          <m:t>=0</m:t>
        </m:r>
      </m:oMath>
      <w:r>
        <w:rPr>
          <w:rFonts w:eastAsiaTheme="minorEastAsia"/>
          <w:lang w:val="en-US"/>
        </w:rPr>
        <w:t xml:space="preserve"> the CAPM holds because it would suggest that the</w:t>
      </w:r>
      <w:r w:rsidR="00D40E40">
        <w:rPr>
          <w:rFonts w:eastAsiaTheme="minorEastAsia"/>
          <w:lang w:val="en-US"/>
        </w:rPr>
        <w:t xml:space="preserve"> only</w:t>
      </w:r>
      <w:r>
        <w:rPr>
          <w:rFonts w:eastAsiaTheme="minorEastAsia"/>
          <w:lang w:val="en-US"/>
        </w:rPr>
        <w:t xml:space="preserve"> variable explaining the risk premium for a stock is that stocks’ beta.</w:t>
      </w:r>
    </w:p>
    <w:p w14:paraId="59D0D68D" w14:textId="255202D2" w:rsidR="00843CFF" w:rsidRPr="00843CFF" w:rsidRDefault="00843CFF" w:rsidP="00950D8D">
      <w:pPr>
        <w:spacing w:line="480" w:lineRule="auto"/>
        <w:rPr>
          <w:lang w:val="en-US"/>
        </w:rPr>
      </w:pPr>
      <w:r>
        <w:rPr>
          <w:lang w:val="en-US"/>
        </w:rPr>
        <w:t xml:space="preserve">Figure 1 presents a summary table of the first pass regression. </w:t>
      </w:r>
    </w:p>
    <w:p w14:paraId="1B0321F3" w14:textId="2FA55C79" w:rsidR="00DD2AB5" w:rsidRPr="00843CFF" w:rsidRDefault="00843CFF" w:rsidP="00DD2AB5">
      <w:pPr>
        <w:spacing w:line="240" w:lineRule="auto"/>
        <w:rPr>
          <w:b/>
          <w:bCs/>
          <w:sz w:val="28"/>
          <w:szCs w:val="28"/>
          <w:lang w:val="en-US"/>
        </w:rPr>
      </w:pPr>
      <w:r w:rsidRPr="00A91917">
        <w:rPr>
          <w:b/>
          <w:bCs/>
          <w:sz w:val="28"/>
          <w:szCs w:val="28"/>
          <w:lang w:val="en-US"/>
        </w:rPr>
        <w:t>Figure</w:t>
      </w:r>
      <w:r>
        <w:rPr>
          <w:b/>
          <w:bCs/>
          <w:sz w:val="28"/>
          <w:szCs w:val="28"/>
          <w:lang w:val="en-US"/>
        </w:rPr>
        <w:t xml:space="preserve"> </w:t>
      </w:r>
      <w:r w:rsidRPr="00A91917">
        <w:rPr>
          <w:b/>
          <w:bCs/>
          <w:sz w:val="28"/>
          <w:szCs w:val="28"/>
          <w:lang w:val="en-US"/>
        </w:rPr>
        <w:t>1: First Pass Regression Summary Table</w:t>
      </w:r>
    </w:p>
    <w:tbl>
      <w:tblPr>
        <w:tblStyle w:val="PlainTable5"/>
        <w:tblpPr w:leftFromText="141" w:rightFromText="141" w:vertAnchor="text" w:horzAnchor="margin" w:tblpY="-17"/>
        <w:tblW w:w="0" w:type="auto"/>
        <w:tblLook w:val="04A0" w:firstRow="1" w:lastRow="0" w:firstColumn="1" w:lastColumn="0" w:noHBand="0" w:noVBand="1"/>
      </w:tblPr>
      <w:tblGrid>
        <w:gridCol w:w="1530"/>
        <w:gridCol w:w="1530"/>
        <w:gridCol w:w="1530"/>
        <w:gridCol w:w="1530"/>
        <w:gridCol w:w="1530"/>
      </w:tblGrid>
      <w:tr w:rsidR="00C80EE3" w14:paraId="37A05953" w14:textId="77777777" w:rsidTr="00C80EE3">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1530" w:type="dxa"/>
          </w:tcPr>
          <w:p w14:paraId="666EA488" w14:textId="77777777" w:rsidR="00C80EE3" w:rsidRPr="00353FA4" w:rsidRDefault="00C80EE3" w:rsidP="00C80EE3">
            <w:pPr>
              <w:jc w:val="center"/>
              <w:rPr>
                <w:b/>
                <w:bCs/>
                <w:lang w:val="en-US"/>
              </w:rPr>
            </w:pPr>
          </w:p>
        </w:tc>
        <w:tc>
          <w:tcPr>
            <w:tcW w:w="1530" w:type="dxa"/>
          </w:tcPr>
          <w:p w14:paraId="3DAAE533" w14:textId="77777777" w:rsidR="00C80EE3" w:rsidRDefault="00C80EE3" w:rsidP="00C80EE3">
            <w:pPr>
              <w:jc w:val="center"/>
              <w:cnfStyle w:val="100000000000" w:firstRow="1" w:lastRow="0" w:firstColumn="0" w:lastColumn="0" w:oddVBand="0" w:evenVBand="0" w:oddHBand="0" w:evenHBand="0" w:firstRowFirstColumn="0" w:firstRowLastColumn="0" w:lastRowFirstColumn="0" w:lastRowLastColumn="0"/>
              <w:rPr>
                <w:lang w:val="en-US"/>
              </w:rPr>
            </w:pPr>
            <w:r>
              <w:rPr>
                <w:rFonts w:cstheme="minorHAnsi"/>
                <w:lang w:val="en-US"/>
              </w:rPr>
              <w:t>β</w:t>
            </w:r>
          </w:p>
        </w:tc>
        <w:tc>
          <w:tcPr>
            <w:tcW w:w="1530" w:type="dxa"/>
          </w:tcPr>
          <w:p w14:paraId="6027AFAA" w14:textId="77777777" w:rsidR="00C80EE3" w:rsidRDefault="00000000" w:rsidP="00C80EE3">
            <w:pPr>
              <w:jc w:val="center"/>
              <w:cnfStyle w:val="100000000000" w:firstRow="1" w:lastRow="0" w:firstColumn="0" w:lastColumn="0" w:oddVBand="0" w:evenVBand="0" w:oddHBand="0" w:evenHBand="0" w:firstRowFirstColumn="0" w:firstRowLastColumn="0" w:lastRowFirstColumn="0" w:lastRowLastColumn="0"/>
              <w:rPr>
                <w:lang w:val="en-US"/>
              </w:rPr>
            </w:pPr>
            <m:oMathPara>
              <m:oMath>
                <m:sSubSup>
                  <m:sSubSupPr>
                    <m:ctrlPr>
                      <w:rPr>
                        <w:rFonts w:ascii="Cambria Math" w:eastAsiaTheme="minorHAnsi" w:hAnsi="Cambria Math" w:cstheme="minorBidi"/>
                        <w:iCs w:val="0"/>
                        <w:sz w:val="22"/>
                        <w:lang w:val="en-US"/>
                      </w:rPr>
                    </m:ctrlPr>
                  </m:sSubSupPr>
                  <m:e>
                    <m:r>
                      <w:rPr>
                        <w:rFonts w:ascii="Cambria Math" w:hAnsi="Cambria Math"/>
                        <w:lang w:val="en-US"/>
                      </w:rPr>
                      <m:t>σ</m:t>
                    </m:r>
                  </m:e>
                  <m:sub>
                    <m:r>
                      <w:rPr>
                        <w:rFonts w:ascii="Cambria Math" w:hAnsi="Cambria Math"/>
                        <w:lang w:val="en-US"/>
                      </w:rPr>
                      <m:t>residuals</m:t>
                    </m:r>
                  </m:sub>
                  <m:sup>
                    <m:r>
                      <w:rPr>
                        <w:rFonts w:ascii="Cambria Math" w:hAnsi="Cambria Math"/>
                        <w:lang w:val="en-US"/>
                      </w:rPr>
                      <m:t>2</m:t>
                    </m:r>
                  </m:sup>
                </m:sSubSup>
              </m:oMath>
            </m:oMathPara>
          </w:p>
        </w:tc>
        <w:tc>
          <w:tcPr>
            <w:tcW w:w="1530" w:type="dxa"/>
          </w:tcPr>
          <w:p w14:paraId="6D8AFA4D" w14:textId="77777777" w:rsidR="00C80EE3" w:rsidRDefault="00C80EE3" w:rsidP="00C80EE3">
            <w:pPr>
              <w:jc w:val="center"/>
              <w:cnfStyle w:val="100000000000" w:firstRow="1" w:lastRow="0" w:firstColumn="0" w:lastColumn="0" w:oddVBand="0" w:evenVBand="0" w:oddHBand="0" w:evenHBand="0" w:firstRowFirstColumn="0" w:firstRowLastColumn="0" w:lastRowFirstColumn="0" w:lastRowLastColumn="0"/>
              <w:rPr>
                <w:lang w:val="en-US"/>
              </w:rPr>
            </w:pPr>
            <m:oMathPara>
              <m:oMath>
                <m:r>
                  <w:rPr>
                    <w:rFonts w:ascii="Cambria Math" w:hAnsi="Cambria Math"/>
                    <w:lang w:val="en-US"/>
                  </w:rPr>
                  <m:t xml:space="preserve">Avg </m:t>
                </m:r>
                <m:sSub>
                  <m:sSubPr>
                    <m:ctrlPr>
                      <w:rPr>
                        <w:rFonts w:ascii="Cambria Math" w:eastAsiaTheme="minorHAnsi" w:hAnsi="Cambria Math" w:cstheme="minorBidi"/>
                        <w:iCs w:val="0"/>
                        <w:sz w:val="22"/>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eastAsiaTheme="minorHAnsi" w:hAnsi="Cambria Math" w:cstheme="minorBidi"/>
                        <w:iCs w:val="0"/>
                        <w:sz w:val="22"/>
                        <w:lang w:val="en-US"/>
                      </w:rPr>
                    </m:ctrlPr>
                  </m:sSubPr>
                  <m:e>
                    <m:r>
                      <w:rPr>
                        <w:rFonts w:ascii="Cambria Math" w:hAnsi="Cambria Math"/>
                        <w:lang w:val="en-US"/>
                      </w:rPr>
                      <m:t>r</m:t>
                    </m:r>
                  </m:e>
                  <m:sub>
                    <m:r>
                      <w:rPr>
                        <w:rFonts w:ascii="Cambria Math" w:hAnsi="Cambria Math"/>
                        <w:lang w:val="en-US"/>
                      </w:rPr>
                      <m:t>f</m:t>
                    </m:r>
                  </m:sub>
                </m:sSub>
              </m:oMath>
            </m:oMathPara>
          </w:p>
        </w:tc>
        <w:tc>
          <w:tcPr>
            <w:tcW w:w="1530" w:type="dxa"/>
          </w:tcPr>
          <w:p w14:paraId="07B14B3F" w14:textId="77777777" w:rsidR="00C80EE3" w:rsidRDefault="00C80EE3" w:rsidP="00C80EE3">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Arial"/>
                <w:lang w:val="en-US"/>
              </w:rPr>
            </w:pPr>
            <m:oMathPara>
              <m:oMath>
                <m:r>
                  <w:rPr>
                    <w:rFonts w:ascii="Cambria Math" w:hAnsi="Cambria Math"/>
                    <w:lang w:val="en-US"/>
                  </w:rPr>
                  <m:t xml:space="preserve">Avg </m:t>
                </m:r>
                <m:sSub>
                  <m:sSubPr>
                    <m:ctrlPr>
                      <w:rPr>
                        <w:rFonts w:ascii="Cambria Math" w:eastAsiaTheme="minorHAnsi" w:hAnsi="Cambria Math" w:cstheme="minorBidi"/>
                        <w:iCs w:val="0"/>
                        <w:sz w:val="22"/>
                        <w:lang w:val="en-US"/>
                      </w:rPr>
                    </m:ctrlPr>
                  </m:sSubPr>
                  <m:e>
                    <m:r>
                      <w:rPr>
                        <w:rFonts w:ascii="Cambria Math" w:hAnsi="Cambria Math"/>
                        <w:lang w:val="en-US"/>
                      </w:rPr>
                      <m:t>r</m:t>
                    </m:r>
                  </m:e>
                  <m:sub>
                    <m:r>
                      <w:rPr>
                        <w:rFonts w:ascii="Cambria Math" w:hAnsi="Cambria Math"/>
                        <w:lang w:val="en-US"/>
                      </w:rPr>
                      <m:t>m</m:t>
                    </m:r>
                  </m:sub>
                </m:sSub>
                <m:r>
                  <w:rPr>
                    <w:rFonts w:ascii="Cambria Math" w:hAnsi="Cambria Math"/>
                    <w:lang w:val="en-US"/>
                  </w:rPr>
                  <m:t>-</m:t>
                </m:r>
                <m:sSub>
                  <m:sSubPr>
                    <m:ctrlPr>
                      <w:rPr>
                        <w:rFonts w:ascii="Cambria Math" w:eastAsiaTheme="minorHAnsi" w:hAnsi="Cambria Math" w:cstheme="minorBidi"/>
                        <w:iCs w:val="0"/>
                        <w:sz w:val="22"/>
                        <w:lang w:val="en-US"/>
                      </w:rPr>
                    </m:ctrlPr>
                  </m:sSubPr>
                  <m:e>
                    <m:r>
                      <w:rPr>
                        <w:rFonts w:ascii="Cambria Math" w:hAnsi="Cambria Math"/>
                        <w:lang w:val="en-US"/>
                      </w:rPr>
                      <m:t>r</m:t>
                    </m:r>
                  </m:e>
                  <m:sub>
                    <m:r>
                      <w:rPr>
                        <w:rFonts w:ascii="Cambria Math" w:hAnsi="Cambria Math"/>
                        <w:lang w:val="en-US"/>
                      </w:rPr>
                      <m:t>f</m:t>
                    </m:r>
                  </m:sub>
                </m:sSub>
              </m:oMath>
            </m:oMathPara>
          </w:p>
        </w:tc>
      </w:tr>
      <w:tr w:rsidR="00C80EE3" w14:paraId="39ACB7A2" w14:textId="77777777" w:rsidTr="00C80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D8F89CA" w14:textId="77777777" w:rsidR="00C80EE3" w:rsidRPr="00844533" w:rsidRDefault="00C80EE3" w:rsidP="00C80EE3">
            <w:pPr>
              <w:jc w:val="center"/>
              <w:rPr>
                <w:b/>
                <w:bCs/>
                <w:lang w:val="en-US"/>
              </w:rPr>
            </w:pPr>
            <w:r w:rsidRPr="00844533">
              <w:rPr>
                <w:b/>
                <w:bCs/>
                <w:lang w:val="en-US"/>
              </w:rPr>
              <w:t>Mean</w:t>
            </w:r>
          </w:p>
        </w:tc>
        <w:tc>
          <w:tcPr>
            <w:tcW w:w="1530" w:type="dxa"/>
          </w:tcPr>
          <w:p w14:paraId="26A5CC8C" w14:textId="77777777" w:rsidR="00C80EE3" w:rsidRDefault="00C80EE3" w:rsidP="00C80E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1.05</w:t>
            </w:r>
          </w:p>
        </w:tc>
        <w:tc>
          <w:tcPr>
            <w:tcW w:w="1530" w:type="dxa"/>
          </w:tcPr>
          <w:p w14:paraId="41A4D93F" w14:textId="77777777" w:rsidR="00C80EE3" w:rsidRDefault="00C80EE3" w:rsidP="00C80EE3">
            <w:pPr>
              <w:jc w:val="center"/>
              <w:cnfStyle w:val="000000100000" w:firstRow="0" w:lastRow="0" w:firstColumn="0" w:lastColumn="0" w:oddVBand="0" w:evenVBand="0" w:oddHBand="1" w:evenHBand="0" w:firstRowFirstColumn="0" w:firstRowLastColumn="0" w:lastRowFirstColumn="0" w:lastRowLastColumn="0"/>
              <w:rPr>
                <w:lang w:val="en-US"/>
              </w:rPr>
            </w:pPr>
            <w:r w:rsidRPr="00A42149">
              <w:t>0.014025</w:t>
            </w:r>
          </w:p>
        </w:tc>
        <w:tc>
          <w:tcPr>
            <w:tcW w:w="1530" w:type="dxa"/>
          </w:tcPr>
          <w:p w14:paraId="6C2F1D2D" w14:textId="77777777" w:rsidR="00C80EE3" w:rsidRDefault="00C80EE3" w:rsidP="00C80EE3">
            <w:pPr>
              <w:jc w:val="center"/>
              <w:cnfStyle w:val="000000100000" w:firstRow="0" w:lastRow="0" w:firstColumn="0" w:lastColumn="0" w:oddVBand="0" w:evenVBand="0" w:oddHBand="1" w:evenHBand="0" w:firstRowFirstColumn="0" w:firstRowLastColumn="0" w:lastRowFirstColumn="0" w:lastRowLastColumn="0"/>
              <w:rPr>
                <w:lang w:val="en-US"/>
              </w:rPr>
            </w:pPr>
            <w:r w:rsidRPr="00A42149">
              <w:t>-0.27</w:t>
            </w:r>
            <w:r>
              <w:t>%</w:t>
            </w:r>
          </w:p>
        </w:tc>
        <w:tc>
          <w:tcPr>
            <w:tcW w:w="1530" w:type="dxa"/>
          </w:tcPr>
          <w:p w14:paraId="667F38A3" w14:textId="77777777" w:rsidR="00C80EE3" w:rsidRPr="00A42149" w:rsidRDefault="00C80EE3" w:rsidP="00C80EE3">
            <w:pPr>
              <w:jc w:val="center"/>
              <w:cnfStyle w:val="000000100000" w:firstRow="0" w:lastRow="0" w:firstColumn="0" w:lastColumn="0" w:oddVBand="0" w:evenVBand="0" w:oddHBand="1" w:evenHBand="0" w:firstRowFirstColumn="0" w:firstRowLastColumn="0" w:lastRowFirstColumn="0" w:lastRowLastColumn="0"/>
            </w:pPr>
            <w:r w:rsidRPr="008E5124">
              <w:t>-0.4</w:t>
            </w:r>
            <w:r>
              <w:t>1%</w:t>
            </w:r>
          </w:p>
        </w:tc>
      </w:tr>
      <w:tr w:rsidR="00C80EE3" w14:paraId="0BC62347" w14:textId="77777777" w:rsidTr="00C80EE3">
        <w:tc>
          <w:tcPr>
            <w:cnfStyle w:val="001000000000" w:firstRow="0" w:lastRow="0" w:firstColumn="1" w:lastColumn="0" w:oddVBand="0" w:evenVBand="0" w:oddHBand="0" w:evenHBand="0" w:firstRowFirstColumn="0" w:firstRowLastColumn="0" w:lastRowFirstColumn="0" w:lastRowLastColumn="0"/>
            <w:tcW w:w="1530" w:type="dxa"/>
          </w:tcPr>
          <w:p w14:paraId="320D8357" w14:textId="77777777" w:rsidR="00C80EE3" w:rsidRPr="00844533" w:rsidRDefault="00C80EE3" w:rsidP="00C80EE3">
            <w:pPr>
              <w:jc w:val="center"/>
              <w:rPr>
                <w:b/>
                <w:bCs/>
                <w:lang w:val="en-US"/>
              </w:rPr>
            </w:pPr>
            <w:r w:rsidRPr="00844533">
              <w:rPr>
                <w:b/>
                <w:bCs/>
                <w:lang w:val="en-US"/>
              </w:rPr>
              <w:t>Std. Dev</w:t>
            </w:r>
          </w:p>
        </w:tc>
        <w:tc>
          <w:tcPr>
            <w:tcW w:w="1530" w:type="dxa"/>
          </w:tcPr>
          <w:p w14:paraId="4B747101" w14:textId="77777777" w:rsidR="00C80EE3" w:rsidRDefault="00C80EE3" w:rsidP="00C80E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0.45</w:t>
            </w:r>
          </w:p>
        </w:tc>
        <w:tc>
          <w:tcPr>
            <w:tcW w:w="1530" w:type="dxa"/>
          </w:tcPr>
          <w:p w14:paraId="4D200961" w14:textId="77777777" w:rsidR="00C80EE3" w:rsidRDefault="00C80EE3" w:rsidP="00C80EE3">
            <w:pPr>
              <w:jc w:val="center"/>
              <w:cnfStyle w:val="000000000000" w:firstRow="0" w:lastRow="0" w:firstColumn="0" w:lastColumn="0" w:oddVBand="0" w:evenVBand="0" w:oddHBand="0" w:evenHBand="0" w:firstRowFirstColumn="0" w:firstRowLastColumn="0" w:lastRowFirstColumn="0" w:lastRowLastColumn="0"/>
              <w:rPr>
                <w:lang w:val="en-US"/>
              </w:rPr>
            </w:pPr>
            <w:r w:rsidRPr="00A42149">
              <w:t>0.057573</w:t>
            </w:r>
          </w:p>
        </w:tc>
        <w:tc>
          <w:tcPr>
            <w:tcW w:w="1530" w:type="dxa"/>
          </w:tcPr>
          <w:p w14:paraId="6114BC28" w14:textId="77777777" w:rsidR="00C80EE3" w:rsidRDefault="00C80EE3" w:rsidP="00C80EE3">
            <w:pPr>
              <w:jc w:val="center"/>
              <w:cnfStyle w:val="000000000000" w:firstRow="0" w:lastRow="0" w:firstColumn="0" w:lastColumn="0" w:oddVBand="0" w:evenVBand="0" w:oddHBand="0" w:evenHBand="0" w:firstRowFirstColumn="0" w:firstRowLastColumn="0" w:lastRowFirstColumn="0" w:lastRowLastColumn="0"/>
              <w:rPr>
                <w:lang w:val="en-US"/>
              </w:rPr>
            </w:pPr>
            <w:r>
              <w:t>1.</w:t>
            </w:r>
            <w:r w:rsidRPr="00A42149">
              <w:t>1</w:t>
            </w:r>
            <w:r>
              <w:t>6%</w:t>
            </w:r>
          </w:p>
        </w:tc>
        <w:tc>
          <w:tcPr>
            <w:tcW w:w="1530" w:type="dxa"/>
          </w:tcPr>
          <w:p w14:paraId="73833646" w14:textId="77777777" w:rsidR="00C80EE3" w:rsidRPr="00A42149" w:rsidRDefault="00C80EE3" w:rsidP="00C80EE3">
            <w:pPr>
              <w:jc w:val="center"/>
              <w:cnfStyle w:val="000000000000" w:firstRow="0" w:lastRow="0" w:firstColumn="0" w:lastColumn="0" w:oddVBand="0" w:evenVBand="0" w:oddHBand="0" w:evenHBand="0" w:firstRowFirstColumn="0" w:firstRowLastColumn="0" w:lastRowFirstColumn="0" w:lastRowLastColumn="0"/>
            </w:pPr>
            <w:r>
              <w:t>-</w:t>
            </w:r>
          </w:p>
        </w:tc>
      </w:tr>
      <w:tr w:rsidR="00C80EE3" w14:paraId="0E79ED79" w14:textId="77777777" w:rsidTr="00C80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B441A68" w14:textId="77777777" w:rsidR="00C80EE3" w:rsidRPr="00844533" w:rsidRDefault="00C80EE3" w:rsidP="00C80EE3">
            <w:pPr>
              <w:jc w:val="center"/>
              <w:rPr>
                <w:b/>
                <w:bCs/>
                <w:lang w:val="en-US"/>
              </w:rPr>
            </w:pPr>
            <w:r w:rsidRPr="00844533">
              <w:rPr>
                <w:b/>
                <w:bCs/>
                <w:lang w:val="en-US"/>
              </w:rPr>
              <w:t>Min</w:t>
            </w:r>
          </w:p>
        </w:tc>
        <w:tc>
          <w:tcPr>
            <w:tcW w:w="1530" w:type="dxa"/>
          </w:tcPr>
          <w:p w14:paraId="0EB5E9CA" w14:textId="77777777" w:rsidR="00C80EE3" w:rsidRDefault="00C80EE3" w:rsidP="00C80E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-0.60</w:t>
            </w:r>
          </w:p>
        </w:tc>
        <w:tc>
          <w:tcPr>
            <w:tcW w:w="1530" w:type="dxa"/>
          </w:tcPr>
          <w:p w14:paraId="73D6B456" w14:textId="77777777" w:rsidR="00C80EE3" w:rsidRDefault="00C80EE3" w:rsidP="00C80EE3">
            <w:pPr>
              <w:jc w:val="center"/>
              <w:cnfStyle w:val="000000100000" w:firstRow="0" w:lastRow="0" w:firstColumn="0" w:lastColumn="0" w:oddVBand="0" w:evenVBand="0" w:oddHBand="1" w:evenHBand="0" w:firstRowFirstColumn="0" w:firstRowLastColumn="0" w:lastRowFirstColumn="0" w:lastRowLastColumn="0"/>
              <w:rPr>
                <w:lang w:val="en-US"/>
              </w:rPr>
            </w:pPr>
            <w:r w:rsidRPr="00A42149">
              <w:t>0.000224</w:t>
            </w:r>
          </w:p>
        </w:tc>
        <w:tc>
          <w:tcPr>
            <w:tcW w:w="1530" w:type="dxa"/>
          </w:tcPr>
          <w:p w14:paraId="0ED12BCD" w14:textId="77777777" w:rsidR="00C80EE3" w:rsidRDefault="00C80EE3" w:rsidP="00C80EE3">
            <w:pPr>
              <w:jc w:val="center"/>
              <w:cnfStyle w:val="000000100000" w:firstRow="0" w:lastRow="0" w:firstColumn="0" w:lastColumn="0" w:oddVBand="0" w:evenVBand="0" w:oddHBand="1" w:evenHBand="0" w:firstRowFirstColumn="0" w:firstRowLastColumn="0" w:lastRowFirstColumn="0" w:lastRowLastColumn="0"/>
              <w:rPr>
                <w:lang w:val="en-US"/>
              </w:rPr>
            </w:pPr>
            <w:r w:rsidRPr="00A42149">
              <w:t>-</w:t>
            </w:r>
            <w:r>
              <w:t>4.</w:t>
            </w:r>
            <w:r w:rsidRPr="00A42149">
              <w:t>49</w:t>
            </w:r>
            <w:r>
              <w:t>%</w:t>
            </w:r>
          </w:p>
        </w:tc>
        <w:tc>
          <w:tcPr>
            <w:tcW w:w="1530" w:type="dxa"/>
          </w:tcPr>
          <w:p w14:paraId="098A01F6" w14:textId="77777777" w:rsidR="00C80EE3" w:rsidRPr="00A42149" w:rsidRDefault="00C80EE3" w:rsidP="00C80EE3">
            <w:pPr>
              <w:jc w:val="center"/>
              <w:cnfStyle w:val="000000100000" w:firstRow="0" w:lastRow="0" w:firstColumn="0" w:lastColumn="0" w:oddVBand="0" w:evenVBand="0" w:oddHBand="1" w:evenHBand="0" w:firstRowFirstColumn="0" w:firstRowLastColumn="0" w:lastRowFirstColumn="0" w:lastRowLastColumn="0"/>
            </w:pPr>
            <w:r>
              <w:t>-</w:t>
            </w:r>
          </w:p>
        </w:tc>
      </w:tr>
      <w:tr w:rsidR="00C80EE3" w14:paraId="70D0C14E" w14:textId="77777777" w:rsidTr="00C80EE3">
        <w:tc>
          <w:tcPr>
            <w:cnfStyle w:val="001000000000" w:firstRow="0" w:lastRow="0" w:firstColumn="1" w:lastColumn="0" w:oddVBand="0" w:evenVBand="0" w:oddHBand="0" w:evenHBand="0" w:firstRowFirstColumn="0" w:firstRowLastColumn="0" w:lastRowFirstColumn="0" w:lastRowLastColumn="0"/>
            <w:tcW w:w="1530" w:type="dxa"/>
          </w:tcPr>
          <w:p w14:paraId="7697E9C9" w14:textId="77777777" w:rsidR="00C80EE3" w:rsidRPr="00844533" w:rsidRDefault="00C80EE3" w:rsidP="00C80EE3">
            <w:pPr>
              <w:jc w:val="center"/>
              <w:rPr>
                <w:b/>
                <w:bCs/>
                <w:lang w:val="en-US"/>
              </w:rPr>
            </w:pPr>
            <w:r w:rsidRPr="00844533">
              <w:rPr>
                <w:b/>
                <w:bCs/>
                <w:lang w:val="en-US"/>
              </w:rPr>
              <w:t>Median</w:t>
            </w:r>
          </w:p>
        </w:tc>
        <w:tc>
          <w:tcPr>
            <w:tcW w:w="1530" w:type="dxa"/>
          </w:tcPr>
          <w:p w14:paraId="3CF0B204" w14:textId="77777777" w:rsidR="00C80EE3" w:rsidRDefault="00C80EE3" w:rsidP="00C80EE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1.10</w:t>
            </w:r>
          </w:p>
        </w:tc>
        <w:tc>
          <w:tcPr>
            <w:tcW w:w="1530" w:type="dxa"/>
          </w:tcPr>
          <w:p w14:paraId="78EA0FCD" w14:textId="77777777" w:rsidR="00C80EE3" w:rsidRDefault="00C80EE3" w:rsidP="00C80EE3">
            <w:pPr>
              <w:jc w:val="center"/>
              <w:cnfStyle w:val="000000000000" w:firstRow="0" w:lastRow="0" w:firstColumn="0" w:lastColumn="0" w:oddVBand="0" w:evenVBand="0" w:oddHBand="0" w:evenHBand="0" w:firstRowFirstColumn="0" w:firstRowLastColumn="0" w:lastRowFirstColumn="0" w:lastRowLastColumn="0"/>
              <w:rPr>
                <w:lang w:val="en-US"/>
              </w:rPr>
            </w:pPr>
            <w:r w:rsidRPr="00A42149">
              <w:rPr>
                <w:lang w:val="en-US"/>
              </w:rPr>
              <w:t>0.004130</w:t>
            </w:r>
          </w:p>
        </w:tc>
        <w:tc>
          <w:tcPr>
            <w:tcW w:w="1530" w:type="dxa"/>
          </w:tcPr>
          <w:p w14:paraId="466D2F32" w14:textId="77777777" w:rsidR="00C80EE3" w:rsidRDefault="00C80EE3" w:rsidP="00C80EE3">
            <w:pPr>
              <w:jc w:val="center"/>
              <w:cnfStyle w:val="000000000000" w:firstRow="0" w:lastRow="0" w:firstColumn="0" w:lastColumn="0" w:oddVBand="0" w:evenVBand="0" w:oddHBand="0" w:evenHBand="0" w:firstRowFirstColumn="0" w:firstRowLastColumn="0" w:lastRowFirstColumn="0" w:lastRowLastColumn="0"/>
              <w:rPr>
                <w:lang w:val="en-US"/>
              </w:rPr>
            </w:pPr>
            <w:r w:rsidRPr="00A42149">
              <w:rPr>
                <w:lang w:val="en-US"/>
              </w:rPr>
              <w:t>-0.3</w:t>
            </w:r>
            <w:r>
              <w:rPr>
                <w:lang w:val="en-US"/>
              </w:rPr>
              <w:t>9%</w:t>
            </w:r>
          </w:p>
        </w:tc>
        <w:tc>
          <w:tcPr>
            <w:tcW w:w="1530" w:type="dxa"/>
          </w:tcPr>
          <w:p w14:paraId="65B87797" w14:textId="77777777" w:rsidR="00C80EE3" w:rsidRPr="00A42149" w:rsidRDefault="00C80EE3" w:rsidP="00C80EE3">
            <w:pPr>
              <w:jc w:val="center"/>
              <w:cnfStyle w:val="000000000000" w:firstRow="0" w:lastRow="0" w:firstColumn="0" w:lastColumn="0" w:oddVBand="0" w:evenVBand="0" w:oddHBand="0" w:evenHBand="0" w:firstRowFirstColumn="0" w:firstRowLastColumn="0" w:lastRowFirstColumn="0" w:lastRowLastColumn="0"/>
              <w:rPr>
                <w:lang w:val="en-US"/>
              </w:rPr>
            </w:pPr>
            <w:r>
              <w:t>-</w:t>
            </w:r>
          </w:p>
        </w:tc>
      </w:tr>
      <w:tr w:rsidR="00C80EE3" w14:paraId="0D8095F1" w14:textId="77777777" w:rsidTr="00C80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394CB4B" w14:textId="77777777" w:rsidR="00C80EE3" w:rsidRPr="00844533" w:rsidRDefault="00C80EE3" w:rsidP="00C80EE3">
            <w:pPr>
              <w:jc w:val="center"/>
              <w:rPr>
                <w:b/>
                <w:bCs/>
                <w:lang w:val="en-US"/>
              </w:rPr>
            </w:pPr>
            <w:r w:rsidRPr="00844533">
              <w:rPr>
                <w:b/>
                <w:bCs/>
                <w:lang w:val="en-US"/>
              </w:rPr>
              <w:t>Max</w:t>
            </w:r>
          </w:p>
        </w:tc>
        <w:tc>
          <w:tcPr>
            <w:tcW w:w="1530" w:type="dxa"/>
          </w:tcPr>
          <w:p w14:paraId="4E47BCC2" w14:textId="77777777" w:rsidR="00C80EE3" w:rsidRDefault="00C80EE3" w:rsidP="00C80E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1.90</w:t>
            </w:r>
          </w:p>
        </w:tc>
        <w:tc>
          <w:tcPr>
            <w:tcW w:w="1530" w:type="dxa"/>
          </w:tcPr>
          <w:p w14:paraId="31214761" w14:textId="77777777" w:rsidR="00C80EE3" w:rsidRDefault="00C80EE3" w:rsidP="00C80EE3">
            <w:pPr>
              <w:jc w:val="center"/>
              <w:cnfStyle w:val="000000100000" w:firstRow="0" w:lastRow="0" w:firstColumn="0" w:lastColumn="0" w:oddVBand="0" w:evenVBand="0" w:oddHBand="1" w:evenHBand="0" w:firstRowFirstColumn="0" w:firstRowLastColumn="0" w:lastRowFirstColumn="0" w:lastRowLastColumn="0"/>
              <w:rPr>
                <w:lang w:val="en-US"/>
              </w:rPr>
            </w:pPr>
            <w:r w:rsidRPr="00A42149">
              <w:rPr>
                <w:lang w:val="en-US"/>
              </w:rPr>
              <w:t>0.563429</w:t>
            </w:r>
          </w:p>
        </w:tc>
        <w:tc>
          <w:tcPr>
            <w:tcW w:w="1530" w:type="dxa"/>
          </w:tcPr>
          <w:p w14:paraId="64BC131A" w14:textId="77777777" w:rsidR="00C80EE3" w:rsidRDefault="00C80EE3" w:rsidP="00C80EE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r w:rsidRPr="00A42149">
              <w:rPr>
                <w:lang w:val="en-US"/>
              </w:rPr>
              <w:t>4</w:t>
            </w:r>
            <w:r>
              <w:rPr>
                <w:lang w:val="en-US"/>
              </w:rPr>
              <w:t>9%</w:t>
            </w:r>
          </w:p>
        </w:tc>
        <w:tc>
          <w:tcPr>
            <w:tcW w:w="1530" w:type="dxa"/>
          </w:tcPr>
          <w:p w14:paraId="1E35B57F" w14:textId="77777777" w:rsidR="00C80EE3" w:rsidRPr="00A42149" w:rsidRDefault="00C80EE3" w:rsidP="00C80EE3">
            <w:pPr>
              <w:jc w:val="center"/>
              <w:cnfStyle w:val="000000100000" w:firstRow="0" w:lastRow="0" w:firstColumn="0" w:lastColumn="0" w:oddVBand="0" w:evenVBand="0" w:oddHBand="1" w:evenHBand="0" w:firstRowFirstColumn="0" w:firstRowLastColumn="0" w:lastRowFirstColumn="0" w:lastRowLastColumn="0"/>
              <w:rPr>
                <w:lang w:val="en-US"/>
              </w:rPr>
            </w:pPr>
            <w:r>
              <w:t>-</w:t>
            </w:r>
          </w:p>
        </w:tc>
      </w:tr>
    </w:tbl>
    <w:p w14:paraId="6A800B84" w14:textId="4D46B1CD" w:rsidR="00DD2AB5" w:rsidRDefault="00DD2AB5" w:rsidP="00DD2AB5">
      <w:pPr>
        <w:spacing w:line="240" w:lineRule="auto"/>
        <w:rPr>
          <w:lang w:val="en-US"/>
        </w:rPr>
      </w:pPr>
    </w:p>
    <w:p w14:paraId="2C1FE010" w14:textId="5DE39071" w:rsidR="00DD2AB5" w:rsidRDefault="00DD2AB5" w:rsidP="00DD2AB5">
      <w:pPr>
        <w:spacing w:line="240" w:lineRule="auto"/>
        <w:rPr>
          <w:lang w:val="en-US"/>
        </w:rPr>
      </w:pPr>
    </w:p>
    <w:p w14:paraId="7E291597" w14:textId="092E3A32" w:rsidR="00DD2AB5" w:rsidRDefault="00DD2AB5" w:rsidP="00DD2AB5">
      <w:pPr>
        <w:spacing w:line="240" w:lineRule="auto"/>
        <w:rPr>
          <w:lang w:val="en-US"/>
        </w:rPr>
      </w:pPr>
    </w:p>
    <w:p w14:paraId="4D7B38DA" w14:textId="0B40CEE0" w:rsidR="00DD2AB5" w:rsidRDefault="00DD2AB5" w:rsidP="00DD2AB5">
      <w:pPr>
        <w:spacing w:line="240" w:lineRule="auto"/>
        <w:rPr>
          <w:lang w:val="en-US"/>
        </w:rPr>
      </w:pPr>
    </w:p>
    <w:p w14:paraId="504D2C62" w14:textId="3BAC909B" w:rsidR="00DD2AB5" w:rsidRDefault="00DD2AB5" w:rsidP="00DD2AB5">
      <w:pPr>
        <w:spacing w:line="240" w:lineRule="auto"/>
        <w:rPr>
          <w:lang w:val="en-US"/>
        </w:rPr>
      </w:pPr>
    </w:p>
    <w:p w14:paraId="3FA3ECB4" w14:textId="48B9CFA3" w:rsidR="00A91917" w:rsidRDefault="00F839C9" w:rsidP="00950D8D">
      <w:pPr>
        <w:spacing w:line="480" w:lineRule="auto"/>
        <w:rPr>
          <w:lang w:val="en-US"/>
        </w:rPr>
      </w:pPr>
      <w:r>
        <w:rPr>
          <w:lang w:val="en-US"/>
        </w:rPr>
        <w:t xml:space="preserve">The mean beta </w:t>
      </w:r>
      <w:r w:rsidR="00B96A32">
        <w:rPr>
          <w:lang w:val="en-US"/>
        </w:rPr>
        <w:t>in the sample is</w:t>
      </w:r>
      <w:r>
        <w:rPr>
          <w:lang w:val="en-US"/>
        </w:rPr>
        <w:t xml:space="preserve"> 1.05</w:t>
      </w:r>
      <w:r w:rsidR="00EC58BB">
        <w:rPr>
          <w:lang w:val="en-US"/>
        </w:rPr>
        <w:t>,</w:t>
      </w:r>
      <w:r>
        <w:rPr>
          <w:lang w:val="en-US"/>
        </w:rPr>
        <w:t xml:space="preserve"> which means that </w:t>
      </w:r>
      <w:r w:rsidR="00B96A32">
        <w:rPr>
          <w:lang w:val="en-US"/>
        </w:rPr>
        <w:t>on average,</w:t>
      </w:r>
      <w:r>
        <w:rPr>
          <w:lang w:val="en-US"/>
        </w:rPr>
        <w:t xml:space="preserve"> if the market portfolio goes up by 1%,</w:t>
      </w:r>
      <w:r w:rsidR="00EC58BB">
        <w:rPr>
          <w:lang w:val="en-US"/>
        </w:rPr>
        <w:t xml:space="preserve"> the average stock</w:t>
      </w:r>
      <w:r>
        <w:rPr>
          <w:lang w:val="en-US"/>
        </w:rPr>
        <w:t xml:space="preserve"> will go up by 1</w:t>
      </w:r>
      <w:r w:rsidR="0036780C">
        <w:rPr>
          <w:lang w:val="en-US"/>
        </w:rPr>
        <w:t>.05</w:t>
      </w:r>
      <w:r>
        <w:rPr>
          <w:lang w:val="en-US"/>
        </w:rPr>
        <w:t xml:space="preserve">%. The average difference between </w:t>
      </w:r>
      <w:r w:rsidR="004E126D">
        <w:rPr>
          <w:lang w:val="en-US"/>
        </w:rPr>
        <w:t>a stock’s</w:t>
      </w:r>
      <w:r w:rsidR="005302E2">
        <w:rPr>
          <w:lang w:val="en-US"/>
        </w:rPr>
        <w:t xml:space="preserve"> return</w:t>
      </w:r>
      <w:r w:rsidR="004E126D">
        <w:rPr>
          <w:lang w:val="en-US"/>
        </w:rPr>
        <w:t xml:space="preserve"> </w:t>
      </w:r>
      <w:r w:rsidR="005302E2">
        <w:rPr>
          <w:lang w:val="en-US"/>
        </w:rPr>
        <w:t xml:space="preserve">and the </w:t>
      </w:r>
      <w:r w:rsidR="004E126D">
        <w:rPr>
          <w:lang w:val="en-US"/>
        </w:rPr>
        <w:t>risk-free</w:t>
      </w:r>
      <w:r w:rsidR="005302E2">
        <w:rPr>
          <w:lang w:val="en-US"/>
        </w:rPr>
        <w:t xml:space="preserve"> rate in the sample was -.27%. </w:t>
      </w:r>
      <w:r w:rsidR="004E126D">
        <w:rPr>
          <w:lang w:val="en-US"/>
        </w:rPr>
        <w:t>So,</w:t>
      </w:r>
      <w:r w:rsidR="005302E2">
        <w:rPr>
          <w:lang w:val="en-US"/>
        </w:rPr>
        <w:t xml:space="preserve"> on average, investors would have been better off putting all their money in the </w:t>
      </w:r>
      <w:r w:rsidR="003962D5">
        <w:rPr>
          <w:lang w:val="en-US"/>
        </w:rPr>
        <w:t>risk-free</w:t>
      </w:r>
      <w:r w:rsidR="005302E2">
        <w:rPr>
          <w:lang w:val="en-US"/>
        </w:rPr>
        <w:t xml:space="preserve"> rate</w:t>
      </w:r>
      <w:r w:rsidR="003962D5">
        <w:rPr>
          <w:lang w:val="en-US"/>
        </w:rPr>
        <w:t xml:space="preserve"> over this period</w:t>
      </w:r>
      <w:r w:rsidR="005302E2">
        <w:rPr>
          <w:lang w:val="en-US"/>
        </w:rPr>
        <w:t xml:space="preserve">. This result seems a little odd but it makes sense given how </w:t>
      </w:r>
      <w:r w:rsidR="00EC58BB">
        <w:rPr>
          <w:lang w:val="en-US"/>
        </w:rPr>
        <w:t xml:space="preserve">poorly </w:t>
      </w:r>
      <w:r w:rsidR="005302E2">
        <w:rPr>
          <w:lang w:val="en-US"/>
        </w:rPr>
        <w:t xml:space="preserve">the market performed during this time. </w:t>
      </w:r>
      <w:r>
        <w:rPr>
          <w:lang w:val="en-US"/>
        </w:rPr>
        <w:t xml:space="preserve">Figure 2 displays the relationship between the market rate of return and the risk-free rate of return during </w:t>
      </w:r>
      <w:r w:rsidR="00EC58BB">
        <w:rPr>
          <w:lang w:val="en-US"/>
        </w:rPr>
        <w:t>the sample period.</w:t>
      </w:r>
    </w:p>
    <w:p w14:paraId="707C3ADC" w14:textId="24914ED3" w:rsidR="00A91917" w:rsidRDefault="00950D8D" w:rsidP="00950D8D">
      <w:pPr>
        <w:spacing w:after="0" w:line="480" w:lineRule="auto"/>
        <w:rPr>
          <w:lang w:val="en-US"/>
        </w:rPr>
      </w:pPr>
      <w:r>
        <w:rPr>
          <w:noProof/>
        </w:rPr>
        <w:drawing>
          <wp:inline distT="0" distB="0" distL="0" distR="0" wp14:anchorId="5C48D660" wp14:editId="615171DF">
            <wp:extent cx="5953125" cy="2600528"/>
            <wp:effectExtent l="0" t="0" r="0" b="0"/>
            <wp:docPr id="2" name="Chart 2">
              <a:extLst xmlns:a="http://schemas.openxmlformats.org/drawingml/2006/main">
                <a:ext uri="{FF2B5EF4-FFF2-40B4-BE49-F238E27FC236}">
                  <a16:creationId xmlns:a16="http://schemas.microsoft.com/office/drawing/2014/main" id="{117DEBEC-B2B7-7119-5167-5BF6BC65B4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1BBE41" w14:textId="7B5E815A" w:rsidR="00531FC8" w:rsidRPr="00531FC8" w:rsidRDefault="00F839C9" w:rsidP="00950D8D">
      <w:pPr>
        <w:spacing w:line="480" w:lineRule="auto"/>
        <w:rPr>
          <w:rFonts w:eastAsiaTheme="minorEastAsia"/>
          <w:lang w:val="en-US"/>
        </w:rPr>
      </w:pPr>
      <w:r>
        <w:rPr>
          <w:lang w:val="en-US"/>
        </w:rPr>
        <w:lastRenderedPageBreak/>
        <w:t xml:space="preserve">Given these results, if the CAPM holds true for the sample, </w:t>
      </w:r>
      <w:r w:rsidR="00C80EE3">
        <w:rPr>
          <w:lang w:val="en-US"/>
        </w:rPr>
        <w:t xml:space="preserve">the estimated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0</m:t>
            </m:r>
          </m:sub>
        </m:sSub>
        <m:r>
          <w:rPr>
            <w:rFonts w:ascii="Cambria Math" w:hAnsi="Cambria Math"/>
            <w:lang w:val="en-US"/>
          </w:rPr>
          <m:t xml:space="preserve">, </m:t>
        </m:r>
      </m:oMath>
      <w:r w:rsidR="00C80EE3">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r>
          <w:rPr>
            <w:rFonts w:ascii="Cambria Math" w:hAnsi="Cambria Math"/>
            <w:lang w:val="en-US"/>
          </w:rPr>
          <m:t xml:space="preserve">, </m:t>
        </m:r>
      </m:oMath>
      <w:r w:rsidR="00C80EE3">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r>
          <w:rPr>
            <w:rFonts w:ascii="Cambria Math" w:hAnsi="Cambria Math"/>
            <w:lang w:val="en-US"/>
          </w:rPr>
          <m:t xml:space="preserve">, </m:t>
        </m:r>
      </m:oMath>
      <w:r w:rsidR="00C80EE3">
        <w:rPr>
          <w:rFonts w:eastAsiaTheme="minorEastAsia"/>
          <w:lang w:val="en-US"/>
        </w:rPr>
        <w:t>should equal 0, -.00</w:t>
      </w:r>
      <w:r w:rsidR="003962D5">
        <w:rPr>
          <w:rFonts w:eastAsiaTheme="minorEastAsia"/>
          <w:lang w:val="en-US"/>
        </w:rPr>
        <w:t>41</w:t>
      </w:r>
      <w:r w:rsidR="004E126D">
        <w:rPr>
          <w:rFonts w:eastAsiaTheme="minorEastAsia"/>
          <w:lang w:val="en-US"/>
        </w:rPr>
        <w:t>,</w:t>
      </w:r>
      <w:r w:rsidR="00C80EE3">
        <w:rPr>
          <w:rFonts w:eastAsiaTheme="minorEastAsia"/>
          <w:lang w:val="en-US"/>
        </w:rPr>
        <w:t xml:space="preserve"> and 0 respectively. However, the second pass regression failed to support these hypotheses. Figure 3 contains the key figures for the second pass regression. </w:t>
      </w:r>
    </w:p>
    <w:p w14:paraId="5C4F551F" w14:textId="77777777" w:rsidR="00F839C9" w:rsidRPr="00A91917" w:rsidRDefault="00F839C9" w:rsidP="00F839C9">
      <w:pPr>
        <w:spacing w:line="240" w:lineRule="auto"/>
        <w:rPr>
          <w:b/>
          <w:bCs/>
          <w:sz w:val="28"/>
          <w:szCs w:val="28"/>
          <w:lang w:val="en-US"/>
        </w:rPr>
      </w:pPr>
      <w:r w:rsidRPr="00A91917">
        <w:rPr>
          <w:b/>
          <w:bCs/>
          <w:sz w:val="28"/>
          <w:szCs w:val="28"/>
          <w:lang w:val="en-US"/>
        </w:rPr>
        <w:t>Figure 3: Second Pass Regression Results</w:t>
      </w:r>
    </w:p>
    <w:tbl>
      <w:tblPr>
        <w:tblStyle w:val="PlainTable5"/>
        <w:tblW w:w="9450" w:type="dxa"/>
        <w:tblLayout w:type="fixed"/>
        <w:tblLook w:val="04A0" w:firstRow="1" w:lastRow="0" w:firstColumn="1" w:lastColumn="0" w:noHBand="0" w:noVBand="1"/>
      </w:tblPr>
      <w:tblGrid>
        <w:gridCol w:w="1350"/>
        <w:gridCol w:w="1350"/>
        <w:gridCol w:w="1350"/>
        <w:gridCol w:w="1350"/>
        <w:gridCol w:w="1350"/>
        <w:gridCol w:w="1350"/>
        <w:gridCol w:w="1350"/>
      </w:tblGrid>
      <w:tr w:rsidR="00F839C9" w14:paraId="22C42469" w14:textId="77777777" w:rsidTr="00DB08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6A81700F" w14:textId="77777777" w:rsidR="00F839C9" w:rsidRPr="003937A6" w:rsidRDefault="00F839C9" w:rsidP="00DB086F">
            <w:pPr>
              <w:rPr>
                <w:b/>
                <w:bCs/>
                <w:lang w:val="en-US"/>
              </w:rPr>
            </w:pPr>
          </w:p>
        </w:tc>
        <w:tc>
          <w:tcPr>
            <w:tcW w:w="1350" w:type="dxa"/>
            <w:vAlign w:val="center"/>
          </w:tcPr>
          <w:p w14:paraId="02B4DB93" w14:textId="77777777" w:rsidR="00F839C9" w:rsidRPr="003937A6" w:rsidRDefault="00F839C9" w:rsidP="00DB086F">
            <w:pPr>
              <w:jc w:val="center"/>
              <w:cnfStyle w:val="100000000000" w:firstRow="1" w:lastRow="0" w:firstColumn="0" w:lastColumn="0" w:oddVBand="0" w:evenVBand="0" w:oddHBand="0" w:evenHBand="0" w:firstRowFirstColumn="0" w:firstRowLastColumn="0" w:lastRowFirstColumn="0" w:lastRowLastColumn="0"/>
              <w:rPr>
                <w:b/>
                <w:bCs/>
                <w:lang w:val="en-US"/>
              </w:rPr>
            </w:pPr>
            <w:r w:rsidRPr="003937A6">
              <w:rPr>
                <w:b/>
                <w:bCs/>
                <w:lang w:val="en-US"/>
              </w:rPr>
              <w:t>Coeff</w:t>
            </w:r>
            <w:r>
              <w:rPr>
                <w:b/>
                <w:bCs/>
                <w:lang w:val="en-US"/>
              </w:rPr>
              <w:t>icient</w:t>
            </w:r>
          </w:p>
        </w:tc>
        <w:tc>
          <w:tcPr>
            <w:tcW w:w="1350" w:type="dxa"/>
            <w:vAlign w:val="center"/>
          </w:tcPr>
          <w:p w14:paraId="6F584DFF" w14:textId="77777777" w:rsidR="00F839C9" w:rsidRPr="003937A6" w:rsidRDefault="00F839C9" w:rsidP="00DB086F">
            <w:pPr>
              <w:jc w:val="center"/>
              <w:cnfStyle w:val="100000000000" w:firstRow="1" w:lastRow="0" w:firstColumn="0" w:lastColumn="0" w:oddVBand="0" w:evenVBand="0" w:oddHBand="0" w:evenHBand="0" w:firstRowFirstColumn="0" w:firstRowLastColumn="0" w:lastRowFirstColumn="0" w:lastRowLastColumn="0"/>
              <w:rPr>
                <w:b/>
                <w:bCs/>
                <w:lang w:val="en-US"/>
              </w:rPr>
            </w:pPr>
            <w:r w:rsidRPr="003937A6">
              <w:rPr>
                <w:b/>
                <w:bCs/>
                <w:lang w:val="en-US"/>
              </w:rPr>
              <w:t>Std. Error</w:t>
            </w:r>
          </w:p>
        </w:tc>
        <w:tc>
          <w:tcPr>
            <w:tcW w:w="1350" w:type="dxa"/>
            <w:vAlign w:val="center"/>
          </w:tcPr>
          <w:p w14:paraId="29B5274D" w14:textId="77777777" w:rsidR="00F839C9" w:rsidRPr="003937A6" w:rsidRDefault="00F839C9" w:rsidP="00DB086F">
            <w:pPr>
              <w:jc w:val="center"/>
              <w:cnfStyle w:val="100000000000" w:firstRow="1" w:lastRow="0" w:firstColumn="0" w:lastColumn="0" w:oddVBand="0" w:evenVBand="0" w:oddHBand="0" w:evenHBand="0" w:firstRowFirstColumn="0" w:firstRowLastColumn="0" w:lastRowFirstColumn="0" w:lastRowLastColumn="0"/>
              <w:rPr>
                <w:b/>
                <w:bCs/>
                <w:lang w:val="en-US"/>
              </w:rPr>
            </w:pPr>
            <w:r w:rsidRPr="003937A6">
              <w:rPr>
                <w:b/>
                <w:bCs/>
                <w:lang w:val="en-US"/>
              </w:rPr>
              <w:t>t</w:t>
            </w:r>
          </w:p>
        </w:tc>
        <w:tc>
          <w:tcPr>
            <w:tcW w:w="1350" w:type="dxa"/>
            <w:vAlign w:val="center"/>
          </w:tcPr>
          <w:p w14:paraId="25B18286" w14:textId="77777777" w:rsidR="00F839C9" w:rsidRPr="003937A6" w:rsidRDefault="00F839C9" w:rsidP="00DB086F">
            <w:pPr>
              <w:jc w:val="center"/>
              <w:cnfStyle w:val="100000000000" w:firstRow="1" w:lastRow="0" w:firstColumn="0" w:lastColumn="0" w:oddVBand="0" w:evenVBand="0" w:oddHBand="0" w:evenHBand="0" w:firstRowFirstColumn="0" w:firstRowLastColumn="0" w:lastRowFirstColumn="0" w:lastRowLastColumn="0"/>
              <w:rPr>
                <w:b/>
                <w:bCs/>
                <w:lang w:val="en-US"/>
              </w:rPr>
            </w:pPr>
            <w:r w:rsidRPr="003937A6">
              <w:rPr>
                <w:b/>
                <w:bCs/>
                <w:lang w:val="en-US"/>
              </w:rPr>
              <w:t>P &gt; |t|</w:t>
            </w:r>
          </w:p>
        </w:tc>
        <w:tc>
          <w:tcPr>
            <w:tcW w:w="1350" w:type="dxa"/>
            <w:vAlign w:val="center"/>
          </w:tcPr>
          <w:p w14:paraId="25E92872" w14:textId="77777777" w:rsidR="00F839C9" w:rsidRPr="003937A6" w:rsidRDefault="00F839C9" w:rsidP="00DB086F">
            <w:pPr>
              <w:jc w:val="center"/>
              <w:cnfStyle w:val="100000000000" w:firstRow="1" w:lastRow="0" w:firstColumn="0" w:lastColumn="0" w:oddVBand="0" w:evenVBand="0" w:oddHBand="0" w:evenHBand="0" w:firstRowFirstColumn="0" w:firstRowLastColumn="0" w:lastRowFirstColumn="0" w:lastRowLastColumn="0"/>
              <w:rPr>
                <w:b/>
                <w:bCs/>
                <w:lang w:val="en-US"/>
              </w:rPr>
            </w:pPr>
            <w:r w:rsidRPr="003937A6">
              <w:rPr>
                <w:b/>
                <w:bCs/>
                <w:lang w:val="en-US"/>
              </w:rPr>
              <w:t>[0.025</w:t>
            </w:r>
          </w:p>
        </w:tc>
        <w:tc>
          <w:tcPr>
            <w:tcW w:w="1350" w:type="dxa"/>
            <w:vAlign w:val="center"/>
          </w:tcPr>
          <w:p w14:paraId="7CC1681D" w14:textId="77777777" w:rsidR="00F839C9" w:rsidRPr="003937A6" w:rsidRDefault="00F839C9" w:rsidP="00DB086F">
            <w:pPr>
              <w:jc w:val="center"/>
              <w:cnfStyle w:val="100000000000" w:firstRow="1" w:lastRow="0" w:firstColumn="0" w:lastColumn="0" w:oddVBand="0" w:evenVBand="0" w:oddHBand="0" w:evenHBand="0" w:firstRowFirstColumn="0" w:firstRowLastColumn="0" w:lastRowFirstColumn="0" w:lastRowLastColumn="0"/>
              <w:rPr>
                <w:b/>
                <w:bCs/>
                <w:lang w:val="en-US"/>
              </w:rPr>
            </w:pPr>
            <w:r w:rsidRPr="003937A6">
              <w:rPr>
                <w:b/>
                <w:bCs/>
                <w:lang w:val="en-US"/>
              </w:rPr>
              <w:t>0.975]</w:t>
            </w:r>
          </w:p>
        </w:tc>
      </w:tr>
      <w:tr w:rsidR="00F839C9" w14:paraId="357FCF62" w14:textId="77777777" w:rsidTr="00DB0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9B59DFE" w14:textId="77777777" w:rsidR="00F839C9" w:rsidRPr="003937A6" w:rsidRDefault="00F839C9" w:rsidP="00DB086F">
            <w:pPr>
              <w:rPr>
                <w:b/>
                <w:bCs/>
                <w:lang w:val="en-US"/>
              </w:rPr>
            </w:pPr>
            <w:r w:rsidRPr="003937A6">
              <w:rPr>
                <w:b/>
                <w:bCs/>
                <w:lang w:val="en-US"/>
              </w:rPr>
              <w:t>Intercept</w:t>
            </w:r>
          </w:p>
        </w:tc>
        <w:tc>
          <w:tcPr>
            <w:tcW w:w="1350" w:type="dxa"/>
            <w:vAlign w:val="center"/>
          </w:tcPr>
          <w:p w14:paraId="277B0EEA"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-0.0071</w:t>
            </w:r>
          </w:p>
        </w:tc>
        <w:tc>
          <w:tcPr>
            <w:tcW w:w="1350" w:type="dxa"/>
            <w:vAlign w:val="center"/>
          </w:tcPr>
          <w:p w14:paraId="36F7E13A"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0.003</w:t>
            </w:r>
          </w:p>
        </w:tc>
        <w:tc>
          <w:tcPr>
            <w:tcW w:w="1350" w:type="dxa"/>
            <w:vAlign w:val="center"/>
          </w:tcPr>
          <w:p w14:paraId="5E884D14"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-2.789</w:t>
            </w:r>
          </w:p>
        </w:tc>
        <w:tc>
          <w:tcPr>
            <w:tcW w:w="1350" w:type="dxa"/>
            <w:vAlign w:val="center"/>
          </w:tcPr>
          <w:p w14:paraId="2E01DE65"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0.006</w:t>
            </w:r>
          </w:p>
        </w:tc>
        <w:tc>
          <w:tcPr>
            <w:tcW w:w="1350" w:type="dxa"/>
            <w:vAlign w:val="center"/>
          </w:tcPr>
          <w:p w14:paraId="18BD9246"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-0.012</w:t>
            </w:r>
          </w:p>
        </w:tc>
        <w:tc>
          <w:tcPr>
            <w:tcW w:w="1350" w:type="dxa"/>
            <w:vAlign w:val="center"/>
          </w:tcPr>
          <w:p w14:paraId="3BA14924"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-0.002</w:t>
            </w:r>
          </w:p>
        </w:tc>
      </w:tr>
      <w:tr w:rsidR="00F839C9" w14:paraId="74CDE090" w14:textId="77777777" w:rsidTr="00DB086F">
        <w:tc>
          <w:tcPr>
            <w:cnfStyle w:val="001000000000" w:firstRow="0" w:lastRow="0" w:firstColumn="1" w:lastColumn="0" w:oddVBand="0" w:evenVBand="0" w:oddHBand="0" w:evenHBand="0" w:firstRowFirstColumn="0" w:firstRowLastColumn="0" w:lastRowFirstColumn="0" w:lastRowLastColumn="0"/>
            <w:tcW w:w="1350" w:type="dxa"/>
          </w:tcPr>
          <w:p w14:paraId="0343AC43" w14:textId="77777777" w:rsidR="00F839C9" w:rsidRPr="003937A6" w:rsidRDefault="00F839C9" w:rsidP="00DB086F">
            <w:pPr>
              <w:rPr>
                <w:b/>
                <w:bCs/>
                <w:lang w:val="en-US"/>
              </w:rPr>
            </w:pPr>
            <w:r>
              <w:rPr>
                <w:b/>
                <w:bCs/>
                <w:lang w:val="en-US"/>
              </w:rPr>
              <w:t xml:space="preserve">Stocks </w:t>
            </w:r>
            <w:r w:rsidRPr="003937A6">
              <w:rPr>
                <w:b/>
                <w:bCs/>
                <w:lang w:val="en-US"/>
              </w:rPr>
              <w:t>Beta</w:t>
            </w:r>
          </w:p>
        </w:tc>
        <w:tc>
          <w:tcPr>
            <w:tcW w:w="1350" w:type="dxa"/>
            <w:vAlign w:val="center"/>
          </w:tcPr>
          <w:p w14:paraId="563428A8" w14:textId="77777777" w:rsidR="00F839C9" w:rsidRDefault="00F839C9" w:rsidP="00DB08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0.0029</w:t>
            </w:r>
          </w:p>
        </w:tc>
        <w:tc>
          <w:tcPr>
            <w:tcW w:w="1350" w:type="dxa"/>
            <w:vAlign w:val="center"/>
          </w:tcPr>
          <w:p w14:paraId="2A089638" w14:textId="77777777" w:rsidR="00F839C9" w:rsidRDefault="00F839C9" w:rsidP="00DB08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0.002</w:t>
            </w:r>
          </w:p>
        </w:tc>
        <w:tc>
          <w:tcPr>
            <w:tcW w:w="1350" w:type="dxa"/>
            <w:vAlign w:val="center"/>
          </w:tcPr>
          <w:p w14:paraId="26779D04" w14:textId="77777777" w:rsidR="00F839C9" w:rsidRDefault="00F839C9" w:rsidP="00DB08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1.278</w:t>
            </w:r>
          </w:p>
        </w:tc>
        <w:tc>
          <w:tcPr>
            <w:tcW w:w="1350" w:type="dxa"/>
            <w:vAlign w:val="center"/>
          </w:tcPr>
          <w:p w14:paraId="55CF5E8B" w14:textId="3E2CCF94" w:rsidR="009F376E" w:rsidRDefault="00F839C9" w:rsidP="009F37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0.204</w:t>
            </w:r>
          </w:p>
        </w:tc>
        <w:tc>
          <w:tcPr>
            <w:tcW w:w="1350" w:type="dxa"/>
            <w:vAlign w:val="center"/>
          </w:tcPr>
          <w:p w14:paraId="0F6AEE43" w14:textId="77777777" w:rsidR="00F839C9" w:rsidRDefault="00F839C9" w:rsidP="00DB08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-0.002</w:t>
            </w:r>
          </w:p>
        </w:tc>
        <w:tc>
          <w:tcPr>
            <w:tcW w:w="1350" w:type="dxa"/>
            <w:vAlign w:val="center"/>
          </w:tcPr>
          <w:p w14:paraId="14434C2C" w14:textId="77777777" w:rsidR="00F839C9" w:rsidRDefault="00F839C9" w:rsidP="00DB08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0.007</w:t>
            </w:r>
          </w:p>
        </w:tc>
      </w:tr>
      <w:tr w:rsidR="00F839C9" w14:paraId="22E38CEC" w14:textId="77777777" w:rsidTr="00DB0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bottom w:val="single" w:sz="4" w:space="0" w:color="auto"/>
            </w:tcBorders>
          </w:tcPr>
          <w:p w14:paraId="192CF771" w14:textId="77777777" w:rsidR="00F839C9" w:rsidRPr="003937A6" w:rsidRDefault="00F839C9" w:rsidP="00DB086F">
            <w:pPr>
              <w:rPr>
                <w:b/>
                <w:bCs/>
                <w:lang w:val="en-US"/>
              </w:rPr>
            </w:pPr>
            <w:r w:rsidRPr="003937A6">
              <w:rPr>
                <w:b/>
                <w:bCs/>
                <w:lang w:val="en-US"/>
              </w:rPr>
              <w:t>Residual Variance</w:t>
            </w:r>
          </w:p>
        </w:tc>
        <w:tc>
          <w:tcPr>
            <w:tcW w:w="1350" w:type="dxa"/>
            <w:tcBorders>
              <w:bottom w:val="single" w:sz="4" w:space="0" w:color="auto"/>
            </w:tcBorders>
            <w:vAlign w:val="center"/>
          </w:tcPr>
          <w:p w14:paraId="6D1D58BB"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sidRPr="00353FA4">
              <w:rPr>
                <w:lang w:val="en-US"/>
              </w:rPr>
              <w:t>0.0974</w:t>
            </w:r>
          </w:p>
        </w:tc>
        <w:tc>
          <w:tcPr>
            <w:tcW w:w="1350" w:type="dxa"/>
            <w:tcBorders>
              <w:bottom w:val="single" w:sz="4" w:space="0" w:color="auto"/>
            </w:tcBorders>
            <w:vAlign w:val="center"/>
          </w:tcPr>
          <w:p w14:paraId="19E1DDFF"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sidRPr="00353FA4">
              <w:rPr>
                <w:lang w:val="en-US"/>
              </w:rPr>
              <w:t>0.018</w:t>
            </w:r>
          </w:p>
        </w:tc>
        <w:tc>
          <w:tcPr>
            <w:tcW w:w="1350" w:type="dxa"/>
            <w:tcBorders>
              <w:bottom w:val="single" w:sz="4" w:space="0" w:color="auto"/>
            </w:tcBorders>
            <w:vAlign w:val="center"/>
          </w:tcPr>
          <w:p w14:paraId="090E2E05"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sidRPr="00353FA4">
              <w:rPr>
                <w:lang w:val="en-US"/>
              </w:rPr>
              <w:t>5.490</w:t>
            </w:r>
          </w:p>
        </w:tc>
        <w:tc>
          <w:tcPr>
            <w:tcW w:w="1350" w:type="dxa"/>
            <w:tcBorders>
              <w:bottom w:val="single" w:sz="4" w:space="0" w:color="auto"/>
            </w:tcBorders>
            <w:vAlign w:val="center"/>
          </w:tcPr>
          <w:p w14:paraId="00083A01"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sidRPr="00353FA4">
              <w:rPr>
                <w:lang w:val="en-US"/>
              </w:rPr>
              <w:t>0.000</w:t>
            </w:r>
          </w:p>
        </w:tc>
        <w:tc>
          <w:tcPr>
            <w:tcW w:w="1350" w:type="dxa"/>
            <w:tcBorders>
              <w:bottom w:val="single" w:sz="4" w:space="0" w:color="auto"/>
            </w:tcBorders>
            <w:vAlign w:val="center"/>
          </w:tcPr>
          <w:p w14:paraId="56A5F714"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sidRPr="00353FA4">
              <w:rPr>
                <w:lang w:val="en-US"/>
              </w:rPr>
              <w:t>0.062</w:t>
            </w:r>
          </w:p>
        </w:tc>
        <w:tc>
          <w:tcPr>
            <w:tcW w:w="1350" w:type="dxa"/>
            <w:tcBorders>
              <w:bottom w:val="single" w:sz="4" w:space="0" w:color="auto"/>
            </w:tcBorders>
            <w:vAlign w:val="center"/>
          </w:tcPr>
          <w:p w14:paraId="38049561" w14:textId="77777777" w:rsidR="00F839C9" w:rsidRDefault="00F839C9" w:rsidP="00DB086F">
            <w:pPr>
              <w:jc w:val="center"/>
              <w:cnfStyle w:val="000000100000" w:firstRow="0" w:lastRow="0" w:firstColumn="0" w:lastColumn="0" w:oddVBand="0" w:evenVBand="0" w:oddHBand="1" w:evenHBand="0" w:firstRowFirstColumn="0" w:firstRowLastColumn="0" w:lastRowFirstColumn="0" w:lastRowLastColumn="0"/>
              <w:rPr>
                <w:lang w:val="en-US"/>
              </w:rPr>
            </w:pPr>
            <w:r w:rsidRPr="00353FA4">
              <w:rPr>
                <w:lang w:val="en-US"/>
              </w:rPr>
              <w:t>0.133</w:t>
            </w:r>
          </w:p>
        </w:tc>
      </w:tr>
      <w:tr w:rsidR="00F839C9" w14:paraId="765AD3AC" w14:textId="77777777" w:rsidTr="00DB086F">
        <w:tc>
          <w:tcPr>
            <w:cnfStyle w:val="001000000000" w:firstRow="0" w:lastRow="0" w:firstColumn="1" w:lastColumn="0" w:oddVBand="0" w:evenVBand="0" w:oddHBand="0" w:evenHBand="0" w:firstRowFirstColumn="0" w:firstRowLastColumn="0" w:lastRowFirstColumn="0" w:lastRowLastColumn="0"/>
            <w:tcW w:w="9450" w:type="dxa"/>
            <w:gridSpan w:val="7"/>
            <w:tcBorders>
              <w:top w:val="single" w:sz="4" w:space="0" w:color="auto"/>
              <w:right w:val="none" w:sz="0" w:space="0" w:color="auto"/>
            </w:tcBorders>
          </w:tcPr>
          <w:p w14:paraId="0EA1F5AE" w14:textId="77777777" w:rsidR="00F839C9" w:rsidRPr="00844533" w:rsidRDefault="00F839C9" w:rsidP="00DB086F">
            <w:pPr>
              <w:jc w:val="left"/>
              <w:rPr>
                <w:rFonts w:asciiTheme="minorHAnsi" w:hAnsiTheme="minorHAnsi" w:cstheme="minorHAnsi"/>
                <w:i w:val="0"/>
                <w:iCs w:val="0"/>
                <w:lang w:val="en-US"/>
              </w:rPr>
            </w:pPr>
            <w:r w:rsidRPr="00844533">
              <w:rPr>
                <w:rFonts w:asciiTheme="minorHAnsi" w:hAnsiTheme="minorHAnsi" w:cstheme="minorHAnsi"/>
                <w:i w:val="0"/>
                <w:iCs w:val="0"/>
                <w:lang w:val="en-US"/>
              </w:rPr>
              <w:t xml:space="preserve">No. Observations: 100   </w:t>
            </w:r>
          </w:p>
        </w:tc>
      </w:tr>
      <w:tr w:rsidR="00F839C9" w14:paraId="20DA74B8" w14:textId="77777777" w:rsidTr="00DB086F">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9450" w:type="dxa"/>
            <w:gridSpan w:val="7"/>
            <w:tcBorders>
              <w:right w:val="none" w:sz="0" w:space="0" w:color="auto"/>
            </w:tcBorders>
          </w:tcPr>
          <w:p w14:paraId="157767EC" w14:textId="77777777" w:rsidR="00F839C9" w:rsidRPr="00844533" w:rsidRDefault="00F839C9" w:rsidP="00DB086F">
            <w:pPr>
              <w:jc w:val="left"/>
              <w:rPr>
                <w:rFonts w:asciiTheme="minorHAnsi" w:hAnsiTheme="minorHAnsi" w:cstheme="minorHAnsi"/>
                <w:i w:val="0"/>
                <w:iCs w:val="0"/>
                <w:lang w:val="en-US"/>
              </w:rPr>
            </w:pPr>
            <w:r w:rsidRPr="00844533">
              <w:rPr>
                <w:rFonts w:asciiTheme="minorHAnsi" w:hAnsiTheme="minorHAnsi" w:cstheme="minorHAnsi"/>
                <w:i w:val="0"/>
                <w:iCs w:val="0"/>
                <w:lang w:val="en-US"/>
              </w:rPr>
              <w:t>R-squared: 0.269</w:t>
            </w:r>
          </w:p>
        </w:tc>
      </w:tr>
    </w:tbl>
    <w:p w14:paraId="32534D48" w14:textId="77777777" w:rsidR="00C80EE3" w:rsidRDefault="00C80EE3" w:rsidP="00F839C9">
      <w:pPr>
        <w:spacing w:after="0" w:line="240" w:lineRule="auto"/>
        <w:rPr>
          <w:lang w:val="en-US"/>
        </w:rPr>
      </w:pPr>
    </w:p>
    <w:p w14:paraId="33AB9DBB" w14:textId="77777777" w:rsidR="00E26F96" w:rsidRPr="009F376E" w:rsidRDefault="00E26F96" w:rsidP="00E26F96">
      <w:pPr>
        <w:spacing w:after="0" w:line="480" w:lineRule="auto"/>
        <w:rPr>
          <w:b/>
          <w:bCs/>
          <w:lang w:val="en-US"/>
        </w:rPr>
      </w:pPr>
      <w:r w:rsidRPr="009F376E">
        <w:rPr>
          <w:b/>
          <w:bCs/>
          <w:lang w:val="en-US"/>
        </w:rPr>
        <w:t>Results</w:t>
      </w:r>
    </w:p>
    <w:p w14:paraId="11DA1B3C" w14:textId="678E1A1B" w:rsidR="00EC3894" w:rsidRPr="00E26F96" w:rsidRDefault="00490993" w:rsidP="00E26F96">
      <w:pPr>
        <w:spacing w:after="0" w:line="480" w:lineRule="auto"/>
        <w:rPr>
          <w:lang w:val="en-US"/>
        </w:rPr>
      </w:pPr>
      <w:r>
        <w:rPr>
          <w:lang w:val="en-US"/>
        </w:rPr>
        <w:t xml:space="preserve">The second pass regression shows the </w:t>
      </w:r>
      <w:r w:rsidR="00E26F96" w:rsidRPr="00E26F96">
        <w:rPr>
          <w:lang w:val="en-US"/>
        </w:rPr>
        <w:t>coefficient</w:t>
      </w:r>
      <w:r>
        <w:rPr>
          <w:lang w:val="en-US"/>
        </w:rPr>
        <w:t>s</w:t>
      </w:r>
      <w:r w:rsidR="00E26F96" w:rsidRPr="00E26F96">
        <w:rPr>
          <w:lang w:val="en-US"/>
        </w:rPr>
        <w:t xml:space="preserve"> on the variance of the residuals </w:t>
      </w:r>
      <w:r>
        <w:rPr>
          <w:lang w:val="en-US"/>
        </w:rPr>
        <w:t xml:space="preserve">and intercept </w:t>
      </w:r>
      <w:r w:rsidR="00E26F96" w:rsidRPr="00E26F96">
        <w:rPr>
          <w:lang w:val="en-US"/>
        </w:rPr>
        <w:t xml:space="preserve">to be statistically different from 0. </w:t>
      </w:r>
      <w:r>
        <w:rPr>
          <w:lang w:val="en-US"/>
        </w:rPr>
        <w:t xml:space="preserve">An F-test that </w:t>
      </w: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r>
          <w:rPr>
            <w:rFonts w:ascii="Cambria Math" w:hAnsi="Cambria Math"/>
            <w:lang w:val="en-US"/>
          </w:rPr>
          <m:t>= -0.0041</m:t>
        </m:r>
      </m:oMath>
      <w:r>
        <w:rPr>
          <w:rFonts w:eastAsiaTheme="minorEastAsia"/>
          <w:lang w:val="en-US"/>
        </w:rPr>
        <w:t xml:space="preserve"> </w:t>
      </w:r>
      <w:r w:rsidR="0058309D">
        <w:rPr>
          <w:rFonts w:eastAsiaTheme="minorEastAsia"/>
          <w:lang w:val="en-US"/>
        </w:rPr>
        <w:t xml:space="preserve">reported an F-value of 0.0027 which means that the stock’s beta coefficient is statistically different from -0.0041. </w:t>
      </w:r>
      <w:r w:rsidR="00E26F96" w:rsidRPr="00E26F96">
        <w:rPr>
          <w:lang w:val="en-US"/>
        </w:rPr>
        <w:t xml:space="preserve">These results </w:t>
      </w:r>
      <w:r w:rsidR="00EC3894">
        <w:rPr>
          <w:lang w:val="en-US"/>
        </w:rPr>
        <w:t>reject the CAPM.</w:t>
      </w:r>
    </w:p>
    <w:p w14:paraId="41C3B407" w14:textId="22E3E3A4" w:rsidR="00531FC8" w:rsidRPr="00E26F96" w:rsidRDefault="00E26F96" w:rsidP="00327984">
      <w:pPr>
        <w:spacing w:before="240" w:after="0" w:line="480" w:lineRule="auto"/>
        <w:rPr>
          <w:lang w:val="en-US"/>
        </w:rPr>
      </w:pPr>
      <w:r w:rsidRPr="00E26F96">
        <w:rPr>
          <w:lang w:val="en-US"/>
        </w:rPr>
        <w:t xml:space="preserve">The positive beta coefficient suggests that </w:t>
      </w:r>
      <w:r w:rsidR="0058309D">
        <w:rPr>
          <w:lang w:val="en-US"/>
        </w:rPr>
        <w:t xml:space="preserve">higher beta </w:t>
      </w:r>
      <w:r w:rsidRPr="00E26F96">
        <w:rPr>
          <w:lang w:val="en-US"/>
        </w:rPr>
        <w:t>stocks had higher risk premiums, which makes sense. However, the residual variance coefficient is positive, which suggests factors besides a stock's beta influence the risk premium. The residual variance coefficient is extremely statistically significant, the p-value is essentially 0. </w:t>
      </w:r>
    </w:p>
    <w:p w14:paraId="6B1A54C9" w14:textId="34F46BB5" w:rsidR="00531FC8" w:rsidRPr="00E26F96" w:rsidRDefault="00E26F96" w:rsidP="00327984">
      <w:pPr>
        <w:spacing w:before="240" w:line="480" w:lineRule="auto"/>
        <w:rPr>
          <w:lang w:val="en-US"/>
        </w:rPr>
      </w:pPr>
      <w:r w:rsidRPr="00E26F96">
        <w:rPr>
          <w:lang w:val="en-US"/>
        </w:rPr>
        <w:t xml:space="preserve">There are several possible explanations as to why </w:t>
      </w:r>
      <w:r w:rsidR="0058309D">
        <w:rPr>
          <w:lang w:val="en-US"/>
        </w:rPr>
        <w:t>the CAPM was rejected</w:t>
      </w:r>
      <w:r w:rsidRPr="00E26F96">
        <w:rPr>
          <w:lang w:val="en-US"/>
        </w:rPr>
        <w:t>. One weakness in this experiment is an over representation of large established firms. The average start date for a stock in the sample is 1988, which means that most of these companies have been around for a long time and are likely well established. Large firms tend to have smaller betas compared to small startup firms. This could cause an upward bias in the beta coefficient of the second pass regression</w:t>
      </w:r>
      <w:r w:rsidR="00622447">
        <w:rPr>
          <w:lang w:val="en-US"/>
        </w:rPr>
        <w:t xml:space="preserve"> because the sample may be over-representing the systematic risk in the market. If this experiment used a more </w:t>
      </w:r>
      <w:r w:rsidR="00622447">
        <w:rPr>
          <w:lang w:val="en-US"/>
        </w:rPr>
        <w:lastRenderedPageBreak/>
        <w:t xml:space="preserve">representative </w:t>
      </w:r>
      <w:r w:rsidR="001428BA">
        <w:rPr>
          <w:lang w:val="en-US"/>
        </w:rPr>
        <w:t>sample,</w:t>
      </w:r>
      <w:r w:rsidR="00622447">
        <w:rPr>
          <w:lang w:val="en-US"/>
        </w:rPr>
        <w:t xml:space="preserve"> it could be that the beta coefficient would be smaller and closer to the value that the CAPM would predict.</w:t>
      </w:r>
    </w:p>
    <w:p w14:paraId="51FDFF94" w14:textId="214082E6" w:rsidR="00E26F96" w:rsidRDefault="00E26F96" w:rsidP="00327984">
      <w:pPr>
        <w:spacing w:line="480" w:lineRule="auto"/>
        <w:rPr>
          <w:lang w:val="en-US"/>
        </w:rPr>
      </w:pPr>
      <w:r w:rsidRPr="00E26F96">
        <w:rPr>
          <w:lang w:val="en-US"/>
        </w:rPr>
        <w:t xml:space="preserve">Another possible reason the CAPM </w:t>
      </w:r>
      <w:r w:rsidR="0058309D">
        <w:rPr>
          <w:lang w:val="en-US"/>
        </w:rPr>
        <w:t>was rejected</w:t>
      </w:r>
      <w:r w:rsidRPr="00E26F96">
        <w:rPr>
          <w:lang w:val="en-US"/>
        </w:rPr>
        <w:t xml:space="preserve"> could be due to the violation of one or more of the CAPM assumptions. The CAPM relies on a list of assumptions that must be true for the results to be consistent with the theory. One of those assumptions that is almost certainly violated is that all investors have homogeneous expectations</w:t>
      </w:r>
      <w:bookmarkStart w:id="0" w:name="_Ref131861032"/>
      <w:r w:rsidR="00B5477F">
        <w:rPr>
          <w:rStyle w:val="FootnoteReference"/>
          <w:lang w:val="en-US"/>
        </w:rPr>
        <w:footnoteReference w:id="2"/>
      </w:r>
      <w:bookmarkEnd w:id="0"/>
      <w:r w:rsidRPr="00E26F96">
        <w:rPr>
          <w:lang w:val="en-US"/>
        </w:rPr>
        <w:t xml:space="preserve">. The sample period occurred during a time of great financial uncertainty due to COVID-19. The asymmetry of information during this </w:t>
      </w:r>
      <w:r w:rsidR="00382333">
        <w:rPr>
          <w:lang w:val="en-US"/>
        </w:rPr>
        <w:t xml:space="preserve">period </w:t>
      </w:r>
      <w:r w:rsidRPr="00E26F96">
        <w:rPr>
          <w:lang w:val="en-US"/>
        </w:rPr>
        <w:t xml:space="preserve">was likely much higher than previous </w:t>
      </w:r>
      <w:r w:rsidR="00382333">
        <w:rPr>
          <w:lang w:val="en-US"/>
        </w:rPr>
        <w:t>periods because</w:t>
      </w:r>
      <w:r w:rsidR="001428BA">
        <w:rPr>
          <w:lang w:val="en-US"/>
        </w:rPr>
        <w:t xml:space="preserve"> certain people or industries may have had more information on the progress of a vaccine. While </w:t>
      </w:r>
      <w:proofErr w:type="gramStart"/>
      <w:r w:rsidR="001428BA">
        <w:rPr>
          <w:lang w:val="en-US"/>
        </w:rPr>
        <w:t>it’s</w:t>
      </w:r>
      <w:proofErr w:type="gramEnd"/>
      <w:r w:rsidR="001428BA">
        <w:rPr>
          <w:lang w:val="en-US"/>
        </w:rPr>
        <w:t xml:space="preserve"> hard to quantify exactly how much asymmetry existed during this time, it’s </w:t>
      </w:r>
      <w:r w:rsidR="001365F5">
        <w:rPr>
          <w:lang w:val="en-US"/>
        </w:rPr>
        <w:t>reasonable</w:t>
      </w:r>
      <w:r w:rsidR="001428BA">
        <w:rPr>
          <w:lang w:val="en-US"/>
        </w:rPr>
        <w:t xml:space="preserve"> to expect it was higher.</w:t>
      </w:r>
      <w:r w:rsidRPr="00E26F96">
        <w:rPr>
          <w:lang w:val="en-US"/>
        </w:rPr>
        <w:t xml:space="preserve"> </w:t>
      </w:r>
      <w:r w:rsidR="001428BA">
        <w:rPr>
          <w:lang w:val="en-US"/>
        </w:rPr>
        <w:t>The asymmetry of information would have increased market volatility and introduced noise into the CAPM prediction.</w:t>
      </w:r>
    </w:p>
    <w:p w14:paraId="24695904" w14:textId="421BF627" w:rsidR="00531FC8" w:rsidRPr="002D74D2" w:rsidRDefault="00E26F96" w:rsidP="00327984">
      <w:pPr>
        <w:spacing w:before="240" w:line="480" w:lineRule="auto"/>
        <w:rPr>
          <w:lang w:val="en-US"/>
        </w:rPr>
      </w:pPr>
      <w:r w:rsidRPr="00E26F96">
        <w:rPr>
          <w:lang w:val="en-US"/>
        </w:rPr>
        <w:t xml:space="preserve">Another assumption of the CAPM model that was likely violated </w:t>
      </w:r>
      <w:r w:rsidR="004E126D">
        <w:rPr>
          <w:lang w:val="en-US"/>
        </w:rPr>
        <w:t xml:space="preserve">is </w:t>
      </w:r>
      <w:r w:rsidRPr="00E26F96">
        <w:rPr>
          <w:lang w:val="en-US"/>
        </w:rPr>
        <w:t>the assumption that all investors have identical holding periods</w:t>
      </w:r>
      <w:r w:rsidR="00B5477F">
        <w:rPr>
          <w:vertAlign w:val="superscript"/>
          <w:lang w:val="en-US"/>
        </w:rPr>
        <w:t>3</w:t>
      </w:r>
      <w:r w:rsidRPr="00E26F96">
        <w:rPr>
          <w:lang w:val="en-US"/>
        </w:rPr>
        <w:t xml:space="preserve">. This is always a somewhat unrealistic assumption, but </w:t>
      </w:r>
      <w:proofErr w:type="gramStart"/>
      <w:r w:rsidRPr="00E26F96">
        <w:rPr>
          <w:lang w:val="en-US"/>
        </w:rPr>
        <w:t>it’s</w:t>
      </w:r>
      <w:proofErr w:type="gramEnd"/>
      <w:r w:rsidRPr="00E26F96">
        <w:rPr>
          <w:lang w:val="en-US"/>
        </w:rPr>
        <w:t xml:space="preserve"> even more unrealistic considering everything that transpired during the pandemic. Uninformed traders flooded the market </w:t>
      </w:r>
      <w:proofErr w:type="gramStart"/>
      <w:r w:rsidRPr="00E26F96">
        <w:rPr>
          <w:lang w:val="en-US"/>
        </w:rPr>
        <w:t>in an effort to</w:t>
      </w:r>
      <w:proofErr w:type="gramEnd"/>
      <w:r w:rsidRPr="00E26F96">
        <w:rPr>
          <w:lang w:val="en-US"/>
        </w:rPr>
        <w:t xml:space="preserve"> make money while in quarantine. </w:t>
      </w:r>
      <w:r w:rsidR="00622447">
        <w:rPr>
          <w:lang w:val="en-US"/>
        </w:rPr>
        <w:t>These</w:t>
      </w:r>
      <w:r w:rsidRPr="00E26F96">
        <w:rPr>
          <w:lang w:val="en-US"/>
        </w:rPr>
        <w:t xml:space="preserve"> investors likely had much shorter time horizons which would influence their risk-tolerance and expected returns. Impatient investors are more likely to pay an additional premium for securities that can potentially offer quicker returns. Examples of these securities would include crypto currency. The additional willingness to pay for quick returns would show up in the residuals</w:t>
      </w:r>
      <w:r w:rsidR="00622447">
        <w:rPr>
          <w:lang w:val="en-US"/>
        </w:rPr>
        <w:t xml:space="preserve"> of the second pass regression because it is a factor that influenced the risk </w:t>
      </w:r>
      <w:r w:rsidR="00622447">
        <w:rPr>
          <w:lang w:val="en-US"/>
        </w:rPr>
        <w:lastRenderedPageBreak/>
        <w:t>premiums but is unrelated t</w:t>
      </w:r>
      <w:r w:rsidR="00382333">
        <w:rPr>
          <w:lang w:val="en-US"/>
        </w:rPr>
        <w:t xml:space="preserve">o the true value of the stock. </w:t>
      </w:r>
      <w:r w:rsidR="001428BA">
        <w:rPr>
          <w:lang w:val="en-US"/>
        </w:rPr>
        <w:t xml:space="preserve">Additionally, an increase in uninformed traders would only further increase the information asymmetry in the market further violating the homogeneous expectations assumption. </w:t>
      </w:r>
    </w:p>
    <w:p w14:paraId="51752406" w14:textId="0AA53514" w:rsidR="00E26F96" w:rsidRPr="00B62DEB" w:rsidRDefault="00E26F96" w:rsidP="00327984">
      <w:pPr>
        <w:spacing w:line="480" w:lineRule="auto"/>
        <w:rPr>
          <w:b/>
          <w:bCs/>
          <w:lang w:val="en-US"/>
        </w:rPr>
      </w:pPr>
      <w:r w:rsidRPr="00B62DEB">
        <w:rPr>
          <w:b/>
          <w:bCs/>
          <w:lang w:val="en-US"/>
        </w:rPr>
        <w:t>Conclusion</w:t>
      </w:r>
    </w:p>
    <w:p w14:paraId="4616307F" w14:textId="2FE95468" w:rsidR="00F839C9" w:rsidRPr="00F839C9" w:rsidRDefault="00E26F96" w:rsidP="00327984">
      <w:pPr>
        <w:spacing w:after="0" w:line="480" w:lineRule="auto"/>
        <w:rPr>
          <w:lang w:val="en-US"/>
        </w:rPr>
      </w:pPr>
      <w:r w:rsidRPr="00E26F96">
        <w:rPr>
          <w:lang w:val="en-US"/>
        </w:rPr>
        <w:t>The CAPM model predicts that the risk premium investors receive for a stock should only depend on how sensitive that stock is to</w:t>
      </w:r>
      <w:r w:rsidR="00CF0B08">
        <w:rPr>
          <w:lang w:val="en-US"/>
        </w:rPr>
        <w:t xml:space="preserve"> the</w:t>
      </w:r>
      <w:r w:rsidRPr="00E26F96">
        <w:rPr>
          <w:lang w:val="en-US"/>
        </w:rPr>
        <w:t xml:space="preserve"> market risk. An empirical test on the </w:t>
      </w:r>
      <w:r w:rsidR="00F4209F">
        <w:rPr>
          <w:lang w:val="en-US"/>
        </w:rPr>
        <w:t>CAPM rejected</w:t>
      </w:r>
      <w:r w:rsidRPr="00E26F96">
        <w:rPr>
          <w:lang w:val="en-US"/>
        </w:rPr>
        <w:t xml:space="preserve"> these results. </w:t>
      </w:r>
      <w:r w:rsidR="0034283D">
        <w:rPr>
          <w:lang w:val="en-US"/>
        </w:rPr>
        <w:t xml:space="preserve">However, a better experiment design and a less volatile period of analysis could potentially </w:t>
      </w:r>
      <w:r w:rsidR="00CF0B08">
        <w:rPr>
          <w:lang w:val="en-US"/>
        </w:rPr>
        <w:t>yield different results.</w:t>
      </w:r>
      <w:r w:rsidR="0034283D">
        <w:rPr>
          <w:lang w:val="en-US"/>
        </w:rPr>
        <w:t xml:space="preserve"> </w:t>
      </w:r>
      <w:r w:rsidRPr="00E26F96">
        <w:rPr>
          <w:lang w:val="en-US"/>
        </w:rPr>
        <w:t xml:space="preserve">Despite the CAPM’s empirical weaknesses, and unrealistic assumptions, it is still a useful model to understand asset pricing. The main idea of the CAPM is that stocks with high market risk should have higher risk premiums and therefore higher expected returns. </w:t>
      </w:r>
      <w:r w:rsidR="004E126D" w:rsidRPr="004E126D">
        <w:rPr>
          <w:lang w:val="en-US"/>
        </w:rPr>
        <w:t>The positive beta coefficient in the second pass regression c</w:t>
      </w:r>
      <w:r w:rsidR="004E126D">
        <w:rPr>
          <w:lang w:val="en-US"/>
        </w:rPr>
        <w:t>onfirms this finding</w:t>
      </w:r>
      <w:r w:rsidR="00601CB3">
        <w:rPr>
          <w:lang w:val="en-US"/>
        </w:rPr>
        <w:t>,</w:t>
      </w:r>
      <w:r w:rsidR="004E126D">
        <w:rPr>
          <w:lang w:val="en-US"/>
        </w:rPr>
        <w:t xml:space="preserve"> albeit without statistical significance.</w:t>
      </w:r>
    </w:p>
    <w:sectPr w:rsidR="00F839C9" w:rsidRPr="00F839C9" w:rsidSect="00793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D123" w14:textId="77777777" w:rsidR="00715983" w:rsidRDefault="00715983" w:rsidP="002645B8">
      <w:pPr>
        <w:spacing w:after="0" w:line="240" w:lineRule="auto"/>
      </w:pPr>
      <w:r>
        <w:separator/>
      </w:r>
    </w:p>
  </w:endnote>
  <w:endnote w:type="continuationSeparator" w:id="0">
    <w:p w14:paraId="36E150BE" w14:textId="77777777" w:rsidR="00715983" w:rsidRDefault="00715983" w:rsidP="00264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FF177" w14:textId="77777777" w:rsidR="00715983" w:rsidRDefault="00715983" w:rsidP="002645B8">
      <w:pPr>
        <w:spacing w:after="0" w:line="240" w:lineRule="auto"/>
      </w:pPr>
      <w:r>
        <w:separator/>
      </w:r>
    </w:p>
  </w:footnote>
  <w:footnote w:type="continuationSeparator" w:id="0">
    <w:p w14:paraId="797E949B" w14:textId="77777777" w:rsidR="00715983" w:rsidRDefault="00715983" w:rsidP="002645B8">
      <w:pPr>
        <w:spacing w:after="0" w:line="240" w:lineRule="auto"/>
      </w:pPr>
      <w:r>
        <w:continuationSeparator/>
      </w:r>
    </w:p>
  </w:footnote>
  <w:footnote w:id="1">
    <w:p w14:paraId="5C6B274C" w14:textId="67D89581" w:rsidR="002645B8" w:rsidRPr="00B5477F" w:rsidRDefault="002645B8">
      <w:pPr>
        <w:pStyle w:val="FootnoteText"/>
        <w:rPr>
          <w:lang w:val="en-US"/>
        </w:rPr>
      </w:pPr>
      <w:r>
        <w:rPr>
          <w:rStyle w:val="FootnoteReference"/>
        </w:rPr>
        <w:footnoteRef/>
      </w:r>
      <w:r w:rsidRPr="00B5477F">
        <w:rPr>
          <w:lang w:val="en-US"/>
        </w:rPr>
        <w:t xml:space="preserve"> </w:t>
      </w:r>
      <w:r w:rsidR="00B5477F" w:rsidRPr="00B5477F">
        <w:rPr>
          <w:lang w:val="en-US"/>
        </w:rPr>
        <w:t xml:space="preserve">The </w:t>
      </w:r>
      <w:r w:rsidR="00B5477F">
        <w:rPr>
          <w:lang w:val="en-US"/>
        </w:rPr>
        <w:t>a</w:t>
      </w:r>
      <w:r w:rsidR="00B5477F" w:rsidRPr="00B5477F">
        <w:rPr>
          <w:lang w:val="en-US"/>
        </w:rPr>
        <w:t xml:space="preserve">ssumptions of </w:t>
      </w:r>
      <w:r w:rsidR="009E77EA">
        <w:rPr>
          <w:lang w:val="en-US"/>
        </w:rPr>
        <w:t xml:space="preserve">the </w:t>
      </w:r>
      <w:r w:rsidR="00B5477F" w:rsidRPr="00B5477F">
        <w:rPr>
          <w:lang w:val="en-US"/>
        </w:rPr>
        <w:t>CAPM</w:t>
      </w:r>
      <w:r w:rsidRPr="00B5477F">
        <w:rPr>
          <w:lang w:val="en-US"/>
        </w:rPr>
        <w:t>:</w:t>
      </w:r>
    </w:p>
    <w:p w14:paraId="3490AB85" w14:textId="02A87559" w:rsidR="002645B8" w:rsidRPr="00B5477F" w:rsidRDefault="002645B8" w:rsidP="002645B8">
      <w:pPr>
        <w:pStyle w:val="FootnoteText"/>
        <w:numPr>
          <w:ilvl w:val="0"/>
          <w:numId w:val="3"/>
        </w:numPr>
        <w:rPr>
          <w:b/>
          <w:bCs/>
          <w:lang w:val="en-US"/>
        </w:rPr>
      </w:pPr>
      <w:r w:rsidRPr="00B5477F">
        <w:rPr>
          <w:b/>
          <w:bCs/>
          <w:lang w:val="en-US"/>
        </w:rPr>
        <w:t>Investors are mean-variance optimizers</w:t>
      </w:r>
    </w:p>
    <w:p w14:paraId="0F994484" w14:textId="16F140AD" w:rsidR="002645B8" w:rsidRDefault="002645B8" w:rsidP="002645B8">
      <w:pPr>
        <w:pStyle w:val="FootnoteText"/>
        <w:numPr>
          <w:ilvl w:val="0"/>
          <w:numId w:val="3"/>
        </w:numPr>
        <w:rPr>
          <w:lang w:val="en-US"/>
        </w:rPr>
      </w:pPr>
      <w:r>
        <w:rPr>
          <w:lang w:val="en-US"/>
        </w:rPr>
        <w:t>Investors have identical holding periods or common planning horizons</w:t>
      </w:r>
    </w:p>
    <w:p w14:paraId="5F535DED" w14:textId="7023CA82" w:rsidR="002645B8" w:rsidRDefault="002645B8" w:rsidP="002645B8">
      <w:pPr>
        <w:pStyle w:val="FootnoteText"/>
        <w:numPr>
          <w:ilvl w:val="0"/>
          <w:numId w:val="3"/>
        </w:numPr>
        <w:rPr>
          <w:lang w:val="en-US"/>
        </w:rPr>
      </w:pPr>
      <w:r>
        <w:rPr>
          <w:lang w:val="en-US"/>
        </w:rPr>
        <w:t>Investors have homogeneous expectations</w:t>
      </w:r>
    </w:p>
    <w:p w14:paraId="74A72AE1" w14:textId="5DED45BC" w:rsidR="002645B8" w:rsidRDefault="002645B8" w:rsidP="002645B8">
      <w:pPr>
        <w:pStyle w:val="FootnoteText"/>
        <w:numPr>
          <w:ilvl w:val="0"/>
          <w:numId w:val="3"/>
        </w:numPr>
        <w:rPr>
          <w:lang w:val="en-US"/>
        </w:rPr>
      </w:pPr>
      <w:r>
        <w:rPr>
          <w:lang w:val="en-US"/>
        </w:rPr>
        <w:t>All assets are publicly held and traded on public exchanges</w:t>
      </w:r>
    </w:p>
    <w:p w14:paraId="7E8CDA58" w14:textId="6B1C0EB6" w:rsidR="002645B8" w:rsidRDefault="002645B8" w:rsidP="002645B8">
      <w:pPr>
        <w:pStyle w:val="FootnoteText"/>
        <w:numPr>
          <w:ilvl w:val="0"/>
          <w:numId w:val="3"/>
        </w:numPr>
        <w:rPr>
          <w:lang w:val="en-US"/>
        </w:rPr>
      </w:pPr>
      <w:r>
        <w:rPr>
          <w:lang w:val="en-US"/>
        </w:rPr>
        <w:t>Investors can borrow or lend at a common risk-free rate</w:t>
      </w:r>
    </w:p>
    <w:p w14:paraId="3156ABC0" w14:textId="53E28899" w:rsidR="002645B8" w:rsidRPr="002645B8" w:rsidRDefault="002645B8" w:rsidP="002645B8">
      <w:pPr>
        <w:pStyle w:val="FootnoteText"/>
        <w:numPr>
          <w:ilvl w:val="0"/>
          <w:numId w:val="3"/>
        </w:numPr>
        <w:rPr>
          <w:lang w:val="en-US"/>
        </w:rPr>
      </w:pPr>
      <w:r>
        <w:rPr>
          <w:lang w:val="en-US"/>
        </w:rPr>
        <w:t>No taxes or transaction costs</w:t>
      </w:r>
    </w:p>
    <w:p w14:paraId="7838A284" w14:textId="77777777" w:rsidR="002645B8" w:rsidRPr="002645B8" w:rsidRDefault="002645B8" w:rsidP="002645B8">
      <w:pPr>
        <w:pStyle w:val="FootnoteText"/>
        <w:rPr>
          <w:lang w:val="en-US"/>
        </w:rPr>
      </w:pPr>
    </w:p>
  </w:footnote>
  <w:footnote w:id="2">
    <w:p w14:paraId="647BB384" w14:textId="11C2619A" w:rsidR="00B5477F" w:rsidRPr="00B5477F" w:rsidRDefault="00B5477F" w:rsidP="00B5477F">
      <w:pPr>
        <w:pStyle w:val="FootnoteText"/>
        <w:rPr>
          <w:lang w:val="en-US"/>
        </w:rPr>
      </w:pPr>
      <w:r w:rsidRPr="009E77EA">
        <w:rPr>
          <w:vertAlign w:val="superscript"/>
          <w:lang w:val="en-US"/>
        </w:rPr>
        <w:t xml:space="preserve">2,3 </w:t>
      </w:r>
      <w:r w:rsidRPr="00B5477F">
        <w:rPr>
          <w:lang w:val="en-US"/>
        </w:rPr>
        <w:t xml:space="preserve">The </w:t>
      </w:r>
      <w:r>
        <w:rPr>
          <w:lang w:val="en-US"/>
        </w:rPr>
        <w:t>a</w:t>
      </w:r>
      <w:r w:rsidRPr="00B5477F">
        <w:rPr>
          <w:lang w:val="en-US"/>
        </w:rPr>
        <w:t xml:space="preserve">ssumptions of </w:t>
      </w:r>
      <w:r w:rsidR="009E77EA">
        <w:rPr>
          <w:lang w:val="en-US"/>
        </w:rPr>
        <w:t xml:space="preserve">the </w:t>
      </w:r>
      <w:r w:rsidRPr="00B5477F">
        <w:rPr>
          <w:lang w:val="en-US"/>
        </w:rPr>
        <w:t>CAPM:</w:t>
      </w:r>
    </w:p>
    <w:p w14:paraId="78A2AFD5" w14:textId="77777777" w:rsidR="00B5477F" w:rsidRPr="00B5477F" w:rsidRDefault="00B5477F" w:rsidP="00B5477F">
      <w:pPr>
        <w:pStyle w:val="FootnoteText"/>
        <w:numPr>
          <w:ilvl w:val="0"/>
          <w:numId w:val="4"/>
        </w:numPr>
        <w:rPr>
          <w:lang w:val="en-US"/>
        </w:rPr>
      </w:pPr>
      <w:r w:rsidRPr="00B5477F">
        <w:rPr>
          <w:lang w:val="en-US"/>
        </w:rPr>
        <w:t>Investors are mean-variance optimizers</w:t>
      </w:r>
    </w:p>
    <w:p w14:paraId="14407944" w14:textId="77777777" w:rsidR="00B5477F" w:rsidRPr="00B5477F" w:rsidRDefault="00B5477F" w:rsidP="00B5477F">
      <w:pPr>
        <w:pStyle w:val="FootnoteText"/>
        <w:numPr>
          <w:ilvl w:val="0"/>
          <w:numId w:val="4"/>
        </w:numPr>
        <w:rPr>
          <w:b/>
          <w:bCs/>
          <w:lang w:val="en-US"/>
        </w:rPr>
      </w:pPr>
      <w:r w:rsidRPr="00B5477F">
        <w:rPr>
          <w:b/>
          <w:bCs/>
          <w:lang w:val="en-US"/>
        </w:rPr>
        <w:t>Investors have identical holding periods or common planning horizons</w:t>
      </w:r>
    </w:p>
    <w:p w14:paraId="0878D4FD" w14:textId="77777777" w:rsidR="00B5477F" w:rsidRPr="00B5477F" w:rsidRDefault="00B5477F" w:rsidP="00B5477F">
      <w:pPr>
        <w:pStyle w:val="FootnoteText"/>
        <w:numPr>
          <w:ilvl w:val="0"/>
          <w:numId w:val="4"/>
        </w:numPr>
        <w:rPr>
          <w:b/>
          <w:bCs/>
          <w:lang w:val="en-US"/>
        </w:rPr>
      </w:pPr>
      <w:r w:rsidRPr="00B5477F">
        <w:rPr>
          <w:b/>
          <w:bCs/>
          <w:lang w:val="en-US"/>
        </w:rPr>
        <w:t>Investors have homogeneous expectations</w:t>
      </w:r>
    </w:p>
    <w:p w14:paraId="1E8F92A1" w14:textId="77777777" w:rsidR="00B5477F" w:rsidRDefault="00B5477F" w:rsidP="00B5477F">
      <w:pPr>
        <w:pStyle w:val="FootnoteText"/>
        <w:numPr>
          <w:ilvl w:val="0"/>
          <w:numId w:val="4"/>
        </w:numPr>
        <w:rPr>
          <w:lang w:val="en-US"/>
        </w:rPr>
      </w:pPr>
      <w:r>
        <w:rPr>
          <w:lang w:val="en-US"/>
        </w:rPr>
        <w:t>All assets are publicly held and traded on public exchanges</w:t>
      </w:r>
    </w:p>
    <w:p w14:paraId="04F8DE1E" w14:textId="77777777" w:rsidR="00B5477F" w:rsidRDefault="00B5477F" w:rsidP="00B5477F">
      <w:pPr>
        <w:pStyle w:val="FootnoteText"/>
        <w:numPr>
          <w:ilvl w:val="0"/>
          <w:numId w:val="4"/>
        </w:numPr>
        <w:rPr>
          <w:lang w:val="en-US"/>
        </w:rPr>
      </w:pPr>
      <w:r>
        <w:rPr>
          <w:lang w:val="en-US"/>
        </w:rPr>
        <w:t>Investors can borrow or lend at a common risk-free rate</w:t>
      </w:r>
    </w:p>
    <w:p w14:paraId="5A6DDE24" w14:textId="77777777" w:rsidR="00B5477F" w:rsidRPr="002645B8" w:rsidRDefault="00B5477F" w:rsidP="00B5477F">
      <w:pPr>
        <w:pStyle w:val="FootnoteText"/>
        <w:numPr>
          <w:ilvl w:val="0"/>
          <w:numId w:val="4"/>
        </w:numPr>
        <w:rPr>
          <w:lang w:val="en-US"/>
        </w:rPr>
      </w:pPr>
      <w:r>
        <w:rPr>
          <w:lang w:val="en-US"/>
        </w:rPr>
        <w:t>No taxes or transaction costs</w:t>
      </w:r>
    </w:p>
    <w:p w14:paraId="20137931" w14:textId="43F00297" w:rsidR="00B5477F" w:rsidRPr="00B5477F" w:rsidRDefault="00B5477F">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0D5"/>
    <w:multiLevelType w:val="hybridMultilevel"/>
    <w:tmpl w:val="98880FA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25C410AE"/>
    <w:multiLevelType w:val="hybridMultilevel"/>
    <w:tmpl w:val="AD8679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25372DE"/>
    <w:multiLevelType w:val="hybridMultilevel"/>
    <w:tmpl w:val="AD86797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57DC6714"/>
    <w:multiLevelType w:val="hybridMultilevel"/>
    <w:tmpl w:val="CCA2128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564219085">
    <w:abstractNumId w:val="3"/>
  </w:num>
  <w:num w:numId="2" w16cid:durableId="1341464089">
    <w:abstractNumId w:val="0"/>
  </w:num>
  <w:num w:numId="3" w16cid:durableId="1778939133">
    <w:abstractNumId w:val="2"/>
  </w:num>
  <w:num w:numId="4" w16cid:durableId="434399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B5"/>
    <w:rsid w:val="00075058"/>
    <w:rsid w:val="000C0670"/>
    <w:rsid w:val="00131533"/>
    <w:rsid w:val="001365F5"/>
    <w:rsid w:val="001428BA"/>
    <w:rsid w:val="001579D9"/>
    <w:rsid w:val="0023249E"/>
    <w:rsid w:val="002645B8"/>
    <w:rsid w:val="002961DF"/>
    <w:rsid w:val="002A0D76"/>
    <w:rsid w:val="002D74D2"/>
    <w:rsid w:val="002E0FD5"/>
    <w:rsid w:val="0031537F"/>
    <w:rsid w:val="00327984"/>
    <w:rsid w:val="0034283D"/>
    <w:rsid w:val="00351675"/>
    <w:rsid w:val="00353FA4"/>
    <w:rsid w:val="0036780C"/>
    <w:rsid w:val="00382333"/>
    <w:rsid w:val="003937A6"/>
    <w:rsid w:val="003962D5"/>
    <w:rsid w:val="003F7457"/>
    <w:rsid w:val="00405592"/>
    <w:rsid w:val="0044012F"/>
    <w:rsid w:val="00490993"/>
    <w:rsid w:val="00496A80"/>
    <w:rsid w:val="004D447F"/>
    <w:rsid w:val="004E126D"/>
    <w:rsid w:val="004E446E"/>
    <w:rsid w:val="005302E2"/>
    <w:rsid w:val="00531FC8"/>
    <w:rsid w:val="0058309D"/>
    <w:rsid w:val="005D1B50"/>
    <w:rsid w:val="005D3FE8"/>
    <w:rsid w:val="00601CB3"/>
    <w:rsid w:val="00622447"/>
    <w:rsid w:val="00653C94"/>
    <w:rsid w:val="006C4233"/>
    <w:rsid w:val="006D36BF"/>
    <w:rsid w:val="00715983"/>
    <w:rsid w:val="00793ADC"/>
    <w:rsid w:val="00843CFF"/>
    <w:rsid w:val="00844533"/>
    <w:rsid w:val="00854547"/>
    <w:rsid w:val="008710DD"/>
    <w:rsid w:val="008A3AFF"/>
    <w:rsid w:val="008B46AB"/>
    <w:rsid w:val="008D254D"/>
    <w:rsid w:val="008E5124"/>
    <w:rsid w:val="00914A95"/>
    <w:rsid w:val="0094135A"/>
    <w:rsid w:val="00950D8D"/>
    <w:rsid w:val="00954F2C"/>
    <w:rsid w:val="0095702C"/>
    <w:rsid w:val="009D5516"/>
    <w:rsid w:val="009E77EA"/>
    <w:rsid w:val="009F376E"/>
    <w:rsid w:val="00A1477B"/>
    <w:rsid w:val="00A42149"/>
    <w:rsid w:val="00A550DB"/>
    <w:rsid w:val="00A91917"/>
    <w:rsid w:val="00AF581D"/>
    <w:rsid w:val="00B17E64"/>
    <w:rsid w:val="00B5477F"/>
    <w:rsid w:val="00B628B3"/>
    <w:rsid w:val="00B62DEB"/>
    <w:rsid w:val="00B96A32"/>
    <w:rsid w:val="00BF04D6"/>
    <w:rsid w:val="00C80EE3"/>
    <w:rsid w:val="00C93461"/>
    <w:rsid w:val="00CF0B08"/>
    <w:rsid w:val="00D40E40"/>
    <w:rsid w:val="00D52487"/>
    <w:rsid w:val="00DD2AB5"/>
    <w:rsid w:val="00E26F96"/>
    <w:rsid w:val="00E56B91"/>
    <w:rsid w:val="00E713A8"/>
    <w:rsid w:val="00EB6BE3"/>
    <w:rsid w:val="00EC3894"/>
    <w:rsid w:val="00EC58BB"/>
    <w:rsid w:val="00F4209F"/>
    <w:rsid w:val="00F839C9"/>
    <w:rsid w:val="00F93397"/>
    <w:rsid w:val="00FA37B1"/>
    <w:rsid w:val="00FF4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5FBC3"/>
  <w15:chartTrackingRefBased/>
  <w15:docId w15:val="{72310128-D5B2-4EB2-96CE-BBD03112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2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42149"/>
    <w:rPr>
      <w:color w:val="808080"/>
    </w:rPr>
  </w:style>
  <w:style w:type="table" w:styleId="PlainTable5">
    <w:name w:val="Plain Table 5"/>
    <w:basedOn w:val="TableNormal"/>
    <w:uiPriority w:val="45"/>
    <w:rsid w:val="006D36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2645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45B8"/>
    <w:rPr>
      <w:sz w:val="20"/>
      <w:szCs w:val="20"/>
    </w:rPr>
  </w:style>
  <w:style w:type="character" w:styleId="FootnoteReference">
    <w:name w:val="footnote reference"/>
    <w:basedOn w:val="DefaultParagraphFont"/>
    <w:uiPriority w:val="99"/>
    <w:semiHidden/>
    <w:unhideWhenUsed/>
    <w:rsid w:val="002645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31344">
      <w:bodyDiv w:val="1"/>
      <w:marLeft w:val="0"/>
      <w:marRight w:val="0"/>
      <w:marTop w:val="0"/>
      <w:marBottom w:val="0"/>
      <w:divBdr>
        <w:top w:val="none" w:sz="0" w:space="0" w:color="auto"/>
        <w:left w:val="none" w:sz="0" w:space="0" w:color="auto"/>
        <w:bottom w:val="none" w:sz="0" w:space="0" w:color="auto"/>
        <w:right w:val="none" w:sz="0" w:space="0" w:color="auto"/>
      </w:divBdr>
    </w:div>
    <w:div w:id="1806240831">
      <w:bodyDiv w:val="1"/>
      <w:marLeft w:val="0"/>
      <w:marRight w:val="0"/>
      <w:marTop w:val="0"/>
      <w:marBottom w:val="0"/>
      <w:divBdr>
        <w:top w:val="none" w:sz="0" w:space="0" w:color="auto"/>
        <w:left w:val="none" w:sz="0" w:space="0" w:color="auto"/>
        <w:bottom w:val="none" w:sz="0" w:space="0" w:color="auto"/>
        <w:right w:val="none" w:sz="0" w:space="0" w:color="auto"/>
      </w:divBdr>
    </w:div>
    <w:div w:id="195567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es-419" b="1">
                <a:solidFill>
                  <a:schemeClr val="tx1"/>
                </a:solidFill>
              </a:rPr>
              <a:t>Figure 2: Returns</a:t>
            </a:r>
            <a:r>
              <a:rPr lang="es-419" b="1" baseline="0">
                <a:solidFill>
                  <a:schemeClr val="tx1"/>
                </a:solidFill>
              </a:rPr>
              <a:t> on S&amp;P 500 vs Risk Free Rate (2018-2022)</a:t>
            </a:r>
            <a:endParaRPr lang="es-419"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es-419"/>
        </a:p>
      </c:txPr>
    </c:title>
    <c:autoTitleDeleted val="0"/>
    <c:plotArea>
      <c:layout/>
      <c:lineChart>
        <c:grouping val="standard"/>
        <c:varyColors val="0"/>
        <c:ser>
          <c:idx val="0"/>
          <c:order val="0"/>
          <c:tx>
            <c:strRef>
              <c:f>Sheet1!$A$1</c:f>
              <c:strCache>
                <c:ptCount val="1"/>
                <c:pt idx="0">
                  <c:v>S&amp;P 500</c:v>
                </c:pt>
              </c:strCache>
            </c:strRef>
          </c:tx>
          <c:spPr>
            <a:ln w="28575" cap="rnd">
              <a:solidFill>
                <a:schemeClr val="bg1">
                  <a:lumMod val="65000"/>
                </a:schemeClr>
              </a:solidFill>
              <a:round/>
            </a:ln>
            <a:effectLst/>
          </c:spPr>
          <c:marker>
            <c:symbol val="none"/>
          </c:marker>
          <c:val>
            <c:numRef>
              <c:f>Sheet1!$A$2:$A$61</c:f>
              <c:numCache>
                <c:formatCode>General</c:formatCode>
                <c:ptCount val="60"/>
                <c:pt idx="0">
                  <c:v>5.0638000000000002E-2</c:v>
                </c:pt>
                <c:pt idx="1">
                  <c:v>-3.9481000000000002E-2</c:v>
                </c:pt>
                <c:pt idx="2">
                  <c:v>-1.8445E-2</c:v>
                </c:pt>
                <c:pt idx="3">
                  <c:v>4.692E-3</c:v>
                </c:pt>
                <c:pt idx="4">
                  <c:v>2.6164E-2</c:v>
                </c:pt>
                <c:pt idx="5">
                  <c:v>5.365E-3</c:v>
                </c:pt>
                <c:pt idx="6">
                  <c:v>3.1604E-2</c:v>
                </c:pt>
                <c:pt idx="7">
                  <c:v>3.0232999999999999E-2</c:v>
                </c:pt>
                <c:pt idx="8">
                  <c:v>4.2499999999999998E-4</c:v>
                </c:pt>
                <c:pt idx="9">
                  <c:v>-7.4045E-2</c:v>
                </c:pt>
                <c:pt idx="10">
                  <c:v>1.8512000000000001E-2</c:v>
                </c:pt>
                <c:pt idx="11">
                  <c:v>-8.9889999999999998E-2</c:v>
                </c:pt>
                <c:pt idx="12">
                  <c:v>8.8293999999999997E-2</c:v>
                </c:pt>
                <c:pt idx="13">
                  <c:v>3.2724000000000003E-2</c:v>
                </c:pt>
                <c:pt idx="14">
                  <c:v>1.2962E-2</c:v>
                </c:pt>
                <c:pt idx="15">
                  <c:v>3.7893000000000003E-2</c:v>
                </c:pt>
                <c:pt idx="16">
                  <c:v>-6.1678999999999998E-2</c:v>
                </c:pt>
                <c:pt idx="17">
                  <c:v>6.7279000000000005E-2</c:v>
                </c:pt>
                <c:pt idx="18">
                  <c:v>1.1854E-2</c:v>
                </c:pt>
                <c:pt idx="19">
                  <c:v>-2.0338999999999999E-2</c:v>
                </c:pt>
                <c:pt idx="20">
                  <c:v>1.6032999999999999E-2</c:v>
                </c:pt>
                <c:pt idx="21">
                  <c:v>1.9257E-2</c:v>
                </c:pt>
                <c:pt idx="22">
                  <c:v>3.4999000000000002E-2</c:v>
                </c:pt>
                <c:pt idx="23">
                  <c:v>2.8489E-2</c:v>
                </c:pt>
                <c:pt idx="24">
                  <c:v>-1.7279999999999999E-3</c:v>
                </c:pt>
                <c:pt idx="25">
                  <c:v>-7.7918000000000001E-2</c:v>
                </c:pt>
                <c:pt idx="26">
                  <c:v>-0.141733</c:v>
                </c:pt>
                <c:pt idx="27">
                  <c:v>0.12967400000000001</c:v>
                </c:pt>
                <c:pt idx="28">
                  <c:v>5.3739000000000002E-2</c:v>
                </c:pt>
                <c:pt idx="29">
                  <c:v>2.5298999999999999E-2</c:v>
                </c:pt>
                <c:pt idx="30">
                  <c:v>5.5530999999999997E-2</c:v>
                </c:pt>
                <c:pt idx="31">
                  <c:v>6.8442000000000003E-2</c:v>
                </c:pt>
                <c:pt idx="32">
                  <c:v>-3.5055999999999997E-2</c:v>
                </c:pt>
                <c:pt idx="33">
                  <c:v>-2.0178000000000001E-2</c:v>
                </c:pt>
                <c:pt idx="34">
                  <c:v>0.123707</c:v>
                </c:pt>
                <c:pt idx="35">
                  <c:v>4.5047999999999998E-2</c:v>
                </c:pt>
                <c:pt idx="36">
                  <c:v>-6.3100000000000005E-4</c:v>
                </c:pt>
                <c:pt idx="37">
                  <c:v>2.9196E-2</c:v>
                </c:pt>
                <c:pt idx="38">
                  <c:v>3.0572999999999999E-2</c:v>
                </c:pt>
                <c:pt idx="39">
                  <c:v>4.8189999999999997E-2</c:v>
                </c:pt>
                <c:pt idx="40">
                  <c:v>7.0920000000000002E-3</c:v>
                </c:pt>
                <c:pt idx="41">
                  <c:v>2.3421999999999998E-2</c:v>
                </c:pt>
                <c:pt idx="42">
                  <c:v>1.1828E-2</c:v>
                </c:pt>
                <c:pt idx="43">
                  <c:v>2.7146E-2</c:v>
                </c:pt>
                <c:pt idx="44">
                  <c:v>-4.2243000000000003E-2</c:v>
                </c:pt>
                <c:pt idx="45">
                  <c:v>6.4651E-2</c:v>
                </c:pt>
                <c:pt idx="46">
                  <c:v>-1.8350000000000002E-2</c:v>
                </c:pt>
                <c:pt idx="47">
                  <c:v>3.3341000000000003E-2</c:v>
                </c:pt>
                <c:pt idx="48">
                  <c:v>-5.9822E-2</c:v>
                </c:pt>
                <c:pt idx="49">
                  <c:v>-2.1838E-2</c:v>
                </c:pt>
                <c:pt idx="50">
                  <c:v>3.0505999999999998E-2</c:v>
                </c:pt>
                <c:pt idx="51">
                  <c:v>-8.9386999999999994E-2</c:v>
                </c:pt>
                <c:pt idx="52">
                  <c:v>-2.1080000000000001E-3</c:v>
                </c:pt>
                <c:pt idx="53">
                  <c:v>-8.4000000000000005E-2</c:v>
                </c:pt>
                <c:pt idx="54">
                  <c:v>9.0352000000000002E-2</c:v>
                </c:pt>
                <c:pt idx="55">
                  <c:v>-3.6240000000000001E-2</c:v>
                </c:pt>
                <c:pt idx="56">
                  <c:v>-9.1324000000000002E-2</c:v>
                </c:pt>
                <c:pt idx="57">
                  <c:v>7.7403E-2</c:v>
                </c:pt>
                <c:pt idx="58">
                  <c:v>5.2365000000000002E-2</c:v>
                </c:pt>
                <c:pt idx="59">
                  <c:v>-5.7116E-2</c:v>
                </c:pt>
              </c:numCache>
            </c:numRef>
          </c:val>
          <c:smooth val="0"/>
          <c:extLst>
            <c:ext xmlns:c16="http://schemas.microsoft.com/office/drawing/2014/chart" uri="{C3380CC4-5D6E-409C-BE32-E72D297353CC}">
              <c16:uniqueId val="{00000000-4372-4628-83DE-FA617A4A6F2B}"/>
            </c:ext>
          </c:extLst>
        </c:ser>
        <c:ser>
          <c:idx val="1"/>
          <c:order val="1"/>
          <c:tx>
            <c:strRef>
              <c:f>Sheet1!$B$1</c:f>
              <c:strCache>
                <c:ptCount val="1"/>
                <c:pt idx="0">
                  <c:v>Risk Free</c:v>
                </c:pt>
              </c:strCache>
            </c:strRef>
          </c:tx>
          <c:spPr>
            <a:ln w="28575" cap="rnd">
              <a:solidFill>
                <a:schemeClr val="tx1"/>
              </a:solidFill>
              <a:round/>
            </a:ln>
            <a:effectLst/>
          </c:spPr>
          <c:marker>
            <c:symbol val="none"/>
          </c:marker>
          <c:val>
            <c:numRef>
              <c:f>Sheet1!$B$2:$B$61</c:f>
              <c:numCache>
                <c:formatCode>General</c:formatCode>
                <c:ptCount val="60"/>
                <c:pt idx="0">
                  <c:v>1.2733332999999999E-2</c:v>
                </c:pt>
                <c:pt idx="1">
                  <c:v>1.3573684000000001E-2</c:v>
                </c:pt>
                <c:pt idx="2">
                  <c:v>1.6061905000000001E-2</c:v>
                </c:pt>
                <c:pt idx="3">
                  <c:v>1.6285714E-2</c:v>
                </c:pt>
                <c:pt idx="4">
                  <c:v>1.6695455000000001E-2</c:v>
                </c:pt>
                <c:pt idx="5">
                  <c:v>1.7719048000000001E-2</c:v>
                </c:pt>
                <c:pt idx="6">
                  <c:v>1.8604762E-2</c:v>
                </c:pt>
                <c:pt idx="7">
                  <c:v>1.9052174000000002E-2</c:v>
                </c:pt>
                <c:pt idx="8">
                  <c:v>2.0005262999999999E-2</c:v>
                </c:pt>
                <c:pt idx="9">
                  <c:v>2.1390909E-2</c:v>
                </c:pt>
                <c:pt idx="10">
                  <c:v>2.1925E-2</c:v>
                </c:pt>
                <c:pt idx="11">
                  <c:v>2.3236842000000001E-2</c:v>
                </c:pt>
                <c:pt idx="12">
                  <c:v>2.3604762000000001E-2</c:v>
                </c:pt>
                <c:pt idx="13">
                  <c:v>2.3852631999999999E-2</c:v>
                </c:pt>
                <c:pt idx="14">
                  <c:v>2.41E-2</c:v>
                </c:pt>
                <c:pt idx="15">
                  <c:v>2.3847619E-2</c:v>
                </c:pt>
                <c:pt idx="16">
                  <c:v>2.3559091000000001E-2</c:v>
                </c:pt>
                <c:pt idx="17">
                  <c:v>2.1815000000000001E-2</c:v>
                </c:pt>
                <c:pt idx="18">
                  <c:v>2.1122727000000001E-2</c:v>
                </c:pt>
                <c:pt idx="19">
                  <c:v>2.0313635999999999E-2</c:v>
                </c:pt>
                <c:pt idx="20">
                  <c:v>1.9519999999999999E-2</c:v>
                </c:pt>
                <c:pt idx="21">
                  <c:v>1.6968181999999998E-2</c:v>
                </c:pt>
                <c:pt idx="22">
                  <c:v>1.5536842E-2</c:v>
                </c:pt>
                <c:pt idx="23">
                  <c:v>1.5233333E-2</c:v>
                </c:pt>
                <c:pt idx="24">
                  <c:v>1.5033332999999999E-2</c:v>
                </c:pt>
                <c:pt idx="25">
                  <c:v>1.5473684E-2</c:v>
                </c:pt>
                <c:pt idx="26">
                  <c:v>3.6409089999999999E-3</c:v>
                </c:pt>
                <c:pt idx="27">
                  <c:v>1.085714E-3</c:v>
                </c:pt>
                <c:pt idx="28">
                  <c:v>9.7999999999999997E-4</c:v>
                </c:pt>
                <c:pt idx="29">
                  <c:v>1.2999999999999999E-3</c:v>
                </c:pt>
                <c:pt idx="30">
                  <c:v>1.0590910000000001E-3</c:v>
                </c:pt>
                <c:pt idx="31">
                  <c:v>8.1904799999999995E-4</c:v>
                </c:pt>
                <c:pt idx="32">
                  <c:v>8.9523800000000002E-4</c:v>
                </c:pt>
                <c:pt idx="33">
                  <c:v>8.66667E-4</c:v>
                </c:pt>
                <c:pt idx="34">
                  <c:v>8.6842099999999997E-4</c:v>
                </c:pt>
                <c:pt idx="35">
                  <c:v>7.5909100000000004E-4</c:v>
                </c:pt>
                <c:pt idx="36">
                  <c:v>7.63158E-4</c:v>
                </c:pt>
                <c:pt idx="37">
                  <c:v>3.57895E-4</c:v>
                </c:pt>
                <c:pt idx="38">
                  <c:v>2.4347799999999999E-4</c:v>
                </c:pt>
                <c:pt idx="39">
                  <c:v>1.6363599999999999E-4</c:v>
                </c:pt>
                <c:pt idx="40">
                  <c:v>7.4999999999999993E-5</c:v>
                </c:pt>
                <c:pt idx="41">
                  <c:v>2.7272700000000001E-4</c:v>
                </c:pt>
                <c:pt idx="42">
                  <c:v>4.9523799999999995E-4</c:v>
                </c:pt>
                <c:pt idx="43">
                  <c:v>4.1363599999999999E-4</c:v>
                </c:pt>
                <c:pt idx="44">
                  <c:v>5.3809500000000004E-4</c:v>
                </c:pt>
                <c:pt idx="45">
                  <c:v>5.4000000000000001E-4</c:v>
                </c:pt>
                <c:pt idx="46">
                  <c:v>7.0500000000000001E-4</c:v>
                </c:pt>
                <c:pt idx="47">
                  <c:v>3.8181800000000002E-4</c:v>
                </c:pt>
                <c:pt idx="48">
                  <c:v>4.6999999999999999E-4</c:v>
                </c:pt>
                <c:pt idx="49">
                  <c:v>3.6315799999999998E-4</c:v>
                </c:pt>
                <c:pt idx="50">
                  <c:v>1.7347829999999999E-3</c:v>
                </c:pt>
                <c:pt idx="51">
                  <c:v>2.97E-3</c:v>
                </c:pt>
                <c:pt idx="52">
                  <c:v>5.57619E-3</c:v>
                </c:pt>
                <c:pt idx="53">
                  <c:v>1.0314286000000001E-2</c:v>
                </c:pt>
                <c:pt idx="54">
                  <c:v>1.8034999999999999E-2</c:v>
                </c:pt>
                <c:pt idx="55">
                  <c:v>2.1895652000000002E-2</c:v>
                </c:pt>
                <c:pt idx="56">
                  <c:v>2.52E-2</c:v>
                </c:pt>
                <c:pt idx="57">
                  <c:v>3.1774999999999998E-2</c:v>
                </c:pt>
                <c:pt idx="58">
                  <c:v>3.7179999999999998E-2</c:v>
                </c:pt>
                <c:pt idx="59">
                  <c:v>3.7166667E-2</c:v>
                </c:pt>
              </c:numCache>
            </c:numRef>
          </c:val>
          <c:smooth val="0"/>
          <c:extLst>
            <c:ext xmlns:c16="http://schemas.microsoft.com/office/drawing/2014/chart" uri="{C3380CC4-5D6E-409C-BE32-E72D297353CC}">
              <c16:uniqueId val="{00000001-4372-4628-83DE-FA617A4A6F2B}"/>
            </c:ext>
          </c:extLst>
        </c:ser>
        <c:dLbls>
          <c:showLegendKey val="0"/>
          <c:showVal val="0"/>
          <c:showCatName val="0"/>
          <c:showSerName val="0"/>
          <c:showPercent val="0"/>
          <c:showBubbleSize val="0"/>
        </c:dLbls>
        <c:smooth val="0"/>
        <c:axId val="389883919"/>
        <c:axId val="207673583"/>
      </c:lineChart>
      <c:catAx>
        <c:axId val="389883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419">
                    <a:solidFill>
                      <a:schemeClr val="tx1"/>
                    </a:solidFill>
                  </a:rPr>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419"/>
            </a:p>
          </c:txPr>
        </c:title>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419"/>
          </a:p>
        </c:txPr>
        <c:crossAx val="207673583"/>
        <c:crosses val="autoZero"/>
        <c:auto val="1"/>
        <c:lblAlgn val="ctr"/>
        <c:lblOffset val="100"/>
        <c:tickLblSkip val="2"/>
        <c:noMultiLvlLbl val="0"/>
      </c:catAx>
      <c:valAx>
        <c:axId val="20767358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s-419">
                    <a:solidFill>
                      <a:schemeClr val="tx1"/>
                    </a:solidFill>
                  </a:rPr>
                  <a:t>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419"/>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419"/>
          </a:p>
        </c:txPr>
        <c:crossAx val="38988391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CDC5E-522A-4B13-8B3A-E4C087D1D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Pages>
  <Words>1417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Nelson</dc:creator>
  <cp:keywords/>
  <dc:description/>
  <cp:lastModifiedBy>Chad Nelson</cp:lastModifiedBy>
  <cp:revision>11</cp:revision>
  <cp:lastPrinted>2023-04-17T15:26:00Z</cp:lastPrinted>
  <dcterms:created xsi:type="dcterms:W3CDTF">2023-04-08T21:32:00Z</dcterms:created>
  <dcterms:modified xsi:type="dcterms:W3CDTF">2023-04-17T15:38:00Z</dcterms:modified>
</cp:coreProperties>
</file>