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Telco Customer Churn Analysis</w:t>
      </w:r>
    </w:p>
    <w:p>
      <w:pPr>
        <w:spacing w:after="400"/>
      </w:pPr>
      <w:r>
        <w:rPr>
          <w:i/>
          <w:iCs/>
          <w:sz w:val="20"/>
          <w:szCs w:val="20"/>
        </w:rPr>
        <w:t xml:space="preserve">Emmanuel Chacha Marwa  |  AnalystLab Africa  |  July 2026</w:t>
      </w:r>
    </w:p>
    <w:p>
      <w:pPr>
        <w:pStyle w:val="Heading1"/>
      </w:pPr>
      <w:r>
        <w:t xml:space="preserve">1. Introduction</w:t>
      </w:r>
    </w:p>
    <w:p>
      <w:pPr>
        <w:spacing w:after="200"/>
      </w:pPr>
      <w:r>
        <w:rPr>
          <w:sz w:val="22"/>
          <w:szCs w:val="22"/>
        </w:rPr>
        <w:t xml:space="preserve">This report analyzes customer churn for a telecommunications provider using a dataset of 7,043 customers. The analysis covers demographics, subscribed services, contract and billing details, and financial metrics, with the goal of identifying which factors are most associated with customers leaving the company.</w:t>
      </w:r>
    </w:p>
    <w:p>
      <w:pPr>
        <w:pStyle w:val="Heading1"/>
      </w:pPr>
      <w:r>
        <w:t xml:space="preserve">2. Problem Statement</w:t>
      </w:r>
    </w:p>
    <w:p>
      <w:pPr>
        <w:spacing w:after="200"/>
      </w:pPr>
      <w:r>
        <w:rPr>
          <w:sz w:val="22"/>
          <w:szCs w:val="22"/>
        </w:rPr>
        <w:t xml:space="preserve">The company is losing a significant share of its customer base to churn. This analysis answers: which customer segments, contract types, and services are most associated with churn, and what can the business do to reduce it?</w:t>
      </w:r>
    </w:p>
    <w:p>
      <w:pPr>
        <w:pStyle w:val="Heading1"/>
      </w:pPr>
      <w:r>
        <w:t xml:space="preserve">3. Dataset Description</w:t>
      </w:r>
    </w:p>
    <w:p>
      <w:pPr>
        <w:spacing w:after="200"/>
      </w:pPr>
      <w:r>
        <w:rPr>
          <w:sz w:val="22"/>
          <w:szCs w:val="22"/>
        </w:rPr>
        <w:t xml:space="preserve">The dataset contains 7,043 customer records with 21 columns, including demographic fields (gender, SeniorCitizen, Partner, Dependents), account details (tenure, Contract, PaperlessBilling, PaymentMethod), subscribed services (PhoneService, InternetService, OnlineSecurity, OnlineBackup, DeviceProtection, TechSupport, StreamingTV, StreamingMovies), billing figures (MonthlyCharges, TotalCharges), and the target variable, Churn. The dataset had no missing values across any column.</w:t>
      </w:r>
    </w:p>
    <w:p>
      <w:pPr>
        <w:pStyle w:val="Heading1"/>
      </w:pPr>
      <w:r>
        <w:t xml:space="preserve">4. Analysis Process</w:t>
      </w:r>
    </w:p>
    <w:p>
      <w:pPr>
        <w:pStyle w:val="ListParagraph"/>
        <w:numPr>
          <w:ilvl w:val="0"/>
          <w:numId w:val="1"/>
        </w:numPr>
        <w:spacing w:after="100"/>
      </w:pPr>
      <w:r>
        <w:rPr>
          <w:sz w:val="22"/>
          <w:szCs w:val="22"/>
        </w:rPr>
        <w:t xml:space="preserve">Cleaned and validated the dataset, converting TotalCharges to a numeric field and confirming no missing values remained.</w:t>
      </w:r>
    </w:p>
    <w:p>
      <w:pPr>
        <w:pStyle w:val="ListParagraph"/>
        <w:numPr>
          <w:ilvl w:val="0"/>
          <w:numId w:val="1"/>
        </w:numPr>
        <w:spacing w:after="100"/>
      </w:pPr>
      <w:r>
        <w:rPr>
          <w:sz w:val="22"/>
          <w:szCs w:val="22"/>
        </w:rPr>
        <w:t xml:space="preserve">Calculated churn rate and key averages (tenure, monthly charges) as headline metrics.</w:t>
      </w:r>
    </w:p>
    <w:p>
      <w:pPr>
        <w:pStyle w:val="ListParagraph"/>
        <w:numPr>
          <w:ilvl w:val="0"/>
          <w:numId w:val="1"/>
        </w:numPr>
        <w:spacing w:after="100"/>
      </w:pPr>
      <w:r>
        <w:rPr>
          <w:sz w:val="22"/>
          <w:szCs w:val="22"/>
        </w:rPr>
        <w:t xml:space="preserve">Built churn rate breakdowns across every categorical column: demographics, services, contract, billing, and payment method.</w:t>
      </w:r>
    </w:p>
    <w:p>
      <w:pPr>
        <w:pStyle w:val="ListParagraph"/>
        <w:numPr>
          <w:ilvl w:val="0"/>
          <w:numId w:val="1"/>
        </w:numPr>
        <w:spacing w:after="100"/>
      </w:pPr>
      <w:r>
        <w:rPr>
          <w:sz w:val="22"/>
          <w:szCs w:val="22"/>
        </w:rPr>
        <w:t xml:space="preserve">Grouped tenure into buckets (0-12, 13-24, 25-48, 49-60, 61+ months) to examine churn risk over the customer lifecycle.</w:t>
      </w:r>
    </w:p>
    <w:p>
      <w:pPr>
        <w:pStyle w:val="ListParagraph"/>
        <w:numPr>
          <w:ilvl w:val="0"/>
          <w:numId w:val="1"/>
        </w:numPr>
        <w:spacing w:after="100"/>
      </w:pPr>
      <w:r>
        <w:rPr>
          <w:sz w:val="22"/>
          <w:szCs w:val="22"/>
        </w:rPr>
        <w:t xml:space="preserve">Cross-tabulated Contract with PaymentMethod, and Partner with Dependents, to check for compounding effects.</w:t>
      </w:r>
    </w:p>
    <w:p>
      <w:pPr>
        <w:pStyle w:val="ListParagraph"/>
        <w:numPr>
          <w:ilvl w:val="0"/>
          <w:numId w:val="1"/>
        </w:numPr>
        <w:spacing w:after="100"/>
      </w:pPr>
      <w:r>
        <w:rPr>
          <w:sz w:val="22"/>
          <w:szCs w:val="22"/>
        </w:rPr>
        <w:t xml:space="preserve">Quantified the revenue impact of churn by comparing total revenue to revenue lost to churned customers.</w:t>
      </w:r>
    </w:p>
    <w:p>
      <w:pPr>
        <w:pStyle w:val="Heading1"/>
      </w:pPr>
      <w:r>
        <w:t xml:space="preserve">5. Findings</w:t>
      </w:r>
    </w:p>
    <w:p>
      <w:pPr>
        <w:spacing w:after="200"/>
      </w:pPr>
      <w:r>
        <w:rPr>
          <w:sz w:val="22"/>
          <w:szCs w:val="22"/>
        </w:rPr>
        <w:t xml:space="preserve">Overall churn rate: 27% (1,869 of 7,043 customers). Average tenure is 32.4 months and average monthly charge is $64.76.</w:t>
      </w:r>
    </w:p>
    <w:p>
      <w:pPr>
        <w:spacing w:after="200"/>
      </w:pPr>
      <w:r>
        <w:rPr>
          <w:sz w:val="22"/>
          <w:szCs w:val="22"/>
        </w:rPr>
        <w:t xml:space="preserve">Contract type is the strongest driver of churn: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9D9D9" w:val="clear"/>
          </w:tcPr>
          <w:p>
            <w:r>
              <w:rPr>
                <w:b/>
                <w:bCs/>
                <w:sz w:val="20"/>
                <w:szCs w:val="20"/>
              </w:rPr>
              <w:t xml:space="preserve">Contract</w:t>
            </w:r>
          </w:p>
        </w:tc>
        <w:tc>
          <w:tcPr>
            <w:tcW w:type="pct" w:w="25%"/>
            <w:shd w:fill="D9D9D9" w:val="clear"/>
          </w:tcPr>
          <w:p>
            <w:r>
              <w:rPr>
                <w:b/>
                <w:bCs/>
                <w:sz w:val="20"/>
                <w:szCs w:val="20"/>
              </w:rPr>
              <w:t xml:space="preserve">Total Customers</w:t>
            </w:r>
          </w:p>
        </w:tc>
        <w:tc>
          <w:tcPr>
            <w:tcW w:type="pct" w:w="25%"/>
            <w:shd w:fill="D9D9D9" w:val="clear"/>
          </w:tcPr>
          <w:p>
            <w:r>
              <w:rPr>
                <w:b/>
                <w:bCs/>
                <w:sz w:val="20"/>
                <w:szCs w:val="20"/>
              </w:rPr>
              <w:t xml:space="preserve">Churned Customers</w:t>
            </w:r>
          </w:p>
        </w:tc>
        <w:tc>
          <w:tcPr>
            <w:tcW w:type="pct" w:w="25%"/>
            <w:shd w:fill="D9D9D9" w:val="clear"/>
          </w:tcPr>
          <w:p>
            <w:r>
              <w:rPr>
                <w:b/>
                <w:bCs/>
                <w:sz w:val="20"/>
                <w:szCs w:val="20"/>
              </w:rPr>
              <w:t xml:space="preserve">Churn Rate</w:t>
            </w:r>
          </w:p>
        </w:tc>
      </w:tr>
      <w:tr>
        <w:tc>
          <w:tcPr>
            <w:tcW w:type="pct" w:w="25%"/>
          </w:tcPr>
          <w:p>
            <w:r>
              <w:rPr>
                <w:b w:val="false"/>
                <w:bCs w:val="false"/>
                <w:sz w:val="20"/>
                <w:szCs w:val="20"/>
              </w:rPr>
              <w:t xml:space="preserve">Month-to-month</w:t>
            </w:r>
          </w:p>
        </w:tc>
        <w:tc>
          <w:tcPr>
            <w:tcW w:type="pct" w:w="25%"/>
          </w:tcPr>
          <w:p>
            <w:r>
              <w:rPr>
                <w:b w:val="false"/>
                <w:bCs w:val="false"/>
                <w:sz w:val="20"/>
                <w:szCs w:val="20"/>
              </w:rPr>
              <w:t xml:space="preserve">3,875</w:t>
            </w:r>
          </w:p>
        </w:tc>
        <w:tc>
          <w:tcPr>
            <w:tcW w:type="pct" w:w="25%"/>
          </w:tcPr>
          <w:p>
            <w:r>
              <w:rPr>
                <w:b w:val="false"/>
                <w:bCs w:val="false"/>
                <w:sz w:val="20"/>
                <w:szCs w:val="20"/>
              </w:rPr>
              <w:t xml:space="preserve">1,655</w:t>
            </w:r>
          </w:p>
        </w:tc>
        <w:tc>
          <w:tcPr>
            <w:tcW w:type="pct" w:w="25%"/>
          </w:tcPr>
          <w:p>
            <w:r>
              <w:rPr>
                <w:b w:val="false"/>
                <w:bCs w:val="false"/>
                <w:sz w:val="20"/>
                <w:szCs w:val="20"/>
              </w:rPr>
              <w:t xml:space="preserve">43%</w:t>
            </w:r>
          </w:p>
        </w:tc>
      </w:tr>
      <w:tr>
        <w:tc>
          <w:tcPr>
            <w:tcW w:type="pct" w:w="25%"/>
          </w:tcPr>
          <w:p>
            <w:r>
              <w:rPr>
                <w:b w:val="false"/>
                <w:bCs w:val="false"/>
                <w:sz w:val="20"/>
                <w:szCs w:val="20"/>
              </w:rPr>
              <w:t xml:space="preserve">One year</w:t>
            </w:r>
          </w:p>
        </w:tc>
        <w:tc>
          <w:tcPr>
            <w:tcW w:type="pct" w:w="25%"/>
          </w:tcPr>
          <w:p>
            <w:r>
              <w:rPr>
                <w:b w:val="false"/>
                <w:bCs w:val="false"/>
                <w:sz w:val="20"/>
                <w:szCs w:val="20"/>
              </w:rPr>
              <w:t xml:space="preserve">1,473</w:t>
            </w:r>
          </w:p>
        </w:tc>
        <w:tc>
          <w:tcPr>
            <w:tcW w:type="pct" w:w="25%"/>
          </w:tcPr>
          <w:p>
            <w:r>
              <w:rPr>
                <w:b w:val="false"/>
                <w:bCs w:val="false"/>
                <w:sz w:val="20"/>
                <w:szCs w:val="20"/>
              </w:rPr>
              <w:t xml:space="preserve">166</w:t>
            </w:r>
          </w:p>
        </w:tc>
        <w:tc>
          <w:tcPr>
            <w:tcW w:type="pct" w:w="25%"/>
          </w:tcPr>
          <w:p>
            <w:r>
              <w:rPr>
                <w:b w:val="false"/>
                <w:bCs w:val="false"/>
                <w:sz w:val="20"/>
                <w:szCs w:val="20"/>
              </w:rPr>
              <w:t xml:space="preserve">11%</w:t>
            </w:r>
          </w:p>
        </w:tc>
      </w:tr>
      <w:tr>
        <w:tc>
          <w:tcPr>
            <w:tcW w:type="pct" w:w="25%"/>
          </w:tcPr>
          <w:p>
            <w:r>
              <w:rPr>
                <w:b w:val="false"/>
                <w:bCs w:val="false"/>
                <w:sz w:val="20"/>
                <w:szCs w:val="20"/>
              </w:rPr>
              <w:t xml:space="preserve">Two year</w:t>
            </w:r>
          </w:p>
        </w:tc>
        <w:tc>
          <w:tcPr>
            <w:tcW w:type="pct" w:w="25%"/>
          </w:tcPr>
          <w:p>
            <w:r>
              <w:rPr>
                <w:b w:val="false"/>
                <w:bCs w:val="false"/>
                <w:sz w:val="20"/>
                <w:szCs w:val="20"/>
              </w:rPr>
              <w:t xml:space="preserve">1,695</w:t>
            </w:r>
          </w:p>
        </w:tc>
        <w:tc>
          <w:tcPr>
            <w:tcW w:type="pct" w:w="25%"/>
          </w:tcPr>
          <w:p>
            <w:r>
              <w:rPr>
                <w:b w:val="false"/>
                <w:bCs w:val="false"/>
                <w:sz w:val="20"/>
                <w:szCs w:val="20"/>
              </w:rPr>
              <w:t xml:space="preserve">48</w:t>
            </w:r>
          </w:p>
        </w:tc>
        <w:tc>
          <w:tcPr>
            <w:tcW w:type="pct" w:w="25%"/>
          </w:tcPr>
          <w:p>
            <w:r>
              <w:rPr>
                <w:b w:val="false"/>
                <w:bCs w:val="false"/>
                <w:sz w:val="20"/>
                <w:szCs w:val="20"/>
              </w:rPr>
              <w:t xml:space="preserve">3%</w:t>
            </w:r>
          </w:p>
        </w:tc>
      </w:tr>
      <w:tr>
        <w:tc>
          <w:tcPr>
            <w:tcW w:type="pct" w:w="25%"/>
          </w:tcPr>
          <w:p>
            <w:r>
              <w:rPr>
                <w:b w:val="false"/>
                <w:bCs w:val="false"/>
                <w:sz w:val="20"/>
                <w:szCs w:val="20"/>
              </w:rPr>
              <w:t xml:space="preserve">Total</w:t>
            </w:r>
          </w:p>
        </w:tc>
        <w:tc>
          <w:tcPr>
            <w:tcW w:type="pct" w:w="25%"/>
          </w:tcPr>
          <w:p>
            <w:r>
              <w:rPr>
                <w:b w:val="false"/>
                <w:bCs w:val="false"/>
                <w:sz w:val="20"/>
                <w:szCs w:val="20"/>
              </w:rPr>
              <w:t xml:space="preserve">7,043</w:t>
            </w:r>
          </w:p>
        </w:tc>
        <w:tc>
          <w:tcPr>
            <w:tcW w:type="pct" w:w="25%"/>
          </w:tcPr>
          <w:p>
            <w:r>
              <w:rPr>
                <w:b w:val="false"/>
                <w:bCs w:val="false"/>
                <w:sz w:val="20"/>
                <w:szCs w:val="20"/>
              </w:rPr>
              <w:t xml:space="preserve">1,869</w:t>
            </w:r>
          </w:p>
        </w:tc>
        <w:tc>
          <w:tcPr>
            <w:tcW w:type="pct" w:w="25%"/>
          </w:tcPr>
          <w:p>
            <w:r>
              <w:rPr>
                <w:b w:val="false"/>
                <w:bCs w:val="false"/>
                <w:sz w:val="20"/>
                <w:szCs w:val="20"/>
              </w:rPr>
              <w:t xml:space="preserve">27%</w:t>
            </w:r>
          </w:p>
        </w:tc>
      </w:tr>
    </w:tbl>
    <w:p>
      <w:pPr>
        <w:spacing w:after="200"/>
      </w:pPr>
    </w:p>
    <w:p>
      <w:pPr>
        <w:spacing w:after="200"/>
      </w:pPr>
      <w:r>
        <w:rPr>
          <w:sz w:val="22"/>
          <w:szCs w:val="22"/>
        </w:rPr>
        <w:t xml:space="preserve">Month-to-month customers churn at more than 3x the rate of one-year customers and over 14x the rate of two-year customers.</w:t>
      </w:r>
    </w:p>
    <w:p>
      <w:pPr>
        <w:spacing w:after="200"/>
      </w:pPr>
      <w:r>
        <w:rPr>
          <w:sz w:val="22"/>
          <w:szCs w:val="22"/>
        </w:rPr>
        <w:t xml:space="preserve">Service-related findings:</w:t>
      </w:r>
    </w:p>
    <w:p>
      <w:pPr>
        <w:pStyle w:val="ListParagraph"/>
        <w:numPr>
          <w:ilvl w:val="0"/>
          <w:numId w:val="1"/>
        </w:numPr>
        <w:spacing w:after="100"/>
      </w:pPr>
      <w:r>
        <w:rPr>
          <w:sz w:val="22"/>
          <w:szCs w:val="22"/>
        </w:rPr>
        <w:t xml:space="preserve">Fiber optic internet customers churn at a notably higher rate than DSL customers, despite fiber typically being the premium/higher-revenue product.</w:t>
      </w:r>
    </w:p>
    <w:p>
      <w:pPr>
        <w:pStyle w:val="ListParagraph"/>
        <w:numPr>
          <w:ilvl w:val="0"/>
          <w:numId w:val="1"/>
        </w:numPr>
        <w:spacing w:after="100"/>
      </w:pPr>
      <w:r>
        <w:rPr>
          <w:sz w:val="22"/>
          <w:szCs w:val="22"/>
        </w:rPr>
        <w:t xml:space="preserve">Customers without OnlineSecurity or TechSupport churn substantially more than those with these add-ons.</w:t>
      </w:r>
    </w:p>
    <w:p>
      <w:pPr>
        <w:pStyle w:val="ListParagraph"/>
        <w:numPr>
          <w:ilvl w:val="0"/>
          <w:numId w:val="1"/>
        </w:numPr>
        <w:spacing w:after="100"/>
      </w:pPr>
      <w:r>
        <w:rPr>
          <w:sz w:val="22"/>
          <w:szCs w:val="22"/>
        </w:rPr>
        <w:t xml:space="preserve">Customers with no internet service at all show the lowest churn, suggesting internet-service customers are the highest-risk group overall.</w:t>
      </w:r>
    </w:p>
    <w:p>
      <w:pPr>
        <w:spacing w:after="200"/>
      </w:pPr>
      <w:r>
        <w:rPr>
          <w:sz w:val="22"/>
          <w:szCs w:val="22"/>
        </w:rPr>
        <w:t xml:space="preserve">Billing and payment findings:</w:t>
      </w:r>
    </w:p>
    <w:p>
      <w:pPr>
        <w:pStyle w:val="ListParagraph"/>
        <w:numPr>
          <w:ilvl w:val="0"/>
          <w:numId w:val="1"/>
        </w:numPr>
        <w:spacing w:after="100"/>
      </w:pPr>
      <w:r>
        <w:rPr>
          <w:sz w:val="22"/>
          <w:szCs w:val="22"/>
        </w:rPr>
        <w:t xml:space="preserve">Electronic check is the highest-churn payment method, well above bank transfer, credit card, or mailed check.</w:t>
      </w:r>
    </w:p>
    <w:p>
      <w:pPr>
        <w:pStyle w:val="ListParagraph"/>
        <w:numPr>
          <w:ilvl w:val="0"/>
          <w:numId w:val="1"/>
        </w:numPr>
        <w:spacing w:after="100"/>
      </w:pPr>
      <w:r>
        <w:rPr>
          <w:sz w:val="22"/>
          <w:szCs w:val="22"/>
        </w:rPr>
        <w:t xml:space="preserve">PaperlessBilling customers churn more than those on paper billing.</w:t>
      </w:r>
    </w:p>
    <w:p>
      <w:pPr>
        <w:pStyle w:val="ListParagraph"/>
        <w:numPr>
          <w:ilvl w:val="0"/>
          <w:numId w:val="1"/>
        </w:numPr>
        <w:spacing w:after="100"/>
      </w:pPr>
      <w:r>
        <w:rPr>
          <w:sz w:val="22"/>
          <w:szCs w:val="22"/>
        </w:rPr>
        <w:t xml:space="preserve">Combining Contract and PaymentMethod shows the highest-risk segment is month-to-month customers paying by electronic check.</w:t>
      </w:r>
    </w:p>
    <w:p>
      <w:pPr>
        <w:spacing w:after="200"/>
      </w:pPr>
      <w:r>
        <w:rPr>
          <w:sz w:val="22"/>
          <w:szCs w:val="22"/>
        </w:rPr>
        <w:t xml:space="preserve">Demographic findings:</w:t>
      </w:r>
    </w:p>
    <w:p>
      <w:pPr>
        <w:pStyle w:val="ListParagraph"/>
        <w:numPr>
          <w:ilvl w:val="0"/>
          <w:numId w:val="1"/>
        </w:numPr>
        <w:spacing w:after="100"/>
      </w:pPr>
      <w:r>
        <w:rPr>
          <w:sz w:val="22"/>
          <w:szCs w:val="22"/>
        </w:rPr>
        <w:t xml:space="preserve">Customers without a partner and without dependents have the highest churn rate (34%); customers with both a partner and dependents have the lowest (14%) — see table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9D9D9" w:val="clear"/>
          </w:tcPr>
          <w:p>
            <w:r>
              <w:rPr>
                <w:b/>
                <w:bCs/>
                <w:sz w:val="20"/>
                <w:szCs w:val="20"/>
              </w:rPr>
              <w:t xml:space="preserve">Partner</w:t>
            </w:r>
          </w:p>
        </w:tc>
        <w:tc>
          <w:tcPr>
            <w:tcW w:type="pct" w:w="25%"/>
            <w:shd w:fill="D9D9D9" w:val="clear"/>
          </w:tcPr>
          <w:p>
            <w:r>
              <w:rPr>
                <w:b/>
                <w:bCs/>
                <w:sz w:val="20"/>
                <w:szCs w:val="20"/>
              </w:rPr>
              <w:t xml:space="preserve">No Dependents</w:t>
            </w:r>
          </w:p>
        </w:tc>
        <w:tc>
          <w:tcPr>
            <w:tcW w:type="pct" w:w="25%"/>
            <w:shd w:fill="D9D9D9" w:val="clear"/>
          </w:tcPr>
          <w:p>
            <w:r>
              <w:rPr>
                <w:b/>
                <w:bCs/>
                <w:sz w:val="20"/>
                <w:szCs w:val="20"/>
              </w:rPr>
              <w:t xml:space="preserve">Has Dependents</w:t>
            </w:r>
          </w:p>
        </w:tc>
        <w:tc>
          <w:tcPr>
            <w:tcW w:type="pct" w:w="25%"/>
            <w:shd w:fill="D9D9D9" w:val="clear"/>
          </w:tcPr>
          <w:p>
            <w:r>
              <w:rPr>
                <w:b/>
                <w:bCs/>
                <w:sz w:val="20"/>
                <w:szCs w:val="20"/>
              </w:rPr>
              <w:t xml:space="preserve">Total</w:t>
            </w:r>
          </w:p>
        </w:tc>
      </w:tr>
      <w:tr>
        <w:tc>
          <w:tcPr>
            <w:tcW w:type="pct" w:w="25%"/>
          </w:tcPr>
          <w:p>
            <w:r>
              <w:rPr>
                <w:b w:val="false"/>
                <w:bCs w:val="false"/>
                <w:sz w:val="20"/>
                <w:szCs w:val="20"/>
              </w:rPr>
              <w:t xml:space="preserve">No</w:t>
            </w:r>
          </w:p>
        </w:tc>
        <w:tc>
          <w:tcPr>
            <w:tcW w:type="pct" w:w="25%"/>
          </w:tcPr>
          <w:p>
            <w:r>
              <w:rPr>
                <w:b w:val="false"/>
                <w:bCs w:val="false"/>
                <w:sz w:val="20"/>
                <w:szCs w:val="20"/>
              </w:rPr>
              <w:t xml:space="preserve">34%</w:t>
            </w:r>
          </w:p>
        </w:tc>
        <w:tc>
          <w:tcPr>
            <w:tcW w:type="pct" w:w="25%"/>
          </w:tcPr>
          <w:p>
            <w:r>
              <w:rPr>
                <w:b w:val="false"/>
                <w:bCs w:val="false"/>
                <w:sz w:val="20"/>
                <w:szCs w:val="20"/>
              </w:rPr>
              <w:t xml:space="preserve">21%</w:t>
            </w:r>
          </w:p>
        </w:tc>
        <w:tc>
          <w:tcPr>
            <w:tcW w:type="pct" w:w="25%"/>
          </w:tcPr>
          <w:p>
            <w:r>
              <w:rPr>
                <w:b w:val="false"/>
                <w:bCs w:val="false"/>
                <w:sz w:val="20"/>
                <w:szCs w:val="20"/>
              </w:rPr>
              <w:t xml:space="preserve">33%</w:t>
            </w:r>
          </w:p>
        </w:tc>
      </w:tr>
      <w:tr>
        <w:tc>
          <w:tcPr>
            <w:tcW w:type="pct" w:w="25%"/>
          </w:tcPr>
          <w:p>
            <w:r>
              <w:rPr>
                <w:b w:val="false"/>
                <w:bCs w:val="false"/>
                <w:sz w:val="20"/>
                <w:szCs w:val="20"/>
              </w:rPr>
              <w:t xml:space="preserve">Yes</w:t>
            </w:r>
          </w:p>
        </w:tc>
        <w:tc>
          <w:tcPr>
            <w:tcW w:type="pct" w:w="25%"/>
          </w:tcPr>
          <w:p>
            <w:r>
              <w:rPr>
                <w:b w:val="false"/>
                <w:bCs w:val="false"/>
                <w:sz w:val="20"/>
                <w:szCs w:val="20"/>
              </w:rPr>
              <w:t xml:space="preserve">25%</w:t>
            </w:r>
          </w:p>
        </w:tc>
        <w:tc>
          <w:tcPr>
            <w:tcW w:type="pct" w:w="25%"/>
          </w:tcPr>
          <w:p>
            <w:r>
              <w:rPr>
                <w:b w:val="false"/>
                <w:bCs w:val="false"/>
                <w:sz w:val="20"/>
                <w:szCs w:val="20"/>
              </w:rPr>
              <w:t xml:space="preserve">14%</w:t>
            </w:r>
          </w:p>
        </w:tc>
        <w:tc>
          <w:tcPr>
            <w:tcW w:type="pct" w:w="25%"/>
          </w:tcPr>
          <w:p>
            <w:r>
              <w:rPr>
                <w:b w:val="false"/>
                <w:bCs w:val="false"/>
                <w:sz w:val="20"/>
                <w:szCs w:val="20"/>
              </w:rPr>
              <w:t xml:space="preserve">20%</w:t>
            </w:r>
          </w:p>
        </w:tc>
      </w:tr>
      <w:tr>
        <w:tc>
          <w:tcPr>
            <w:tcW w:type="pct" w:w="25%"/>
          </w:tcPr>
          <w:p>
            <w:r>
              <w:rPr>
                <w:b w:val="false"/>
                <w:bCs w:val="false"/>
                <w:sz w:val="20"/>
                <w:szCs w:val="20"/>
              </w:rPr>
              <w:t xml:space="preserve">Total</w:t>
            </w:r>
          </w:p>
        </w:tc>
        <w:tc>
          <w:tcPr>
            <w:tcW w:type="pct" w:w="25%"/>
          </w:tcPr>
          <w:p>
            <w:r>
              <w:rPr>
                <w:b w:val="false"/>
                <w:bCs w:val="false"/>
                <w:sz w:val="20"/>
                <w:szCs w:val="20"/>
              </w:rPr>
              <w:t xml:space="preserve">31%</w:t>
            </w:r>
          </w:p>
        </w:tc>
        <w:tc>
          <w:tcPr>
            <w:tcW w:type="pct" w:w="25%"/>
          </w:tcPr>
          <w:p>
            <w:r>
              <w:rPr>
                <w:b w:val="false"/>
                <w:bCs w:val="false"/>
                <w:sz w:val="20"/>
                <w:szCs w:val="20"/>
              </w:rPr>
              <w:t xml:space="preserve">15%</w:t>
            </w:r>
          </w:p>
        </w:tc>
        <w:tc>
          <w:tcPr>
            <w:tcW w:type="pct" w:w="25%"/>
          </w:tcPr>
          <w:p>
            <w:r>
              <w:rPr>
                <w:b w:val="false"/>
                <w:bCs w:val="false"/>
                <w:sz w:val="20"/>
                <w:szCs w:val="20"/>
              </w:rPr>
              <w:t xml:space="preserve">27%</w:t>
            </w:r>
          </w:p>
        </w:tc>
      </w:tr>
    </w:tbl>
    <w:p>
      <w:pPr>
        <w:spacing w:after="200"/>
      </w:pPr>
    </w:p>
    <w:p>
      <w:pPr>
        <w:pStyle w:val="ListParagraph"/>
        <w:numPr>
          <w:ilvl w:val="0"/>
          <w:numId w:val="1"/>
        </w:numPr>
        <w:spacing w:after="100"/>
      </w:pPr>
      <w:r>
        <w:rPr>
          <w:sz w:val="22"/>
          <w:szCs w:val="22"/>
        </w:rPr>
        <w:t xml:space="preserve">Senior citizens churn at a visibly higher rate than non-seniors.</w:t>
      </w:r>
    </w:p>
    <w:p>
      <w:pPr>
        <w:pStyle w:val="ListParagraph"/>
        <w:numPr>
          <w:ilvl w:val="0"/>
          <w:numId w:val="1"/>
        </w:numPr>
        <w:spacing w:after="100"/>
      </w:pPr>
      <w:r>
        <w:rPr>
          <w:sz w:val="22"/>
          <w:szCs w:val="22"/>
        </w:rPr>
        <w:t xml:space="preserve">Gender shows little to no difference in churn rate.</w:t>
      </w:r>
    </w:p>
    <w:p>
      <w:pPr>
        <w:spacing w:after="200"/>
      </w:pPr>
      <w:r>
        <w:rPr>
          <w:sz w:val="22"/>
          <w:szCs w:val="22"/>
        </w:rPr>
        <w:t xml:space="preserve">Tenure and revenue findings:</w:t>
      </w:r>
    </w:p>
    <w:p>
      <w:pPr>
        <w:pStyle w:val="ListParagraph"/>
        <w:numPr>
          <w:ilvl w:val="0"/>
          <w:numId w:val="1"/>
        </w:numPr>
        <w:spacing w:after="100"/>
      </w:pPr>
      <w:r>
        <w:rPr>
          <w:sz w:val="22"/>
          <w:szCs w:val="22"/>
        </w:rPr>
        <w:t xml:space="preserve">Churn is heavily concentrated in the 0-12 month tenure bucket, and drops sharply as tenure increases — the first year is the highest-risk period.</w:t>
      </w:r>
    </w:p>
    <w:p>
      <w:pPr>
        <w:pStyle w:val="ListParagraph"/>
        <w:numPr>
          <w:ilvl w:val="0"/>
          <w:numId w:val="1"/>
        </w:numPr>
        <w:spacing w:after="100"/>
      </w:pPr>
      <w:r>
        <w:rPr>
          <w:sz w:val="22"/>
          <w:szCs w:val="22"/>
        </w:rPr>
        <w:t xml:space="preserve">Total revenue across all customers is $16.06M; revenue tied to already-churned customers is $2.86M, roughly 18% of total revenue lost to churn.</w:t>
      </w:r>
    </w:p>
    <w:p>
      <w:pPr>
        <w:pStyle w:val="Heading1"/>
      </w:pPr>
      <w:r>
        <w:t xml:space="preserve">6. Insights</w:t>
      </w:r>
    </w:p>
    <w:p>
      <w:pPr>
        <w:pStyle w:val="ListParagraph"/>
        <w:numPr>
          <w:ilvl w:val="0"/>
          <w:numId w:val="1"/>
        </w:numPr>
        <w:spacing w:after="100"/>
      </w:pPr>
      <w:r>
        <w:rPr>
          <w:sz w:val="22"/>
          <w:szCs w:val="22"/>
        </w:rPr>
        <w:t xml:space="preserve">Contract length is the single biggest lever the business has — month-to-month customers are churning at more than 10x the rate of two-year customers, so converting even a fraction of them to longer contracts would materially cut churn.</w:t>
      </w:r>
    </w:p>
    <w:p>
      <w:pPr>
        <w:pStyle w:val="ListParagraph"/>
        <w:numPr>
          <w:ilvl w:val="0"/>
          <w:numId w:val="1"/>
        </w:numPr>
        <w:spacing w:after="100"/>
      </w:pPr>
      <w:r>
        <w:rPr>
          <w:sz w:val="22"/>
          <w:szCs w:val="22"/>
        </w:rPr>
        <w:t xml:space="preserve">The first 12 months are the make-or-break period for retention — most churn happens early, meaning onboarding and early engagement matter more than long-term loyalty programs.</w:t>
      </w:r>
    </w:p>
    <w:p>
      <w:pPr>
        <w:pStyle w:val="ListParagraph"/>
        <w:numPr>
          <w:ilvl w:val="0"/>
          <w:numId w:val="1"/>
        </w:numPr>
        <w:spacing w:after="100"/>
      </w:pPr>
      <w:r>
        <w:rPr>
          <w:sz w:val="22"/>
          <w:szCs w:val="22"/>
        </w:rPr>
        <w:t xml:space="preserve">Fiber optic customers churning more than DSL customers despite being the premium product suggests a service quality, pricing, or expectation-mismatch problem specific to fiber, not just a general churn pattern.</w:t>
      </w:r>
    </w:p>
    <w:p>
      <w:pPr>
        <w:pStyle w:val="ListParagraph"/>
        <w:numPr>
          <w:ilvl w:val="0"/>
          <w:numId w:val="1"/>
        </w:numPr>
        <w:spacing w:after="100"/>
      </w:pPr>
      <w:r>
        <w:rPr>
          <w:sz w:val="22"/>
          <w:szCs w:val="22"/>
        </w:rPr>
        <w:t xml:space="preserve">Security and support add-ons (OnlineSecurity, TechSupport) appear to increase stickiness — customers with these services churn less, possibly because they feel more supported or locked in.</w:t>
      </w:r>
    </w:p>
    <w:p>
      <w:pPr>
        <w:pStyle w:val="ListParagraph"/>
        <w:numPr>
          <w:ilvl w:val="0"/>
          <w:numId w:val="1"/>
        </w:numPr>
        <w:spacing w:after="100"/>
      </w:pPr>
      <w:r>
        <w:rPr>
          <w:sz w:val="22"/>
          <w:szCs w:val="22"/>
        </w:rPr>
        <w:t xml:space="preserve">Electronic check payment is disproportionately linked to churn, which may reflect a lower-commitment, easier-to-cancel customer segment rather than the payment method itself causing churn.</w:t>
      </w:r>
    </w:p>
    <w:p>
      <w:pPr>
        <w:pStyle w:val="Heading1"/>
      </w:pPr>
      <w:r>
        <w:t xml:space="preserve">7. Recommendations</w:t>
      </w:r>
    </w:p>
    <w:p>
      <w:pPr>
        <w:pStyle w:val="ListParagraph"/>
        <w:numPr>
          <w:ilvl w:val="0"/>
          <w:numId w:val="1"/>
        </w:numPr>
        <w:spacing w:after="100"/>
      </w:pPr>
      <w:r>
        <w:rPr>
          <w:sz w:val="22"/>
          <w:szCs w:val="22"/>
        </w:rPr>
        <w:t xml:space="preserve">Incentivize month-to-month customers to switch to one- or two-year contracts through discounts or bundled perks, prioritizing this as the highest-impact retention lever.</w:t>
      </w:r>
    </w:p>
    <w:p>
      <w:pPr>
        <w:pStyle w:val="ListParagraph"/>
        <w:numPr>
          <w:ilvl w:val="0"/>
          <w:numId w:val="1"/>
        </w:numPr>
        <w:spacing w:after="100"/>
      </w:pPr>
      <w:r>
        <w:rPr>
          <w:sz w:val="22"/>
          <w:szCs w:val="22"/>
        </w:rPr>
        <w:t xml:space="preserve">Build a structured onboarding and check-in program for the first 12 months of a customer's tenure, since this is where churn risk is highest.</w:t>
      </w:r>
    </w:p>
    <w:p>
      <w:pPr>
        <w:pStyle w:val="ListParagraph"/>
        <w:numPr>
          <w:ilvl w:val="0"/>
          <w:numId w:val="1"/>
        </w:numPr>
        <w:spacing w:after="100"/>
      </w:pPr>
      <w:r>
        <w:rPr>
          <w:sz w:val="22"/>
          <w:szCs w:val="22"/>
        </w:rPr>
        <w:t xml:space="preserve">Investigate fiber optic service quality and pricing specifically, given its churn rate is disproportionate to its position as the premium internet offering.</w:t>
      </w:r>
    </w:p>
    <w:p>
      <w:pPr>
        <w:pStyle w:val="ListParagraph"/>
        <w:numPr>
          <w:ilvl w:val="0"/>
          <w:numId w:val="1"/>
        </w:numPr>
        <w:spacing w:after="100"/>
      </w:pPr>
      <w:r>
        <w:rPr>
          <w:sz w:val="22"/>
          <w:szCs w:val="22"/>
        </w:rPr>
        <w:t xml:space="preserve">Bundle OnlineSecurity and TechSupport into base packages rather than treating them as paid add-ons, to increase stickiness across the customer base.</w:t>
      </w:r>
    </w:p>
    <w:p>
      <w:pPr>
        <w:pStyle w:val="ListParagraph"/>
        <w:numPr>
          <w:ilvl w:val="0"/>
          <w:numId w:val="1"/>
        </w:numPr>
        <w:spacing w:after="100"/>
      </w:pPr>
      <w:r>
        <w:rPr>
          <w:sz w:val="22"/>
          <w:szCs w:val="22"/>
        </w:rPr>
        <w:t xml:space="preserve">Review the electronic check payment experience and consider incentivizing a switch to automatic payment methods (bank transfer or credit card), which correlate with lower churn.</w:t>
      </w:r>
    </w:p>
    <w:p>
      <w:pPr>
        <w:pStyle w:val="Heading1"/>
      </w:pPr>
      <w:r>
        <w:t xml:space="preserve">8. Conclusion</w:t>
      </w:r>
    </w:p>
    <w:p>
      <w:pPr>
        <w:spacing w:after="200"/>
      </w:pPr>
      <w:r>
        <w:rPr>
          <w:sz w:val="22"/>
          <w:szCs w:val="22"/>
        </w:rPr>
        <w:t xml:space="preserve">Churn in this dataset is not random — it is concentrated in specific, addressable segments: month-to-month contracts, new customers, fiber optic subscribers, and electronic check payers. Because these segments overlap significantly, a customer who is month-to-month, new, on fiber, and paying by electronic check represents a compounded, high-priority churn risk. Addressing contract terms and early-tenure engagement offers the clearest path to reducing the company's 27% churn rate and protecting the $16M in customer revenue at stake.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2026-07-17T08:23:31.838Z</dcterms:created>
  <dcterms:modified xsi:type="dcterms:W3CDTF">2026-07-17T08:23:31.849Z</dcterms:modified>
</cp:coreProperties>
</file>

<file path=docProps/custom.xml><?xml version="1.0" encoding="utf-8"?>
<Properties xmlns="http://schemas.openxmlformats.org/officeDocument/2006/custom-properties" xmlns:vt="http://schemas.openxmlformats.org/officeDocument/2006/docPropsVTypes"/>
</file>