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6FCAB7" w14:textId="27B72B3E" w:rsidR="00B13123" w:rsidRDefault="00D51CC6">
      <w:pPr>
        <w:rPr>
          <w:rFonts w:ascii="Arial" w:hAnsi="Arial" w:cs="Arial"/>
        </w:rPr>
      </w:pPr>
      <w:r>
        <w:rPr>
          <w:rFonts w:ascii="Arial" w:hAnsi="Arial" w:cs="Arial"/>
        </w:rPr>
        <w:t xml:space="preserve">James Chad </w:t>
      </w:r>
      <w:proofErr w:type="spellStart"/>
      <w:r>
        <w:rPr>
          <w:rFonts w:ascii="Arial" w:hAnsi="Arial" w:cs="Arial"/>
        </w:rPr>
        <w:t>Ballay</w:t>
      </w:r>
      <w:proofErr w:type="spellEnd"/>
    </w:p>
    <w:p w14:paraId="3902AC96" w14:textId="36A3BFC6" w:rsidR="00D51CC6" w:rsidRDefault="00D51CC6">
      <w:pPr>
        <w:rPr>
          <w:rFonts w:ascii="Arial" w:hAnsi="Arial" w:cs="Arial"/>
        </w:rPr>
      </w:pPr>
    </w:p>
    <w:p w14:paraId="4300DB22" w14:textId="08862694" w:rsidR="00D51CC6" w:rsidRPr="00D51CC6" w:rsidRDefault="00D51CC6" w:rsidP="00D51CC6">
      <w:pPr>
        <w:jc w:val="center"/>
        <w:rPr>
          <w:rFonts w:ascii="Arial" w:hAnsi="Arial" w:cs="Arial"/>
          <w:sz w:val="32"/>
          <w:szCs w:val="32"/>
        </w:rPr>
      </w:pPr>
      <w:r w:rsidRPr="00D51CC6">
        <w:rPr>
          <w:rFonts w:ascii="Arial" w:hAnsi="Arial" w:cs="Arial"/>
          <w:sz w:val="32"/>
          <w:szCs w:val="32"/>
        </w:rPr>
        <w:t>Impact of U.S. Federal and State Compliance Laws</w:t>
      </w:r>
    </w:p>
    <w:p w14:paraId="1D82BA42" w14:textId="3B303C2F" w:rsidR="00D51CC6" w:rsidRDefault="00D51CC6">
      <w:pPr>
        <w:rPr>
          <w:rFonts w:ascii="Arial" w:hAnsi="Arial" w:cs="Arial"/>
          <w:b/>
          <w:bCs/>
        </w:rPr>
      </w:pPr>
    </w:p>
    <w:p w14:paraId="742895DB" w14:textId="77777777" w:rsidR="00D51CC6" w:rsidRDefault="00D51CC6" w:rsidP="00D51CC6">
      <w:pPr>
        <w:rPr>
          <w:rFonts w:ascii="Arial" w:hAnsi="Arial" w:cs="Arial"/>
          <w:b/>
          <w:bCs/>
        </w:rPr>
      </w:pPr>
    </w:p>
    <w:p w14:paraId="0DA7700A" w14:textId="6B81F889" w:rsidR="00D51CC6" w:rsidRPr="00D51CC6" w:rsidRDefault="00D51CC6" w:rsidP="00D51CC6">
      <w:pPr>
        <w:rPr>
          <w:rFonts w:ascii="Arial" w:hAnsi="Arial" w:cs="Arial"/>
          <w:b/>
          <w:bCs/>
        </w:rPr>
      </w:pPr>
      <w:r w:rsidRPr="00D51CC6">
        <w:rPr>
          <w:rFonts w:ascii="Arial" w:hAnsi="Arial" w:cs="Arial"/>
          <w:b/>
          <w:bCs/>
        </w:rPr>
        <w:t>How do U.S. federal and state compliance laws affect the given problem and influence the solution taken by the company?</w:t>
      </w:r>
    </w:p>
    <w:p w14:paraId="70EECF88" w14:textId="77777777" w:rsidR="006D3798" w:rsidRDefault="006D3798">
      <w:pPr>
        <w:rPr>
          <w:rFonts w:ascii="Arial" w:hAnsi="Arial" w:cs="Arial"/>
        </w:rPr>
      </w:pPr>
    </w:p>
    <w:p w14:paraId="0ACC570B" w14:textId="2972E978" w:rsidR="00D51CC6" w:rsidRDefault="006D3798">
      <w:pPr>
        <w:rPr>
          <w:rFonts w:ascii="Arial" w:hAnsi="Arial" w:cs="Arial"/>
        </w:rPr>
      </w:pPr>
      <w:r>
        <w:rPr>
          <w:rFonts w:ascii="Arial" w:hAnsi="Arial" w:cs="Arial"/>
        </w:rPr>
        <w:t>It defines the floor for minimal compliance.  Below this level leaves the company out of compliance with regulators.  Above this floor, the conversation shifts to cost vs benefit conversations with regard to customer service, shareholder value, long term strategy and other negotiable items.  A pain point for the many regulated entities is that the laws are often written without input from technologist.  Often the laws proscribe the end results with</w:t>
      </w:r>
      <w:r w:rsidR="00F9793F">
        <w:rPr>
          <w:rFonts w:ascii="Arial" w:hAnsi="Arial" w:cs="Arial"/>
        </w:rPr>
        <w:t xml:space="preserve"> </w:t>
      </w:r>
      <w:r w:rsidR="00847A8A">
        <w:rPr>
          <w:rFonts w:ascii="Arial" w:hAnsi="Arial" w:cs="Arial"/>
        </w:rPr>
        <w:t xml:space="preserve">such </w:t>
      </w:r>
      <w:r>
        <w:rPr>
          <w:rFonts w:ascii="Arial" w:hAnsi="Arial" w:cs="Arial"/>
        </w:rPr>
        <w:t xml:space="preserve">little clarity that they are subject to interpretation.  </w:t>
      </w:r>
    </w:p>
    <w:p w14:paraId="15A79750" w14:textId="149C93F0" w:rsidR="006D3798" w:rsidRDefault="006D3798">
      <w:pPr>
        <w:rPr>
          <w:rFonts w:ascii="Arial" w:hAnsi="Arial" w:cs="Arial"/>
        </w:rPr>
      </w:pPr>
    </w:p>
    <w:p w14:paraId="55E417A8" w14:textId="77777777" w:rsidR="006D3798" w:rsidRDefault="006D3798">
      <w:pPr>
        <w:rPr>
          <w:rFonts w:ascii="Arial" w:hAnsi="Arial" w:cs="Arial"/>
        </w:rPr>
      </w:pPr>
    </w:p>
    <w:p w14:paraId="11CDFB50" w14:textId="77777777" w:rsidR="006D3798" w:rsidRPr="006D3798" w:rsidRDefault="006D3798" w:rsidP="006D3798">
      <w:pPr>
        <w:rPr>
          <w:rFonts w:ascii="Times New Roman" w:eastAsia="Times New Roman" w:hAnsi="Times New Roman" w:cs="Times New Roman"/>
        </w:rPr>
      </w:pPr>
      <w:r w:rsidRPr="006D3798">
        <w:rPr>
          <w:rFonts w:ascii="Arial" w:hAnsi="Arial" w:cs="Arial"/>
          <w:b/>
          <w:bCs/>
        </w:rPr>
        <w:t>How is the solution to the problem an outcome of the compliance laws?</w:t>
      </w:r>
    </w:p>
    <w:p w14:paraId="04AE17C1" w14:textId="2A6C6E16" w:rsidR="006D3798" w:rsidRDefault="006D3798">
      <w:pPr>
        <w:rPr>
          <w:rFonts w:ascii="Arial" w:hAnsi="Arial" w:cs="Arial"/>
        </w:rPr>
      </w:pPr>
    </w:p>
    <w:p w14:paraId="1CC8049B" w14:textId="5462614E" w:rsidR="006D3798" w:rsidRDefault="00F9793F">
      <w:pPr>
        <w:rPr>
          <w:rFonts w:ascii="Arial" w:hAnsi="Arial" w:cs="Arial"/>
        </w:rPr>
      </w:pPr>
      <w:r>
        <w:rPr>
          <w:rFonts w:ascii="Arial" w:hAnsi="Arial" w:cs="Arial"/>
        </w:rPr>
        <w:t>Federal Information Security Management Act (FISMA) sets the requirement that US government agencies and third parties that do business with the US government must meet the requirements laid out in FIPS 140.  The current version of this is FIPS 140-2 although FIPS 140-3 is slated to begin final acceptance testing in late 2020.</w:t>
      </w:r>
      <w:sdt>
        <w:sdtPr>
          <w:rPr>
            <w:rFonts w:ascii="Arial" w:hAnsi="Arial" w:cs="Arial"/>
          </w:rPr>
          <w:id w:val="321017931"/>
          <w:citation/>
        </w:sdtPr>
        <w:sdtContent>
          <w:r w:rsidR="00847A8A">
            <w:rPr>
              <w:rFonts w:ascii="Arial" w:hAnsi="Arial" w:cs="Arial"/>
            </w:rPr>
            <w:fldChar w:fldCharType="begin"/>
          </w:r>
          <w:r w:rsidR="00847A8A">
            <w:rPr>
              <w:rFonts w:ascii="Arial" w:hAnsi="Arial" w:cs="Arial"/>
            </w:rPr>
            <w:instrText xml:space="preserve"> CITATION Com \l 1033 </w:instrText>
          </w:r>
          <w:r w:rsidR="00847A8A">
            <w:rPr>
              <w:rFonts w:ascii="Arial" w:hAnsi="Arial" w:cs="Arial"/>
            </w:rPr>
            <w:fldChar w:fldCharType="separate"/>
          </w:r>
          <w:r w:rsidR="00847A8A">
            <w:rPr>
              <w:rFonts w:ascii="Arial" w:hAnsi="Arial" w:cs="Arial"/>
              <w:noProof/>
            </w:rPr>
            <w:t xml:space="preserve"> </w:t>
          </w:r>
          <w:r w:rsidR="00847A8A" w:rsidRPr="00847A8A">
            <w:rPr>
              <w:rFonts w:ascii="Arial" w:hAnsi="Arial" w:cs="Arial"/>
              <w:noProof/>
            </w:rPr>
            <w:t>(Compliance FAQs: Federal Information Processing Standards (FIPS) | NIST, n.d.)</w:t>
          </w:r>
          <w:r w:rsidR="00847A8A">
            <w:rPr>
              <w:rFonts w:ascii="Arial" w:hAnsi="Arial" w:cs="Arial"/>
            </w:rPr>
            <w:fldChar w:fldCharType="end"/>
          </w:r>
        </w:sdtContent>
      </w:sdt>
      <w:r w:rsidR="00847A8A">
        <w:rPr>
          <w:rFonts w:ascii="Arial" w:hAnsi="Arial" w:cs="Arial"/>
        </w:rPr>
        <w:t xml:space="preserve">  </w:t>
      </w:r>
    </w:p>
    <w:p w14:paraId="5D3BD20A" w14:textId="5AF5A844" w:rsidR="00847A8A" w:rsidRDefault="00847A8A">
      <w:pPr>
        <w:rPr>
          <w:rFonts w:ascii="Arial" w:hAnsi="Arial" w:cs="Arial"/>
        </w:rPr>
      </w:pPr>
    </w:p>
    <w:p w14:paraId="1D45225B" w14:textId="0043B4E2" w:rsidR="00847A8A" w:rsidRPr="00847A8A" w:rsidRDefault="00847A8A">
      <w:pPr>
        <w:rPr>
          <w:rFonts w:ascii="Arial" w:hAnsi="Arial" w:cs="Arial"/>
          <w:b/>
          <w:bCs/>
        </w:rPr>
      </w:pPr>
    </w:p>
    <w:p w14:paraId="7DEFA10B" w14:textId="77777777" w:rsidR="00847A8A" w:rsidRPr="00847A8A" w:rsidRDefault="00847A8A" w:rsidP="00847A8A">
      <w:pPr>
        <w:rPr>
          <w:rFonts w:ascii="Arial" w:hAnsi="Arial" w:cs="Arial"/>
          <w:b/>
          <w:bCs/>
        </w:rPr>
      </w:pPr>
      <w:r w:rsidRPr="00847A8A">
        <w:rPr>
          <w:rFonts w:ascii="Arial" w:hAnsi="Arial" w:cs="Arial"/>
          <w:b/>
          <w:bCs/>
        </w:rPr>
        <w:t>How do cost-benefit issues and considerations affect decisions regarding solutions?</w:t>
      </w:r>
    </w:p>
    <w:p w14:paraId="407F01F1" w14:textId="48DEBDFF" w:rsidR="00847A8A" w:rsidRDefault="00847A8A">
      <w:pPr>
        <w:rPr>
          <w:rFonts w:ascii="Arial" w:hAnsi="Arial" w:cs="Arial"/>
        </w:rPr>
      </w:pPr>
    </w:p>
    <w:p w14:paraId="242BAE2A" w14:textId="389CCC49" w:rsidR="0057461B" w:rsidRDefault="0057461B">
      <w:pPr>
        <w:rPr>
          <w:rFonts w:ascii="Arial" w:hAnsi="Arial" w:cs="Arial"/>
        </w:rPr>
      </w:pPr>
      <w:r>
        <w:rPr>
          <w:rFonts w:ascii="Arial" w:hAnsi="Arial" w:cs="Arial"/>
        </w:rPr>
        <w:t xml:space="preserve">Multiple FIPS 140-2 compliant solutions exist across a broad swath of vendors.  To narrow the field a GAP analysis must be done to identified which of the various certified solutions fit ABS’s specific needs.  In this case the rollout map does not have them moving completely away from notebooks to mobile devices.  ABS </w:t>
      </w:r>
      <w:proofErr w:type="gramStart"/>
      <w:r>
        <w:rPr>
          <w:rFonts w:ascii="Arial" w:hAnsi="Arial" w:cs="Arial"/>
        </w:rPr>
        <w:t>does</w:t>
      </w:r>
      <w:bookmarkStart w:id="0" w:name="_GoBack"/>
      <w:bookmarkEnd w:id="0"/>
      <w:proofErr w:type="gramEnd"/>
      <w:r>
        <w:rPr>
          <w:rFonts w:ascii="Arial" w:hAnsi="Arial" w:cs="Arial"/>
        </w:rPr>
        <w:t xml:space="preserve"> see this a nice to have or a possible to have.</w:t>
      </w:r>
    </w:p>
    <w:p w14:paraId="7255EE94" w14:textId="65AEA2EB" w:rsidR="0057461B" w:rsidRDefault="0057461B">
      <w:pPr>
        <w:rPr>
          <w:rFonts w:ascii="Arial" w:hAnsi="Arial" w:cs="Arial"/>
        </w:rPr>
      </w:pPr>
    </w:p>
    <w:p w14:paraId="77ACF4A6" w14:textId="413277FF" w:rsidR="0057461B" w:rsidRDefault="0057461B">
      <w:pPr>
        <w:rPr>
          <w:rFonts w:ascii="Arial" w:hAnsi="Arial" w:cs="Arial"/>
        </w:rPr>
      </w:pPr>
    </w:p>
    <w:p w14:paraId="65BF5BE9" w14:textId="77777777" w:rsidR="0057461B" w:rsidRPr="0057461B" w:rsidRDefault="0057461B" w:rsidP="0057461B">
      <w:pPr>
        <w:rPr>
          <w:rFonts w:ascii="Arial" w:hAnsi="Arial" w:cs="Arial"/>
          <w:b/>
          <w:bCs/>
        </w:rPr>
      </w:pPr>
      <w:r w:rsidRPr="0057461B">
        <w:rPr>
          <w:rFonts w:ascii="Arial" w:hAnsi="Arial" w:cs="Arial"/>
          <w:b/>
          <w:bCs/>
        </w:rPr>
        <w:t>What role will customers’ acceptance and attitude play in developing the new business solution?</w:t>
      </w:r>
    </w:p>
    <w:p w14:paraId="4832367F" w14:textId="7935E1F1" w:rsidR="0057461B" w:rsidRDefault="0057461B">
      <w:pPr>
        <w:rPr>
          <w:rFonts w:ascii="Arial" w:hAnsi="Arial" w:cs="Arial"/>
        </w:rPr>
      </w:pPr>
    </w:p>
    <w:p w14:paraId="0F102F44" w14:textId="30966EFB" w:rsidR="00EB06DF" w:rsidRDefault="00EB06DF">
      <w:pPr>
        <w:rPr>
          <w:rFonts w:ascii="Arial" w:hAnsi="Arial" w:cs="Arial"/>
        </w:rPr>
      </w:pPr>
      <w:r>
        <w:rPr>
          <w:rFonts w:ascii="Arial" w:hAnsi="Arial" w:cs="Arial"/>
        </w:rPr>
        <w:t xml:space="preserve">Any solution put forth will have to be multi-faceted to meet the needs of compliance while minimizing impact to operations.  Working with the end-users and customer advocates garners </w:t>
      </w:r>
      <w:r w:rsidR="0056011E">
        <w:rPr>
          <w:rFonts w:ascii="Arial" w:hAnsi="Arial" w:cs="Arial"/>
        </w:rPr>
        <w:t>buy in</w:t>
      </w:r>
      <w:r>
        <w:rPr>
          <w:rFonts w:ascii="Arial" w:hAnsi="Arial" w:cs="Arial"/>
        </w:rPr>
        <w:t xml:space="preserve"> and will speed adoption due to a tighter feedback loop from the stakeholders.  The flow of feedback must be diligently setup and repeatedly reviewed</w:t>
      </w:r>
    </w:p>
    <w:p w14:paraId="30A16601" w14:textId="77777777" w:rsidR="00EB06DF" w:rsidRDefault="00EB06DF">
      <w:pPr>
        <w:rPr>
          <w:rFonts w:ascii="Arial" w:hAnsi="Arial" w:cs="Arial"/>
        </w:rPr>
      </w:pPr>
    </w:p>
    <w:p w14:paraId="4B2E5115" w14:textId="77777777" w:rsidR="00EB06DF" w:rsidRDefault="00EB06DF">
      <w:pPr>
        <w:rPr>
          <w:rFonts w:ascii="Arial" w:hAnsi="Arial" w:cs="Arial"/>
        </w:rPr>
      </w:pPr>
    </w:p>
    <w:p w14:paraId="787563DB" w14:textId="77777777" w:rsidR="00EB06DF" w:rsidRPr="00EB06DF" w:rsidRDefault="00EB06DF" w:rsidP="00EB06DF">
      <w:pPr>
        <w:rPr>
          <w:rFonts w:ascii="Arial" w:hAnsi="Arial" w:cs="Arial"/>
          <w:b/>
          <w:bCs/>
        </w:rPr>
      </w:pPr>
      <w:r w:rsidRPr="00EB06DF">
        <w:rPr>
          <w:rFonts w:ascii="Arial" w:hAnsi="Arial" w:cs="Arial"/>
          <w:b/>
          <w:bCs/>
        </w:rPr>
        <w:lastRenderedPageBreak/>
        <w:t>What is the contribution of an individual customer’s attitude in developing the business solution?</w:t>
      </w:r>
    </w:p>
    <w:p w14:paraId="7C0F1718" w14:textId="77777777" w:rsidR="00EB06DF" w:rsidRDefault="00EB06DF">
      <w:pPr>
        <w:rPr>
          <w:rFonts w:ascii="Arial" w:hAnsi="Arial" w:cs="Arial"/>
        </w:rPr>
      </w:pPr>
    </w:p>
    <w:p w14:paraId="08D20CA1" w14:textId="638D0BEE" w:rsidR="00EB06DF" w:rsidRDefault="00EB06DF" w:rsidP="00EB06DF">
      <w:pPr>
        <w:ind w:left="720"/>
        <w:rPr>
          <w:rFonts w:ascii="Arial" w:eastAsia="Times New Roman" w:hAnsi="Arial" w:cs="Arial"/>
          <w:color w:val="212529"/>
          <w:sz w:val="27"/>
          <w:szCs w:val="27"/>
          <w:shd w:val="clear" w:color="auto" w:fill="FFFFFF"/>
        </w:rPr>
      </w:pPr>
      <w:r>
        <w:rPr>
          <w:rFonts w:ascii="Arial" w:hAnsi="Arial" w:cs="Arial"/>
        </w:rPr>
        <w:t>“</w:t>
      </w:r>
      <w:r w:rsidRPr="00EB06DF">
        <w:rPr>
          <w:rFonts w:ascii="Arial" w:eastAsia="Times New Roman" w:hAnsi="Arial" w:cs="Arial"/>
          <w:color w:val="212529"/>
          <w:sz w:val="27"/>
          <w:szCs w:val="27"/>
          <w:shd w:val="clear" w:color="auto" w:fill="FFFFFF"/>
        </w:rPr>
        <w:t>It takes roughly 40 positive customer experiences to undo the damage of a single negative review.</w:t>
      </w:r>
      <w:r>
        <w:rPr>
          <w:rFonts w:ascii="Arial" w:eastAsia="Times New Roman" w:hAnsi="Arial" w:cs="Arial"/>
          <w:color w:val="212529"/>
          <w:sz w:val="27"/>
          <w:szCs w:val="27"/>
          <w:shd w:val="clear" w:color="auto" w:fill="FFFFFF"/>
        </w:rPr>
        <w:t>”</w:t>
      </w:r>
      <w:sdt>
        <w:sdtPr>
          <w:rPr>
            <w:rFonts w:ascii="Arial" w:eastAsia="Times New Roman" w:hAnsi="Arial" w:cs="Arial"/>
            <w:color w:val="212529"/>
            <w:sz w:val="27"/>
            <w:szCs w:val="27"/>
            <w:shd w:val="clear" w:color="auto" w:fill="FFFFFF"/>
          </w:rPr>
          <w:id w:val="-966592172"/>
          <w:citation/>
        </w:sdtPr>
        <w:sdtContent>
          <w:r>
            <w:rPr>
              <w:rFonts w:ascii="Arial" w:eastAsia="Times New Roman" w:hAnsi="Arial" w:cs="Arial"/>
              <w:color w:val="212529"/>
              <w:sz w:val="27"/>
              <w:szCs w:val="27"/>
              <w:shd w:val="clear" w:color="auto" w:fill="FFFFFF"/>
            </w:rPr>
            <w:fldChar w:fldCharType="begin"/>
          </w:r>
          <w:r>
            <w:rPr>
              <w:rFonts w:ascii="Arial" w:eastAsia="Times New Roman" w:hAnsi="Arial" w:cs="Arial"/>
              <w:color w:val="212529"/>
              <w:sz w:val="27"/>
              <w:szCs w:val="27"/>
              <w:shd w:val="clear" w:color="auto" w:fill="FFFFFF"/>
            </w:rPr>
            <w:instrText xml:space="preserve"> CITATION And \l 1033 </w:instrText>
          </w:r>
          <w:r>
            <w:rPr>
              <w:rFonts w:ascii="Arial" w:eastAsia="Times New Roman" w:hAnsi="Arial" w:cs="Arial"/>
              <w:color w:val="212529"/>
              <w:sz w:val="27"/>
              <w:szCs w:val="27"/>
              <w:shd w:val="clear" w:color="auto" w:fill="FFFFFF"/>
            </w:rPr>
            <w:fldChar w:fldCharType="separate"/>
          </w:r>
          <w:r>
            <w:rPr>
              <w:rFonts w:ascii="Arial" w:eastAsia="Times New Roman" w:hAnsi="Arial" w:cs="Arial"/>
              <w:noProof/>
              <w:color w:val="212529"/>
              <w:sz w:val="27"/>
              <w:szCs w:val="27"/>
              <w:shd w:val="clear" w:color="auto" w:fill="FFFFFF"/>
            </w:rPr>
            <w:t xml:space="preserve"> </w:t>
          </w:r>
          <w:r w:rsidRPr="00EB06DF">
            <w:rPr>
              <w:rFonts w:ascii="Arial" w:eastAsia="Times New Roman" w:hAnsi="Arial" w:cs="Arial"/>
              <w:noProof/>
              <w:color w:val="212529"/>
              <w:sz w:val="27"/>
              <w:szCs w:val="27"/>
              <w:shd w:val="clear" w:color="auto" w:fill="FFFFFF"/>
            </w:rPr>
            <w:t>(Thomas, n.d.)</w:t>
          </w:r>
          <w:r>
            <w:rPr>
              <w:rFonts w:ascii="Arial" w:eastAsia="Times New Roman" w:hAnsi="Arial" w:cs="Arial"/>
              <w:color w:val="212529"/>
              <w:sz w:val="27"/>
              <w:szCs w:val="27"/>
              <w:shd w:val="clear" w:color="auto" w:fill="FFFFFF"/>
            </w:rPr>
            <w:fldChar w:fldCharType="end"/>
          </w:r>
        </w:sdtContent>
      </w:sdt>
    </w:p>
    <w:p w14:paraId="350F9236" w14:textId="1EF9E5FE" w:rsidR="00EB06DF" w:rsidRDefault="00EB06DF" w:rsidP="00EB06DF">
      <w:pPr>
        <w:rPr>
          <w:rFonts w:ascii="Arial" w:eastAsia="Times New Roman" w:hAnsi="Arial" w:cs="Arial"/>
          <w:color w:val="212529"/>
          <w:sz w:val="27"/>
          <w:szCs w:val="27"/>
          <w:shd w:val="clear" w:color="auto" w:fill="FFFFFF"/>
        </w:rPr>
      </w:pPr>
    </w:p>
    <w:p w14:paraId="73F911AB" w14:textId="60162D97" w:rsidR="00EB06DF" w:rsidRDefault="00EB06DF" w:rsidP="00EB06DF">
      <w:pPr>
        <w:rPr>
          <w:rFonts w:ascii="Arial" w:eastAsia="Times New Roman" w:hAnsi="Arial" w:cs="Arial"/>
          <w:color w:val="212529"/>
          <w:sz w:val="27"/>
          <w:szCs w:val="27"/>
          <w:shd w:val="clear" w:color="auto" w:fill="FFFFFF"/>
        </w:rPr>
      </w:pPr>
      <w:r>
        <w:rPr>
          <w:rFonts w:ascii="Arial" w:eastAsia="Times New Roman" w:hAnsi="Arial" w:cs="Arial"/>
          <w:color w:val="212529"/>
          <w:sz w:val="27"/>
          <w:szCs w:val="27"/>
          <w:shd w:val="clear" w:color="auto" w:fill="FFFFFF"/>
        </w:rPr>
        <w:t xml:space="preserve">Much of the feedback that makes </w:t>
      </w:r>
      <w:r w:rsidR="0056011E">
        <w:rPr>
          <w:rFonts w:ascii="Arial" w:eastAsia="Times New Roman" w:hAnsi="Arial" w:cs="Arial"/>
          <w:color w:val="212529"/>
          <w:sz w:val="27"/>
          <w:szCs w:val="27"/>
          <w:shd w:val="clear" w:color="auto" w:fill="FFFFFF"/>
        </w:rPr>
        <w:t>its</w:t>
      </w:r>
      <w:r>
        <w:rPr>
          <w:rFonts w:ascii="Arial" w:eastAsia="Times New Roman" w:hAnsi="Arial" w:cs="Arial"/>
          <w:color w:val="212529"/>
          <w:sz w:val="27"/>
          <w:szCs w:val="27"/>
          <w:shd w:val="clear" w:color="auto" w:fill="FFFFFF"/>
        </w:rPr>
        <w:t xml:space="preserve"> way back to implementors is just the tip of the iceberg.  The act of communicating feedback has several gates that </w:t>
      </w:r>
      <w:r w:rsidR="009B0156">
        <w:rPr>
          <w:rFonts w:ascii="Arial" w:eastAsia="Times New Roman" w:hAnsi="Arial" w:cs="Arial"/>
          <w:color w:val="212529"/>
          <w:sz w:val="27"/>
          <w:szCs w:val="27"/>
          <w:shd w:val="clear" w:color="auto" w:fill="FFFFFF"/>
        </w:rPr>
        <w:t xml:space="preserve">the feedback must work through to be heard.  </w:t>
      </w:r>
      <w:r w:rsidR="0056011E">
        <w:rPr>
          <w:rFonts w:ascii="Arial" w:eastAsia="Times New Roman" w:hAnsi="Arial" w:cs="Arial"/>
          <w:color w:val="212529"/>
          <w:sz w:val="27"/>
          <w:szCs w:val="27"/>
          <w:shd w:val="clear" w:color="auto" w:fill="FFFFFF"/>
        </w:rPr>
        <w:t>Therefore,</w:t>
      </w:r>
      <w:r w:rsidR="009B0156">
        <w:rPr>
          <w:rFonts w:ascii="Arial" w:eastAsia="Times New Roman" w:hAnsi="Arial" w:cs="Arial"/>
          <w:color w:val="212529"/>
          <w:sz w:val="27"/>
          <w:szCs w:val="27"/>
          <w:shd w:val="clear" w:color="auto" w:fill="FFFFFF"/>
        </w:rPr>
        <w:t xml:space="preserve"> each bit of feedback must be carefully considered.  Onerous task that impact a customer’s experience will be sabotaged or ignored when possible.  When this point is reached the IT implementors will often escalate the enforcement approach to resentment inducing levels.  This counterproductive cycle must be stymied early in the genesis of it.</w:t>
      </w:r>
    </w:p>
    <w:p w14:paraId="1E06F4F3" w14:textId="0EADB854" w:rsidR="00EB06DF" w:rsidRPr="00EB06DF" w:rsidRDefault="00EB06DF" w:rsidP="00EB06DF">
      <w:pPr>
        <w:rPr>
          <w:rFonts w:ascii="Times New Roman" w:eastAsia="Times New Roman" w:hAnsi="Times New Roman" w:cs="Times New Roman"/>
        </w:rPr>
      </w:pPr>
    </w:p>
    <w:p w14:paraId="7E57F869" w14:textId="77777777" w:rsidR="0056011E" w:rsidRPr="00D51CC6" w:rsidRDefault="00EB06DF">
      <w:pPr>
        <w:rPr>
          <w:rFonts w:ascii="Arial" w:hAnsi="Arial" w:cs="Arial"/>
        </w:rPr>
      </w:pPr>
      <w:r>
        <w:rPr>
          <w:rFonts w:ascii="Arial" w:hAnsi="Arial" w:cs="Arial"/>
        </w:rPr>
        <w:t xml:space="preserve"> </w:t>
      </w:r>
    </w:p>
    <w:sdt>
      <w:sdtPr>
        <w:id w:val="-869687988"/>
        <w:docPartObj>
          <w:docPartGallery w:val="Bibliographies"/>
          <w:docPartUnique/>
        </w:docPartObj>
      </w:sdtPr>
      <w:sdtEndPr>
        <w:rPr>
          <w:rFonts w:asciiTheme="minorHAnsi" w:eastAsiaTheme="minorHAnsi" w:hAnsiTheme="minorHAnsi" w:cstheme="minorBidi"/>
          <w:color w:val="auto"/>
          <w:sz w:val="24"/>
          <w:szCs w:val="24"/>
          <w:lang w:bidi="ar-SA"/>
        </w:rPr>
      </w:sdtEndPr>
      <w:sdtContent>
        <w:p w14:paraId="0FE1CB35" w14:textId="3AA85015" w:rsidR="0056011E" w:rsidRDefault="0056011E">
          <w:pPr>
            <w:pStyle w:val="Heading1"/>
          </w:pPr>
          <w:r>
            <w:t>Works Cited</w:t>
          </w:r>
        </w:p>
        <w:p w14:paraId="5E68278B" w14:textId="77777777" w:rsidR="0056011E" w:rsidRDefault="0056011E" w:rsidP="0056011E">
          <w:pPr>
            <w:pStyle w:val="Bibliography"/>
            <w:ind w:left="720" w:hanging="720"/>
            <w:rPr>
              <w:noProof/>
            </w:rPr>
          </w:pPr>
          <w:r>
            <w:fldChar w:fldCharType="begin"/>
          </w:r>
          <w:r>
            <w:instrText xml:space="preserve"> BIBLIOGRAPHY </w:instrText>
          </w:r>
          <w:r>
            <w:fldChar w:fldCharType="separate"/>
          </w:r>
          <w:r>
            <w:rPr>
              <w:i/>
              <w:iCs/>
              <w:noProof/>
            </w:rPr>
            <w:t>Compliance FAQs: Federal Information Processing Standards (FIPS) | NIST</w:t>
          </w:r>
          <w:r>
            <w:rPr>
              <w:noProof/>
            </w:rPr>
            <w:t>. (n.d.). Retrieved from NIST: National Institute of Standards and Technology: https://www.nist.gov/standardsgov/compliance-faqs-federal-information-processing-standards-fips</w:t>
          </w:r>
        </w:p>
        <w:p w14:paraId="5CC1DC2E" w14:textId="77777777" w:rsidR="0056011E" w:rsidRDefault="0056011E" w:rsidP="0056011E">
          <w:pPr>
            <w:pStyle w:val="Bibliography"/>
            <w:ind w:left="720" w:hanging="720"/>
            <w:rPr>
              <w:noProof/>
            </w:rPr>
          </w:pPr>
          <w:r>
            <w:rPr>
              <w:noProof/>
            </w:rPr>
            <w:t xml:space="preserve">Thomas, A. (n.d.). </w:t>
          </w:r>
          <w:r>
            <w:rPr>
              <w:i/>
              <w:iCs/>
              <w:noProof/>
            </w:rPr>
            <w:t>The Secret Ratio That Proves Why Customer Reviews Are So Important</w:t>
          </w:r>
          <w:r>
            <w:rPr>
              <w:noProof/>
            </w:rPr>
            <w:t>. Retrieved from Inc.: https://www.inc.com/andrew-thomas/the-hidden-ratio-that-could-make-or-break-your-company.html</w:t>
          </w:r>
        </w:p>
        <w:p w14:paraId="643D7BDB" w14:textId="3EF791FC" w:rsidR="0056011E" w:rsidRDefault="0056011E" w:rsidP="0056011E">
          <w:r>
            <w:rPr>
              <w:b/>
              <w:bCs/>
            </w:rPr>
            <w:fldChar w:fldCharType="end"/>
          </w:r>
        </w:p>
      </w:sdtContent>
    </w:sdt>
    <w:p w14:paraId="2329D4C3" w14:textId="7C30FC9C" w:rsidR="0057461B" w:rsidRPr="00D51CC6" w:rsidRDefault="0057461B">
      <w:pPr>
        <w:rPr>
          <w:rFonts w:ascii="Arial" w:hAnsi="Arial" w:cs="Arial"/>
        </w:rPr>
      </w:pPr>
    </w:p>
    <w:sectPr w:rsidR="0057461B" w:rsidRPr="00D51CC6" w:rsidSect="006A21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84418F"/>
    <w:multiLevelType w:val="hybridMultilevel"/>
    <w:tmpl w:val="8B688DFE"/>
    <w:lvl w:ilvl="0" w:tplc="AA865F68">
      <w:numFmt w:val="bullet"/>
      <w:lvlText w:val="-"/>
      <w:lvlJc w:val="left"/>
      <w:pPr>
        <w:ind w:left="720" w:hanging="360"/>
      </w:pPr>
      <w:rPr>
        <w:rFonts w:ascii="Arial" w:eastAsia="Times New Roman" w:hAnsi="Arial" w:cs="Arial" w:hint="default"/>
        <w:color w:val="212529"/>
        <w:sz w:val="2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091879"/>
    <w:multiLevelType w:val="hybridMultilevel"/>
    <w:tmpl w:val="41E42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CC6"/>
    <w:rsid w:val="003A0025"/>
    <w:rsid w:val="003F31B5"/>
    <w:rsid w:val="0056011E"/>
    <w:rsid w:val="0057461B"/>
    <w:rsid w:val="006A21A2"/>
    <w:rsid w:val="006D3798"/>
    <w:rsid w:val="00847A8A"/>
    <w:rsid w:val="009B0156"/>
    <w:rsid w:val="00B13123"/>
    <w:rsid w:val="00B37437"/>
    <w:rsid w:val="00D51CC6"/>
    <w:rsid w:val="00EB06DF"/>
    <w:rsid w:val="00F979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6EA3DD"/>
  <w15:chartTrackingRefBased/>
  <w15:docId w15:val="{62571FC8-2857-7E42-8620-B9B37B7B8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011E"/>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1CC6"/>
    <w:pPr>
      <w:ind w:left="720"/>
      <w:contextualSpacing/>
    </w:pPr>
  </w:style>
  <w:style w:type="character" w:customStyle="1" w:styleId="Heading1Char">
    <w:name w:val="Heading 1 Char"/>
    <w:basedOn w:val="DefaultParagraphFont"/>
    <w:link w:val="Heading1"/>
    <w:uiPriority w:val="9"/>
    <w:rsid w:val="0056011E"/>
    <w:rPr>
      <w:rFonts w:asciiTheme="majorHAnsi" w:eastAsiaTheme="majorEastAsia" w:hAnsiTheme="majorHAnsi" w:cstheme="majorBidi"/>
      <w:b/>
      <w:bCs/>
      <w:color w:val="2F5496" w:themeColor="accent1" w:themeShade="BF"/>
      <w:sz w:val="28"/>
      <w:szCs w:val="28"/>
      <w:lang w:bidi="en-US"/>
    </w:rPr>
  </w:style>
  <w:style w:type="paragraph" w:styleId="Bibliography">
    <w:name w:val="Bibliography"/>
    <w:basedOn w:val="Normal"/>
    <w:next w:val="Normal"/>
    <w:uiPriority w:val="37"/>
    <w:unhideWhenUsed/>
    <w:rsid w:val="005601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632025">
      <w:bodyDiv w:val="1"/>
      <w:marLeft w:val="0"/>
      <w:marRight w:val="0"/>
      <w:marTop w:val="0"/>
      <w:marBottom w:val="0"/>
      <w:divBdr>
        <w:top w:val="none" w:sz="0" w:space="0" w:color="auto"/>
        <w:left w:val="none" w:sz="0" w:space="0" w:color="auto"/>
        <w:bottom w:val="none" w:sz="0" w:space="0" w:color="auto"/>
        <w:right w:val="none" w:sz="0" w:space="0" w:color="auto"/>
      </w:divBdr>
    </w:div>
    <w:div w:id="350575641">
      <w:bodyDiv w:val="1"/>
      <w:marLeft w:val="0"/>
      <w:marRight w:val="0"/>
      <w:marTop w:val="0"/>
      <w:marBottom w:val="0"/>
      <w:divBdr>
        <w:top w:val="none" w:sz="0" w:space="0" w:color="auto"/>
        <w:left w:val="none" w:sz="0" w:space="0" w:color="auto"/>
        <w:bottom w:val="none" w:sz="0" w:space="0" w:color="auto"/>
        <w:right w:val="none" w:sz="0" w:space="0" w:color="auto"/>
      </w:divBdr>
    </w:div>
    <w:div w:id="633675967">
      <w:bodyDiv w:val="1"/>
      <w:marLeft w:val="0"/>
      <w:marRight w:val="0"/>
      <w:marTop w:val="0"/>
      <w:marBottom w:val="0"/>
      <w:divBdr>
        <w:top w:val="none" w:sz="0" w:space="0" w:color="auto"/>
        <w:left w:val="none" w:sz="0" w:space="0" w:color="auto"/>
        <w:bottom w:val="none" w:sz="0" w:space="0" w:color="auto"/>
        <w:right w:val="none" w:sz="0" w:space="0" w:color="auto"/>
      </w:divBdr>
    </w:div>
    <w:div w:id="898788928">
      <w:bodyDiv w:val="1"/>
      <w:marLeft w:val="0"/>
      <w:marRight w:val="0"/>
      <w:marTop w:val="0"/>
      <w:marBottom w:val="0"/>
      <w:divBdr>
        <w:top w:val="none" w:sz="0" w:space="0" w:color="auto"/>
        <w:left w:val="none" w:sz="0" w:space="0" w:color="auto"/>
        <w:bottom w:val="none" w:sz="0" w:space="0" w:color="auto"/>
        <w:right w:val="none" w:sz="0" w:space="0" w:color="auto"/>
      </w:divBdr>
    </w:div>
    <w:div w:id="940839212">
      <w:bodyDiv w:val="1"/>
      <w:marLeft w:val="0"/>
      <w:marRight w:val="0"/>
      <w:marTop w:val="0"/>
      <w:marBottom w:val="0"/>
      <w:divBdr>
        <w:top w:val="none" w:sz="0" w:space="0" w:color="auto"/>
        <w:left w:val="none" w:sz="0" w:space="0" w:color="auto"/>
        <w:bottom w:val="none" w:sz="0" w:space="0" w:color="auto"/>
        <w:right w:val="none" w:sz="0" w:space="0" w:color="auto"/>
      </w:divBdr>
    </w:div>
    <w:div w:id="972904767">
      <w:bodyDiv w:val="1"/>
      <w:marLeft w:val="0"/>
      <w:marRight w:val="0"/>
      <w:marTop w:val="0"/>
      <w:marBottom w:val="0"/>
      <w:divBdr>
        <w:top w:val="none" w:sz="0" w:space="0" w:color="auto"/>
        <w:left w:val="none" w:sz="0" w:space="0" w:color="auto"/>
        <w:bottom w:val="none" w:sz="0" w:space="0" w:color="auto"/>
        <w:right w:val="none" w:sz="0" w:space="0" w:color="auto"/>
      </w:divBdr>
    </w:div>
    <w:div w:id="1110900972">
      <w:bodyDiv w:val="1"/>
      <w:marLeft w:val="0"/>
      <w:marRight w:val="0"/>
      <w:marTop w:val="0"/>
      <w:marBottom w:val="0"/>
      <w:divBdr>
        <w:top w:val="none" w:sz="0" w:space="0" w:color="auto"/>
        <w:left w:val="none" w:sz="0" w:space="0" w:color="auto"/>
        <w:bottom w:val="none" w:sz="0" w:space="0" w:color="auto"/>
        <w:right w:val="none" w:sz="0" w:space="0" w:color="auto"/>
      </w:divBdr>
    </w:div>
    <w:div w:id="1138111428">
      <w:bodyDiv w:val="1"/>
      <w:marLeft w:val="0"/>
      <w:marRight w:val="0"/>
      <w:marTop w:val="0"/>
      <w:marBottom w:val="0"/>
      <w:divBdr>
        <w:top w:val="none" w:sz="0" w:space="0" w:color="auto"/>
        <w:left w:val="none" w:sz="0" w:space="0" w:color="auto"/>
        <w:bottom w:val="none" w:sz="0" w:space="0" w:color="auto"/>
        <w:right w:val="none" w:sz="0" w:space="0" w:color="auto"/>
      </w:divBdr>
    </w:div>
    <w:div w:id="1546988055">
      <w:bodyDiv w:val="1"/>
      <w:marLeft w:val="0"/>
      <w:marRight w:val="0"/>
      <w:marTop w:val="0"/>
      <w:marBottom w:val="0"/>
      <w:divBdr>
        <w:top w:val="none" w:sz="0" w:space="0" w:color="auto"/>
        <w:left w:val="none" w:sz="0" w:space="0" w:color="auto"/>
        <w:bottom w:val="none" w:sz="0" w:space="0" w:color="auto"/>
        <w:right w:val="none" w:sz="0" w:space="0" w:color="auto"/>
      </w:divBdr>
    </w:div>
    <w:div w:id="1779183346">
      <w:bodyDiv w:val="1"/>
      <w:marLeft w:val="0"/>
      <w:marRight w:val="0"/>
      <w:marTop w:val="0"/>
      <w:marBottom w:val="0"/>
      <w:divBdr>
        <w:top w:val="none" w:sz="0" w:space="0" w:color="auto"/>
        <w:left w:val="none" w:sz="0" w:space="0" w:color="auto"/>
        <w:bottom w:val="none" w:sz="0" w:space="0" w:color="auto"/>
        <w:right w:val="none" w:sz="0" w:space="0" w:color="auto"/>
      </w:divBdr>
    </w:div>
    <w:div w:id="1930768761">
      <w:bodyDiv w:val="1"/>
      <w:marLeft w:val="0"/>
      <w:marRight w:val="0"/>
      <w:marTop w:val="0"/>
      <w:marBottom w:val="0"/>
      <w:divBdr>
        <w:top w:val="none" w:sz="0" w:space="0" w:color="auto"/>
        <w:left w:val="none" w:sz="0" w:space="0" w:color="auto"/>
        <w:bottom w:val="none" w:sz="0" w:space="0" w:color="auto"/>
        <w:right w:val="none" w:sz="0" w:space="0" w:color="auto"/>
      </w:divBdr>
    </w:div>
    <w:div w:id="1998419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Com</b:Tag>
    <b:SourceType>InternetSite</b:SourceType>
    <b:Guid>{5DA0EB86-ADD9-B344-88A4-1122B532BCE5}</b:Guid>
    <b:Title>Compliance FAQs: Federal Information Processing Standards (FIPS) | NIST</b:Title>
    <b:InternetSiteTitle>NIST: National Institute of Standards and Technology</b:InternetSiteTitle>
    <b:URL>https://www.nist.gov/standardsgov/compliance-faqs-federal-information-processing-standards-fips</b:URL>
    <b:RefOrder>1</b:RefOrder>
  </b:Source>
  <b:Source>
    <b:Tag>And</b:Tag>
    <b:SourceType>InternetSite</b:SourceType>
    <b:Guid>{72964C2B-CEC1-054D-A441-43CB5D5F9392}</b:Guid>
    <b:Author>
      <b:Author>
        <b:NameList>
          <b:Person>
            <b:Last>Thomas</b:Last>
            <b:First>Andrew</b:First>
          </b:Person>
        </b:NameList>
      </b:Author>
    </b:Author>
    <b:Title>The Secret Ratio That Proves Why Customer Reviews Are So Important</b:Title>
    <b:InternetSiteTitle>Inc.</b:InternetSiteTitle>
    <b:URL>https://www.inc.com/andrew-thomas/the-hidden-ratio-that-could-make-or-break-your-company.html</b:URL>
    <b:RefOrder>2</b:RefOrder>
  </b:Source>
</b:Sources>
</file>

<file path=customXml/itemProps1.xml><?xml version="1.0" encoding="utf-8"?>
<ds:datastoreItem xmlns:ds="http://schemas.openxmlformats.org/officeDocument/2006/customXml" ds:itemID="{A99C6AAF-6DD6-8041-9390-14CF16C01C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2</Pages>
  <Words>506</Words>
  <Characters>2888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Ballay</dc:creator>
  <cp:keywords/>
  <dc:description/>
  <cp:lastModifiedBy>Chad Ballay</cp:lastModifiedBy>
  <cp:revision>3</cp:revision>
  <cp:lastPrinted>2020-02-15T06:46:00Z</cp:lastPrinted>
  <dcterms:created xsi:type="dcterms:W3CDTF">2020-02-15T04:43:00Z</dcterms:created>
  <dcterms:modified xsi:type="dcterms:W3CDTF">2020-02-15T06:47:00Z</dcterms:modified>
</cp:coreProperties>
</file>