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CF" w:rsidRDefault="00B5260E" w:rsidP="004253CF">
      <w:pPr>
        <w:autoSpaceDE w:val="0"/>
        <w:autoSpaceDN w:val="0"/>
        <w:adjustRightInd w:val="0"/>
        <w:spacing w:after="240" w:line="360" w:lineRule="auto"/>
        <w:rPr>
          <w:rFonts w:cs="Arial"/>
          <w:szCs w:val="20"/>
        </w:rPr>
      </w:pPr>
      <w:bookmarkStart w:id="0" w:name="_GoBack"/>
      <w:r w:rsidRPr="00A31301">
        <w:rPr>
          <w:rFonts w:cs="Arial"/>
          <w:szCs w:val="20"/>
        </w:rPr>
        <w:t xml:space="preserve">Acme </w:t>
      </w:r>
      <w:r>
        <w:rPr>
          <w:rFonts w:cs="Arial"/>
          <w:szCs w:val="20"/>
        </w:rPr>
        <w:t>D</w:t>
      </w:r>
      <w:r w:rsidRPr="00A31301">
        <w:rPr>
          <w:rFonts w:cs="Arial"/>
          <w:szCs w:val="20"/>
        </w:rPr>
        <w:t xml:space="preserve">istribution </w:t>
      </w:r>
      <w:r>
        <w:rPr>
          <w:rFonts w:cs="Arial"/>
          <w:szCs w:val="20"/>
        </w:rPr>
        <w:t>C</w:t>
      </w:r>
      <w:r w:rsidRPr="00A31301">
        <w:rPr>
          <w:rFonts w:cs="Arial"/>
          <w:szCs w:val="20"/>
        </w:rPr>
        <w:t>enter</w:t>
      </w:r>
      <w:r w:rsidR="004253CF">
        <w:rPr>
          <w:rFonts w:cs="Arial"/>
          <w:szCs w:val="20"/>
        </w:rPr>
        <w:t xml:space="preserve"> needs to </w:t>
      </w:r>
      <w:r w:rsidR="004253CF" w:rsidRPr="004253CF">
        <w:rPr>
          <w:rFonts w:cs="Arial"/>
          <w:szCs w:val="20"/>
        </w:rPr>
        <w:t xml:space="preserve">develop data classification guidelines </w:t>
      </w:r>
      <w:r w:rsidR="004253CF">
        <w:rPr>
          <w:rFonts w:cs="Arial"/>
          <w:szCs w:val="20"/>
        </w:rPr>
        <w:t>for</w:t>
      </w:r>
      <w:r w:rsidR="004253CF" w:rsidRPr="004253CF">
        <w:rPr>
          <w:rFonts w:cs="Arial"/>
          <w:szCs w:val="20"/>
        </w:rPr>
        <w:t xml:space="preserve"> classify</w:t>
      </w:r>
      <w:r w:rsidR="004253CF">
        <w:rPr>
          <w:rFonts w:cs="Arial"/>
          <w:szCs w:val="20"/>
        </w:rPr>
        <w:t>ing</w:t>
      </w:r>
      <w:r w:rsidR="004253CF" w:rsidRPr="004253CF">
        <w:rPr>
          <w:rFonts w:cs="Arial"/>
          <w:szCs w:val="20"/>
        </w:rPr>
        <w:t xml:space="preserve"> data access based on job responsibiliti</w:t>
      </w:r>
      <w:r w:rsidR="004253CF">
        <w:rPr>
          <w:rFonts w:cs="Arial"/>
          <w:szCs w:val="20"/>
        </w:rPr>
        <w:t>es—not organizational position.</w:t>
      </w:r>
    </w:p>
    <w:bookmarkEnd w:id="0"/>
    <w:p w:rsidR="004253CF" w:rsidRPr="004253CF" w:rsidRDefault="004253CF" w:rsidP="004253CF">
      <w:pPr>
        <w:autoSpaceDE w:val="0"/>
        <w:autoSpaceDN w:val="0"/>
        <w:adjustRightInd w:val="0"/>
        <w:spacing w:after="240" w:line="360" w:lineRule="auto"/>
        <w:rPr>
          <w:rFonts w:cs="Arial"/>
          <w:b/>
          <w:szCs w:val="20"/>
        </w:rPr>
      </w:pPr>
      <w:r w:rsidRPr="004253CF">
        <w:rPr>
          <w:rFonts w:cs="Arial"/>
          <w:b/>
          <w:szCs w:val="20"/>
        </w:rPr>
        <w:t>Instructions:</w:t>
      </w:r>
    </w:p>
    <w:p w:rsidR="004253CF" w:rsidRPr="004253CF" w:rsidRDefault="004253CF" w:rsidP="004253C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240" w:line="360" w:lineRule="auto"/>
        <w:rPr>
          <w:rFonts w:cs="Arial"/>
          <w:szCs w:val="20"/>
        </w:rPr>
      </w:pPr>
      <w:r w:rsidRPr="004253CF">
        <w:rPr>
          <w:rFonts w:cs="Arial"/>
          <w:szCs w:val="20"/>
        </w:rPr>
        <w:t xml:space="preserve">Review the data classification standard (Table 1) and the associated job roles </w:t>
      </w:r>
      <w:r w:rsidR="00765853">
        <w:rPr>
          <w:rFonts w:cs="Arial"/>
          <w:szCs w:val="20"/>
        </w:rPr>
        <w:t>list</w:t>
      </w:r>
      <w:r w:rsidRPr="004253CF">
        <w:rPr>
          <w:rFonts w:cs="Arial"/>
          <w:szCs w:val="20"/>
        </w:rPr>
        <w:t xml:space="preserve"> for Acme.</w:t>
      </w:r>
    </w:p>
    <w:p w:rsidR="000338E3" w:rsidRPr="004253CF" w:rsidRDefault="00395603" w:rsidP="004253C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240" w:line="360" w:lineRule="auto"/>
        <w:rPr>
          <w:rFonts w:cs="Arial"/>
          <w:szCs w:val="20"/>
        </w:rPr>
      </w:pPr>
      <w:r>
        <w:rPr>
          <w:rFonts w:cs="Arial"/>
          <w:szCs w:val="20"/>
        </w:rPr>
        <w:t>In the Data Classification Standard Matrix</w:t>
      </w:r>
      <w:r w:rsidRPr="004253CF">
        <w:rPr>
          <w:rFonts w:cs="Arial"/>
          <w:szCs w:val="20"/>
        </w:rPr>
        <w:t xml:space="preserve"> </w:t>
      </w:r>
      <w:r w:rsidR="002974E6">
        <w:rPr>
          <w:rFonts w:cs="Arial"/>
          <w:szCs w:val="20"/>
        </w:rPr>
        <w:t xml:space="preserve">beginning </w:t>
      </w:r>
      <w:r>
        <w:rPr>
          <w:rFonts w:cs="Arial"/>
          <w:szCs w:val="20"/>
        </w:rPr>
        <w:t>on page</w:t>
      </w:r>
      <w:r w:rsidR="002974E6">
        <w:rPr>
          <w:rFonts w:cs="Arial"/>
          <w:szCs w:val="20"/>
        </w:rPr>
        <w:t xml:space="preserve"> 3</w:t>
      </w:r>
      <w:r>
        <w:rPr>
          <w:rFonts w:cs="Arial"/>
          <w:szCs w:val="20"/>
        </w:rPr>
        <w:t>, a</w:t>
      </w:r>
      <w:r w:rsidR="004253CF" w:rsidRPr="004253CF">
        <w:rPr>
          <w:rFonts w:cs="Arial"/>
          <w:szCs w:val="20"/>
        </w:rPr>
        <w:t xml:space="preserve">lign the data classification standard with </w:t>
      </w:r>
      <w:r>
        <w:rPr>
          <w:rFonts w:cs="Arial"/>
          <w:szCs w:val="20"/>
        </w:rPr>
        <w:t xml:space="preserve">appropriate </w:t>
      </w:r>
      <w:r w:rsidR="004253CF" w:rsidRPr="004253CF">
        <w:rPr>
          <w:rFonts w:cs="Arial"/>
          <w:szCs w:val="20"/>
        </w:rPr>
        <w:t>access control based on job roles.</w:t>
      </w:r>
    </w:p>
    <w:p w:rsidR="004253CF" w:rsidRPr="004253CF" w:rsidRDefault="004253CF" w:rsidP="004253CF">
      <w:pPr>
        <w:rPr>
          <w:b/>
        </w:rPr>
      </w:pPr>
      <w:r w:rsidRPr="004253CF">
        <w:rPr>
          <w:b/>
        </w:rPr>
        <w:t xml:space="preserve">Table 1: </w:t>
      </w:r>
      <w:r>
        <w:rPr>
          <w:b/>
        </w:rPr>
        <w:t xml:space="preserve">Acme Incorporated </w:t>
      </w:r>
      <w:r w:rsidRPr="004253CF">
        <w:rPr>
          <w:b/>
        </w:rPr>
        <w:t xml:space="preserve">Data </w:t>
      </w:r>
      <w:r>
        <w:rPr>
          <w:b/>
        </w:rPr>
        <w:t>C</w:t>
      </w:r>
      <w:r w:rsidRPr="004253CF">
        <w:rPr>
          <w:b/>
        </w:rPr>
        <w:t xml:space="preserve">lassification </w:t>
      </w:r>
      <w:r>
        <w:rPr>
          <w:b/>
        </w:rPr>
        <w:t>S</w:t>
      </w:r>
      <w:r w:rsidRPr="004253CF">
        <w:rPr>
          <w:b/>
        </w:rPr>
        <w:t>tandard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3740"/>
        <w:gridCol w:w="3610"/>
      </w:tblGrid>
      <w:tr w:rsidR="004253CF" w:rsidRPr="004253CF" w:rsidTr="004253CF">
        <w:trPr>
          <w:trHeight w:val="350"/>
        </w:trPr>
        <w:tc>
          <w:tcPr>
            <w:tcW w:w="2748" w:type="dxa"/>
            <w:shd w:val="clear" w:color="auto" w:fill="FFFFFF" w:themeFill="background1"/>
            <w:vAlign w:val="center"/>
          </w:tcPr>
          <w:p w:rsidR="004253CF" w:rsidRPr="004253CF" w:rsidRDefault="004253CF" w:rsidP="004253CF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Pr="004253CF">
              <w:rPr>
                <w:b/>
              </w:rPr>
              <w:t>Classification</w:t>
            </w:r>
          </w:p>
        </w:tc>
        <w:tc>
          <w:tcPr>
            <w:tcW w:w="3740" w:type="dxa"/>
            <w:shd w:val="clear" w:color="auto" w:fill="FFFFFF" w:themeFill="background1"/>
            <w:vAlign w:val="center"/>
          </w:tcPr>
          <w:p w:rsidR="004253CF" w:rsidRPr="004253CF" w:rsidRDefault="004253CF" w:rsidP="004253CF">
            <w:pPr>
              <w:rPr>
                <w:b/>
              </w:rPr>
            </w:pPr>
            <w:r w:rsidRPr="004253CF">
              <w:rPr>
                <w:b/>
              </w:rPr>
              <w:t>Potential Impact</w:t>
            </w:r>
          </w:p>
        </w:tc>
        <w:tc>
          <w:tcPr>
            <w:tcW w:w="3610" w:type="dxa"/>
            <w:shd w:val="clear" w:color="auto" w:fill="FFFFFF" w:themeFill="background1"/>
            <w:vAlign w:val="center"/>
          </w:tcPr>
          <w:p w:rsidR="004253CF" w:rsidRPr="004253CF" w:rsidRDefault="004253CF" w:rsidP="004253CF">
            <w:pPr>
              <w:rPr>
                <w:b/>
              </w:rPr>
            </w:pPr>
            <w:r w:rsidRPr="004253CF">
              <w:rPr>
                <w:b/>
              </w:rPr>
              <w:t>Example Data Types</w:t>
            </w:r>
          </w:p>
        </w:tc>
      </w:tr>
      <w:tr w:rsidR="004253CF" w:rsidRPr="000C1500" w:rsidTr="004253CF">
        <w:trPr>
          <w:trHeight w:val="1430"/>
        </w:trPr>
        <w:tc>
          <w:tcPr>
            <w:tcW w:w="2748" w:type="dxa"/>
            <w:vAlign w:val="center"/>
          </w:tcPr>
          <w:p w:rsidR="004253CF" w:rsidRPr="000C1500" w:rsidRDefault="004253CF" w:rsidP="004253CF">
            <w:r w:rsidRPr="00F52926">
              <w:t>P</w:t>
            </w:r>
            <w:r w:rsidRPr="000C1500">
              <w:t>ublic</w:t>
            </w:r>
          </w:p>
        </w:tc>
        <w:tc>
          <w:tcPr>
            <w:tcW w:w="3740" w:type="dxa"/>
            <w:vAlign w:val="center"/>
          </w:tcPr>
          <w:p w:rsidR="004253CF" w:rsidRDefault="004253CF" w:rsidP="004253CF">
            <w:pPr>
              <w:pStyle w:val="ListParagraph"/>
              <w:numPr>
                <w:ilvl w:val="0"/>
                <w:numId w:val="35"/>
              </w:numPr>
              <w:ind w:left="402" w:hanging="228"/>
            </w:pPr>
            <w:r w:rsidRPr="000C1500">
              <w:t xml:space="preserve">None or limited </w:t>
            </w:r>
          </w:p>
          <w:p w:rsidR="004253CF" w:rsidRDefault="004253CF" w:rsidP="004253CF">
            <w:pPr>
              <w:pStyle w:val="ListParagraph"/>
              <w:numPr>
                <w:ilvl w:val="0"/>
                <w:numId w:val="35"/>
              </w:numPr>
              <w:ind w:left="402" w:hanging="228"/>
            </w:pPr>
            <w:r>
              <w:t>M</w:t>
            </w:r>
            <w:r w:rsidRPr="000C1500">
              <w:t xml:space="preserve">ention in local media </w:t>
            </w:r>
          </w:p>
          <w:p w:rsidR="004253CF" w:rsidRDefault="004253CF" w:rsidP="004253CF">
            <w:pPr>
              <w:pStyle w:val="ListParagraph"/>
              <w:numPr>
                <w:ilvl w:val="0"/>
                <w:numId w:val="35"/>
              </w:numPr>
              <w:ind w:left="402" w:hanging="228"/>
            </w:pPr>
            <w:r>
              <w:t>N</w:t>
            </w:r>
            <w:r w:rsidRPr="000C1500">
              <w:t>o impact on operations, financial performance</w:t>
            </w:r>
            <w:r>
              <w:t>,</w:t>
            </w:r>
            <w:r w:rsidRPr="000C1500">
              <w:t xml:space="preserve"> or public image</w:t>
            </w:r>
          </w:p>
        </w:tc>
        <w:tc>
          <w:tcPr>
            <w:tcW w:w="3610" w:type="dxa"/>
            <w:vAlign w:val="center"/>
          </w:tcPr>
          <w:p w:rsidR="004253CF" w:rsidRPr="000C1500" w:rsidRDefault="004253CF" w:rsidP="004253CF">
            <w:r>
              <w:t>Published documents, W</w:t>
            </w:r>
            <w:r w:rsidRPr="000C1500">
              <w:t>eb</w:t>
            </w:r>
            <w:r>
              <w:t xml:space="preserve"> </w:t>
            </w:r>
            <w:r w:rsidRPr="000C1500">
              <w:t>pages, newspaper advertisements, non-sensitive, information</w:t>
            </w:r>
          </w:p>
        </w:tc>
      </w:tr>
      <w:tr w:rsidR="004253CF" w:rsidRPr="000C1500" w:rsidTr="004253CF">
        <w:trPr>
          <w:trHeight w:val="1340"/>
        </w:trPr>
        <w:tc>
          <w:tcPr>
            <w:tcW w:w="2748" w:type="dxa"/>
            <w:vAlign w:val="center"/>
          </w:tcPr>
          <w:p w:rsidR="004253CF" w:rsidRPr="000C1500" w:rsidRDefault="004253CF" w:rsidP="004253CF">
            <w:r w:rsidRPr="00F52926">
              <w:t>I</w:t>
            </w:r>
            <w:r w:rsidRPr="000C1500">
              <w:t>nternal Use Only</w:t>
            </w:r>
          </w:p>
        </w:tc>
        <w:tc>
          <w:tcPr>
            <w:tcW w:w="3740" w:type="dxa"/>
            <w:vAlign w:val="center"/>
          </w:tcPr>
          <w:p w:rsidR="004253CF" w:rsidRDefault="004253CF" w:rsidP="004253CF">
            <w:pPr>
              <w:pStyle w:val="ListParagraph"/>
              <w:numPr>
                <w:ilvl w:val="0"/>
                <w:numId w:val="35"/>
              </w:numPr>
              <w:ind w:left="402" w:hanging="228"/>
            </w:pPr>
            <w:r>
              <w:t>Limited impact from negative publicity</w:t>
            </w:r>
          </w:p>
          <w:p w:rsidR="004253CF" w:rsidRDefault="004253CF" w:rsidP="004253CF">
            <w:pPr>
              <w:pStyle w:val="ListParagraph"/>
              <w:numPr>
                <w:ilvl w:val="0"/>
                <w:numId w:val="35"/>
              </w:numPr>
              <w:ind w:left="402" w:hanging="228"/>
            </w:pPr>
            <w:r>
              <w:t>S</w:t>
            </w:r>
            <w:r w:rsidRPr="000C1500">
              <w:t>light image or financial harm not prolonged or severe in nature</w:t>
            </w:r>
          </w:p>
        </w:tc>
        <w:tc>
          <w:tcPr>
            <w:tcW w:w="3610" w:type="dxa"/>
            <w:vAlign w:val="center"/>
          </w:tcPr>
          <w:p w:rsidR="004253CF" w:rsidRPr="000C1500" w:rsidRDefault="004253CF" w:rsidP="004253CF">
            <w:r w:rsidRPr="000C1500">
              <w:t>Internal memorandums of operations, continuing contracts, private customer information, short-term operating results</w:t>
            </w:r>
            <w:r>
              <w:t>,</w:t>
            </w:r>
            <w:r w:rsidRPr="000C1500">
              <w:t xml:space="preserve"> and strategy</w:t>
            </w:r>
          </w:p>
        </w:tc>
      </w:tr>
      <w:tr w:rsidR="004253CF" w:rsidRPr="000C1500" w:rsidTr="004253CF">
        <w:tc>
          <w:tcPr>
            <w:tcW w:w="2748" w:type="dxa"/>
            <w:vAlign w:val="center"/>
          </w:tcPr>
          <w:p w:rsidR="004253CF" w:rsidRPr="000C1500" w:rsidRDefault="004253CF" w:rsidP="004253CF">
            <w:r w:rsidRPr="0038467E">
              <w:t>C</w:t>
            </w:r>
            <w:r w:rsidRPr="000C1500">
              <w:t>onfidential</w:t>
            </w:r>
          </w:p>
        </w:tc>
        <w:tc>
          <w:tcPr>
            <w:tcW w:w="3740" w:type="dxa"/>
            <w:vAlign w:val="center"/>
          </w:tcPr>
          <w:p w:rsidR="004253CF" w:rsidRDefault="004253CF" w:rsidP="004253CF">
            <w:pPr>
              <w:pStyle w:val="ListParagraph"/>
              <w:numPr>
                <w:ilvl w:val="0"/>
                <w:numId w:val="35"/>
              </w:numPr>
              <w:ind w:left="402" w:hanging="228"/>
            </w:pPr>
            <w:r>
              <w:t>More severe than limited</w:t>
            </w:r>
          </w:p>
          <w:p w:rsidR="004253CF" w:rsidRDefault="004253CF" w:rsidP="004253CF">
            <w:pPr>
              <w:pStyle w:val="ListParagraph"/>
              <w:numPr>
                <w:ilvl w:val="0"/>
                <w:numId w:val="35"/>
              </w:numPr>
              <w:ind w:left="402" w:hanging="228"/>
            </w:pPr>
            <w:r>
              <w:t>I</w:t>
            </w:r>
            <w:r w:rsidRPr="000C1500">
              <w:t xml:space="preserve">mpact from negative publicity </w:t>
            </w:r>
            <w:r>
              <w:t xml:space="preserve">for </w:t>
            </w:r>
            <w:r w:rsidRPr="000C1500">
              <w:t xml:space="preserve">up to </w:t>
            </w:r>
            <w:r>
              <w:t>six</w:t>
            </w:r>
            <w:r w:rsidRPr="000C1500">
              <w:t xml:space="preserve"> months</w:t>
            </w:r>
          </w:p>
          <w:p w:rsidR="004253CF" w:rsidRDefault="004253CF" w:rsidP="004253CF">
            <w:pPr>
              <w:pStyle w:val="ListParagraph"/>
              <w:numPr>
                <w:ilvl w:val="0"/>
                <w:numId w:val="35"/>
              </w:numPr>
              <w:ind w:left="402" w:hanging="228"/>
            </w:pPr>
            <w:r>
              <w:t>M</w:t>
            </w:r>
            <w:r w:rsidRPr="000C1500">
              <w:t xml:space="preserve">oderate image or financial harm </w:t>
            </w:r>
            <w:r>
              <w:t>of less than</w:t>
            </w:r>
            <w:r w:rsidRPr="000C1500">
              <w:t xml:space="preserve"> $5 million over </w:t>
            </w:r>
            <w:r>
              <w:t>six to</w:t>
            </w:r>
            <w:r w:rsidRPr="000C1500">
              <w:t xml:space="preserve"> 12 months</w:t>
            </w:r>
          </w:p>
        </w:tc>
        <w:tc>
          <w:tcPr>
            <w:tcW w:w="3610" w:type="dxa"/>
            <w:vAlign w:val="center"/>
          </w:tcPr>
          <w:p w:rsidR="004253CF" w:rsidRPr="000C1500" w:rsidRDefault="004253CF" w:rsidP="004253CF">
            <w:r w:rsidRPr="000C1500">
              <w:t>Critical and sensitive operating reports, personnel records, pay records, medical records, severe workforce management information,</w:t>
            </w:r>
            <w:r>
              <w:t xml:space="preserve"> and p</w:t>
            </w:r>
            <w:r w:rsidRPr="000C1500">
              <w:t>eriodic financial information reported to the public</w:t>
            </w:r>
          </w:p>
        </w:tc>
      </w:tr>
      <w:tr w:rsidR="004253CF" w:rsidRPr="000C1500" w:rsidTr="004253CF">
        <w:tc>
          <w:tcPr>
            <w:tcW w:w="2748" w:type="dxa"/>
            <w:vAlign w:val="center"/>
          </w:tcPr>
          <w:p w:rsidR="004253CF" w:rsidRPr="000C1500" w:rsidRDefault="004253CF" w:rsidP="004253CF">
            <w:r w:rsidRPr="0038467E">
              <w:t>R</w:t>
            </w:r>
            <w:r w:rsidRPr="000C1500">
              <w:t>estricted</w:t>
            </w:r>
          </w:p>
        </w:tc>
        <w:tc>
          <w:tcPr>
            <w:tcW w:w="3740" w:type="dxa"/>
            <w:vAlign w:val="center"/>
          </w:tcPr>
          <w:p w:rsidR="004253CF" w:rsidRDefault="004253CF" w:rsidP="004253CF">
            <w:pPr>
              <w:pStyle w:val="ListParagraph"/>
              <w:numPr>
                <w:ilvl w:val="0"/>
                <w:numId w:val="35"/>
              </w:numPr>
              <w:ind w:left="402" w:hanging="228"/>
            </w:pPr>
            <w:r>
              <w:t>Severe impairment to public image and financial operations</w:t>
            </w:r>
          </w:p>
          <w:p w:rsidR="004253CF" w:rsidRDefault="004253CF" w:rsidP="004253CF">
            <w:pPr>
              <w:pStyle w:val="ListParagraph"/>
              <w:numPr>
                <w:ilvl w:val="0"/>
                <w:numId w:val="35"/>
              </w:numPr>
              <w:ind w:left="402" w:hanging="228"/>
            </w:pPr>
            <w:r w:rsidRPr="000C1500">
              <w:t>Impairs customer and public trust</w:t>
            </w:r>
          </w:p>
          <w:p w:rsidR="004253CF" w:rsidRDefault="004253CF" w:rsidP="004253CF">
            <w:pPr>
              <w:pStyle w:val="ListParagraph"/>
              <w:numPr>
                <w:ilvl w:val="0"/>
                <w:numId w:val="35"/>
              </w:numPr>
              <w:ind w:left="402" w:hanging="228"/>
            </w:pPr>
            <w:r>
              <w:t xml:space="preserve">More than </w:t>
            </w:r>
            <w:r w:rsidRPr="000C1500">
              <w:t xml:space="preserve">$10 million loss in </w:t>
            </w:r>
            <w:r>
              <w:t>three</w:t>
            </w:r>
            <w:r w:rsidRPr="000C1500">
              <w:t xml:space="preserve"> months </w:t>
            </w:r>
          </w:p>
          <w:p w:rsidR="004253CF" w:rsidRDefault="004253CF" w:rsidP="004253CF">
            <w:pPr>
              <w:pStyle w:val="ListParagraph"/>
              <w:numPr>
                <w:ilvl w:val="0"/>
                <w:numId w:val="35"/>
              </w:numPr>
              <w:ind w:left="402" w:hanging="228"/>
            </w:pPr>
            <w:r w:rsidRPr="000C1500">
              <w:t xml:space="preserve">Sustained negative publicity expected for </w:t>
            </w:r>
            <w:r>
              <w:t>one</w:t>
            </w:r>
            <w:r w:rsidRPr="000C1500">
              <w:t xml:space="preserve"> or more years</w:t>
            </w:r>
          </w:p>
          <w:p w:rsidR="004253CF" w:rsidRDefault="004253CF" w:rsidP="004253CF">
            <w:pPr>
              <w:pStyle w:val="ListParagraph"/>
              <w:numPr>
                <w:ilvl w:val="0"/>
                <w:numId w:val="35"/>
              </w:numPr>
              <w:ind w:left="402" w:hanging="228"/>
            </w:pPr>
            <w:r w:rsidRPr="000C1500">
              <w:t xml:space="preserve">Impairs ability to execute operation and </w:t>
            </w:r>
            <w:r>
              <w:t xml:space="preserve">strategic initiatives </w:t>
            </w:r>
          </w:p>
        </w:tc>
        <w:tc>
          <w:tcPr>
            <w:tcW w:w="3610" w:type="dxa"/>
            <w:vAlign w:val="center"/>
          </w:tcPr>
          <w:p w:rsidR="004253CF" w:rsidRPr="000C1500" w:rsidRDefault="004253CF" w:rsidP="004253CF">
            <w:r w:rsidRPr="000C1500">
              <w:t xml:space="preserve">Strategic plans, communications with the board of directors or with </w:t>
            </w:r>
            <w:r>
              <w:t>j</w:t>
            </w:r>
            <w:r w:rsidRPr="000C1500">
              <w:t xml:space="preserve">oint </w:t>
            </w:r>
            <w:r>
              <w:t>v</w:t>
            </w:r>
            <w:r w:rsidRPr="000C1500">
              <w:t xml:space="preserve">enture boards of directors, </w:t>
            </w:r>
            <w:r>
              <w:t>i</w:t>
            </w:r>
            <w:r w:rsidRPr="000C1500">
              <w:t>nternal investigations, strategic expansion plans</w:t>
            </w:r>
            <w:r>
              <w:t>,</w:t>
            </w:r>
            <w:r w:rsidRPr="000C1500">
              <w:t xml:space="preserve"> and associated workforce management </w:t>
            </w:r>
          </w:p>
        </w:tc>
      </w:tr>
    </w:tbl>
    <w:p w:rsidR="004253CF" w:rsidRDefault="004253CF" w:rsidP="004253CF">
      <w:pPr>
        <w:rPr>
          <w:rFonts w:cs="Arial"/>
          <w:szCs w:val="20"/>
        </w:rPr>
      </w:pPr>
    </w:p>
    <w:p w:rsidR="004253CF" w:rsidRDefault="004253CF">
      <w:p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140591" w:rsidRDefault="004253CF" w:rsidP="004253CF">
      <w:pPr>
        <w:rPr>
          <w:b/>
        </w:rPr>
      </w:pPr>
      <w:r>
        <w:rPr>
          <w:b/>
        </w:rPr>
        <w:lastRenderedPageBreak/>
        <w:t xml:space="preserve">Acme Incorporated </w:t>
      </w:r>
      <w:r w:rsidRPr="004253CF">
        <w:rPr>
          <w:b/>
        </w:rPr>
        <w:t xml:space="preserve">Job </w:t>
      </w:r>
      <w:r>
        <w:rPr>
          <w:b/>
        </w:rPr>
        <w:t>R</w:t>
      </w:r>
      <w:r w:rsidRPr="004253CF">
        <w:rPr>
          <w:b/>
        </w:rPr>
        <w:t>oles</w:t>
      </w:r>
    </w:p>
    <w:p w:rsidR="00765853" w:rsidRPr="00D4616B" w:rsidRDefault="00765853" w:rsidP="00D4616B">
      <w:pPr>
        <w:pStyle w:val="ListParagraph"/>
        <w:numPr>
          <w:ilvl w:val="0"/>
          <w:numId w:val="38"/>
        </w:numPr>
      </w:pPr>
      <w:r w:rsidRPr="00D4616B">
        <w:t>Chief Executive Officer (CEO)</w:t>
      </w:r>
      <w:r w:rsidR="00140591">
        <w:t>*</w:t>
      </w:r>
    </w:p>
    <w:p w:rsidR="00765853" w:rsidRPr="00D4616B" w:rsidRDefault="006E01E9" w:rsidP="00D4616B">
      <w:pPr>
        <w:pStyle w:val="ListParagraph"/>
        <w:numPr>
          <w:ilvl w:val="0"/>
          <w:numId w:val="38"/>
        </w:numPr>
      </w:pPr>
      <w:r>
        <w:t xml:space="preserve">Senior </w:t>
      </w:r>
      <w:r w:rsidR="00765853" w:rsidRPr="00D4616B">
        <w:t>VP of International Acquisitions</w:t>
      </w:r>
      <w:r w:rsidR="00140591">
        <w:t>*</w:t>
      </w:r>
    </w:p>
    <w:p w:rsidR="006E01E9" w:rsidRDefault="006E01E9" w:rsidP="00D4616B">
      <w:pPr>
        <w:pStyle w:val="ListParagraph"/>
        <w:numPr>
          <w:ilvl w:val="0"/>
          <w:numId w:val="38"/>
        </w:numPr>
      </w:pPr>
      <w:r>
        <w:t>Executive VP of Marketing</w:t>
      </w:r>
      <w:r w:rsidR="00140591">
        <w:t>*</w:t>
      </w:r>
    </w:p>
    <w:p w:rsidR="00765853" w:rsidRPr="00D4616B" w:rsidRDefault="00765853" w:rsidP="006E01E9">
      <w:pPr>
        <w:pStyle w:val="ListParagraph"/>
        <w:numPr>
          <w:ilvl w:val="0"/>
          <w:numId w:val="38"/>
        </w:numPr>
      </w:pPr>
      <w:r w:rsidRPr="00D4616B">
        <w:t xml:space="preserve">VP of Human Resources </w:t>
      </w:r>
    </w:p>
    <w:p w:rsidR="00A716F5" w:rsidRPr="00D4616B" w:rsidRDefault="00A716F5" w:rsidP="00D4616B">
      <w:pPr>
        <w:pStyle w:val="ListParagraph"/>
        <w:numPr>
          <w:ilvl w:val="0"/>
          <w:numId w:val="38"/>
        </w:numPr>
      </w:pPr>
      <w:r w:rsidRPr="00D4616B">
        <w:t>Plant Manager</w:t>
      </w:r>
    </w:p>
    <w:p w:rsidR="00C14DDE" w:rsidRDefault="00C14DDE" w:rsidP="00D4616B">
      <w:pPr>
        <w:pStyle w:val="ListParagraph"/>
        <w:numPr>
          <w:ilvl w:val="0"/>
          <w:numId w:val="38"/>
        </w:numPr>
      </w:pPr>
      <w:r>
        <w:t>Southwest Region General Manager</w:t>
      </w:r>
    </w:p>
    <w:p w:rsidR="00765853" w:rsidRPr="00D4616B" w:rsidRDefault="00765853" w:rsidP="00C14DDE">
      <w:pPr>
        <w:pStyle w:val="ListParagraph"/>
        <w:numPr>
          <w:ilvl w:val="0"/>
          <w:numId w:val="38"/>
        </w:numPr>
      </w:pPr>
      <w:r w:rsidRPr="00D4616B">
        <w:t xml:space="preserve">Southwest </w:t>
      </w:r>
      <w:r>
        <w:t xml:space="preserve">Region </w:t>
      </w:r>
      <w:r w:rsidRPr="00D4616B">
        <w:t>Store Manager</w:t>
      </w:r>
    </w:p>
    <w:p w:rsidR="00765853" w:rsidRPr="00D4616B" w:rsidRDefault="00765853" w:rsidP="00D4616B">
      <w:pPr>
        <w:pStyle w:val="ListParagraph"/>
        <w:numPr>
          <w:ilvl w:val="0"/>
          <w:numId w:val="38"/>
        </w:numPr>
      </w:pPr>
      <w:r>
        <w:t xml:space="preserve">Northwest </w:t>
      </w:r>
      <w:r w:rsidRPr="00D4616B">
        <w:t>Region Store Sales Clerk</w:t>
      </w:r>
    </w:p>
    <w:p w:rsidR="006E01E9" w:rsidRDefault="006E01E9" w:rsidP="00D4616B">
      <w:pPr>
        <w:pStyle w:val="ListParagraph"/>
        <w:numPr>
          <w:ilvl w:val="0"/>
          <w:numId w:val="38"/>
        </w:numPr>
      </w:pPr>
      <w:r>
        <w:t>Information Security Specialist</w:t>
      </w:r>
    </w:p>
    <w:p w:rsidR="006E01E9" w:rsidRPr="00D4616B" w:rsidRDefault="006E01E9" w:rsidP="006E01E9">
      <w:pPr>
        <w:pStyle w:val="ListParagraph"/>
        <w:numPr>
          <w:ilvl w:val="0"/>
          <w:numId w:val="38"/>
        </w:numPr>
      </w:pPr>
      <w:r>
        <w:t>Customer</w:t>
      </w:r>
    </w:p>
    <w:p w:rsidR="004253CF" w:rsidRDefault="00140591" w:rsidP="00765853">
      <w:pPr>
        <w:rPr>
          <w:rFonts w:cs="Arial"/>
          <w:szCs w:val="20"/>
        </w:rPr>
      </w:pPr>
      <w:r>
        <w:rPr>
          <w:rFonts w:cs="Arial"/>
          <w:szCs w:val="20"/>
        </w:rPr>
        <w:t>* Board members</w:t>
      </w:r>
    </w:p>
    <w:p w:rsidR="004253CF" w:rsidRDefault="004253CF">
      <w:p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4253CF" w:rsidRPr="004253CF" w:rsidRDefault="004253CF" w:rsidP="004253CF">
      <w:pPr>
        <w:rPr>
          <w:b/>
        </w:rPr>
      </w:pPr>
      <w:r>
        <w:rPr>
          <w:b/>
        </w:rPr>
        <w:lastRenderedPageBreak/>
        <w:t xml:space="preserve">Acme Incorporated </w:t>
      </w:r>
      <w:r w:rsidRPr="004253CF">
        <w:rPr>
          <w:b/>
        </w:rPr>
        <w:t xml:space="preserve">Data Classification Standard Matrix 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900"/>
        <w:gridCol w:w="1080"/>
        <w:gridCol w:w="1260"/>
        <w:gridCol w:w="1260"/>
        <w:gridCol w:w="3150"/>
      </w:tblGrid>
      <w:tr w:rsidR="004253CF" w:rsidRPr="00140591" w:rsidTr="00D4616B">
        <w:trPr>
          <w:trHeight w:val="620"/>
          <w:tblHeader/>
        </w:trPr>
        <w:tc>
          <w:tcPr>
            <w:tcW w:w="2448" w:type="dxa"/>
            <w:shd w:val="clear" w:color="auto" w:fill="FFFFFF" w:themeFill="background1"/>
            <w:vAlign w:val="center"/>
          </w:tcPr>
          <w:p w:rsidR="004253CF" w:rsidRPr="00140591" w:rsidRDefault="004253CF" w:rsidP="004253CF">
            <w:pPr>
              <w:spacing w:after="0"/>
              <w:contextualSpacing/>
              <w:jc w:val="center"/>
              <w:rPr>
                <w:b/>
                <w:sz w:val="18"/>
                <w:szCs w:val="18"/>
              </w:rPr>
            </w:pPr>
            <w:r w:rsidRPr="00140591">
              <w:rPr>
                <w:b/>
                <w:sz w:val="18"/>
                <w:szCs w:val="18"/>
              </w:rPr>
              <w:t>Document to Classify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4253CF" w:rsidRPr="00140591" w:rsidRDefault="004253CF" w:rsidP="004253CF">
            <w:pPr>
              <w:spacing w:after="0"/>
              <w:contextualSpacing/>
              <w:jc w:val="center"/>
              <w:rPr>
                <w:b/>
                <w:sz w:val="18"/>
                <w:szCs w:val="18"/>
              </w:rPr>
            </w:pPr>
            <w:r w:rsidRPr="00140591">
              <w:rPr>
                <w:b/>
                <w:sz w:val="18"/>
                <w:szCs w:val="18"/>
              </w:rPr>
              <w:t>Public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4253CF" w:rsidRPr="00140591" w:rsidRDefault="004253CF" w:rsidP="004253CF">
            <w:pPr>
              <w:spacing w:after="0"/>
              <w:contextualSpacing/>
              <w:jc w:val="center"/>
              <w:rPr>
                <w:b/>
                <w:sz w:val="18"/>
                <w:szCs w:val="18"/>
              </w:rPr>
            </w:pPr>
            <w:r w:rsidRPr="00140591">
              <w:rPr>
                <w:b/>
                <w:sz w:val="18"/>
                <w:szCs w:val="18"/>
              </w:rPr>
              <w:t>Internal Use Only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4253CF" w:rsidRPr="00140591" w:rsidRDefault="004253CF" w:rsidP="004253CF">
            <w:pPr>
              <w:spacing w:after="0"/>
              <w:contextualSpacing/>
              <w:jc w:val="center"/>
              <w:rPr>
                <w:b/>
                <w:sz w:val="18"/>
                <w:szCs w:val="18"/>
              </w:rPr>
            </w:pPr>
            <w:r w:rsidRPr="00140591">
              <w:rPr>
                <w:b/>
                <w:sz w:val="18"/>
                <w:szCs w:val="18"/>
              </w:rPr>
              <w:t>Confidential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4253CF" w:rsidRPr="00140591" w:rsidRDefault="004253CF" w:rsidP="004253CF">
            <w:pPr>
              <w:spacing w:after="0"/>
              <w:contextualSpacing/>
              <w:jc w:val="center"/>
              <w:rPr>
                <w:b/>
                <w:sz w:val="18"/>
                <w:szCs w:val="18"/>
              </w:rPr>
            </w:pPr>
            <w:r w:rsidRPr="00140591">
              <w:rPr>
                <w:b/>
                <w:sz w:val="18"/>
                <w:szCs w:val="18"/>
              </w:rPr>
              <w:t>Restricted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:rsidR="004253CF" w:rsidRPr="00140591" w:rsidRDefault="004253CF" w:rsidP="004253CF">
            <w:pPr>
              <w:spacing w:after="0"/>
              <w:contextualSpacing/>
              <w:jc w:val="center"/>
              <w:rPr>
                <w:b/>
                <w:sz w:val="18"/>
                <w:szCs w:val="18"/>
              </w:rPr>
            </w:pPr>
            <w:r w:rsidRPr="00140591">
              <w:rPr>
                <w:b/>
                <w:sz w:val="18"/>
                <w:szCs w:val="18"/>
              </w:rPr>
              <w:t>Who Should Have Access</w:t>
            </w:r>
          </w:p>
        </w:tc>
      </w:tr>
      <w:tr w:rsidR="004253CF" w:rsidRPr="00140591" w:rsidTr="00D4616B">
        <w:trPr>
          <w:trHeight w:val="1628"/>
        </w:trPr>
        <w:tc>
          <w:tcPr>
            <w:tcW w:w="2448" w:type="dxa"/>
            <w:vAlign w:val="center"/>
          </w:tcPr>
          <w:p w:rsidR="004253CF" w:rsidRPr="00140591" w:rsidRDefault="004253CF" w:rsidP="004253CF">
            <w:pPr>
              <w:spacing w:after="0"/>
              <w:contextualSpacing/>
              <w:rPr>
                <w:sz w:val="18"/>
                <w:szCs w:val="18"/>
              </w:rPr>
            </w:pPr>
            <w:r w:rsidRPr="00140591">
              <w:rPr>
                <w:sz w:val="18"/>
                <w:szCs w:val="18"/>
              </w:rPr>
              <w:t>Monthly terminations and new hire</w:t>
            </w:r>
            <w:r w:rsidR="00140591" w:rsidRPr="00140591">
              <w:rPr>
                <w:sz w:val="18"/>
                <w:szCs w:val="18"/>
              </w:rPr>
              <w:t>s</w:t>
            </w:r>
            <w:r w:rsidRPr="00140591">
              <w:rPr>
                <w:sz w:val="18"/>
                <w:szCs w:val="18"/>
              </w:rPr>
              <w:t xml:space="preserve"> report</w:t>
            </w:r>
            <w:r w:rsidR="00356257">
              <w:rPr>
                <w:sz w:val="18"/>
                <w:szCs w:val="18"/>
              </w:rPr>
              <w:t xml:space="preserve"> (company-wide)</w:t>
            </w:r>
          </w:p>
        </w:tc>
        <w:tc>
          <w:tcPr>
            <w:tcW w:w="90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50" w:type="dxa"/>
          </w:tcPr>
          <w:p w:rsidR="00356257" w:rsidRPr="00B04979" w:rsidRDefault="00356257" w:rsidP="00B04979">
            <w:pPr>
              <w:spacing w:after="0"/>
              <w:ind w:left="72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4253CF" w:rsidRPr="00140591" w:rsidTr="00D4616B">
        <w:trPr>
          <w:trHeight w:val="971"/>
        </w:trPr>
        <w:tc>
          <w:tcPr>
            <w:tcW w:w="2448" w:type="dxa"/>
            <w:vAlign w:val="center"/>
          </w:tcPr>
          <w:p w:rsidR="004253CF" w:rsidRPr="00140591" w:rsidRDefault="004253CF" w:rsidP="004253CF">
            <w:pPr>
              <w:spacing w:after="0"/>
              <w:contextualSpacing/>
              <w:rPr>
                <w:sz w:val="18"/>
                <w:szCs w:val="18"/>
              </w:rPr>
            </w:pPr>
            <w:r w:rsidRPr="00140591">
              <w:rPr>
                <w:sz w:val="18"/>
                <w:szCs w:val="18"/>
              </w:rPr>
              <w:t>Contract for long-term lease in Singapore</w:t>
            </w:r>
          </w:p>
        </w:tc>
        <w:tc>
          <w:tcPr>
            <w:tcW w:w="90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50" w:type="dxa"/>
          </w:tcPr>
          <w:p w:rsidR="004253CF" w:rsidRPr="00B04979" w:rsidRDefault="004253CF" w:rsidP="00B04979">
            <w:pPr>
              <w:pStyle w:val="ListParagraph"/>
              <w:spacing w:after="0"/>
              <w:ind w:left="72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4253CF" w:rsidRPr="00140591" w:rsidTr="00D4616B">
        <w:trPr>
          <w:trHeight w:val="809"/>
        </w:trPr>
        <w:tc>
          <w:tcPr>
            <w:tcW w:w="2448" w:type="dxa"/>
            <w:vAlign w:val="center"/>
          </w:tcPr>
          <w:p w:rsidR="004253CF" w:rsidRPr="00140591" w:rsidRDefault="004253CF" w:rsidP="004253CF">
            <w:pPr>
              <w:spacing w:after="0"/>
              <w:contextualSpacing/>
              <w:rPr>
                <w:sz w:val="18"/>
                <w:szCs w:val="18"/>
              </w:rPr>
            </w:pPr>
            <w:r w:rsidRPr="00140591">
              <w:rPr>
                <w:sz w:val="18"/>
                <w:szCs w:val="18"/>
              </w:rPr>
              <w:t>China sales forecast with projected revenue based on three-year expansion plan</w:t>
            </w:r>
          </w:p>
        </w:tc>
        <w:tc>
          <w:tcPr>
            <w:tcW w:w="90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50" w:type="dxa"/>
          </w:tcPr>
          <w:p w:rsidR="004253CF" w:rsidRPr="00B04979" w:rsidRDefault="004253CF" w:rsidP="00B04979">
            <w:pPr>
              <w:pStyle w:val="ListParagraph"/>
              <w:spacing w:after="0"/>
              <w:ind w:left="72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4253CF" w:rsidRPr="00140591" w:rsidTr="00D4616B">
        <w:trPr>
          <w:trHeight w:val="647"/>
        </w:trPr>
        <w:tc>
          <w:tcPr>
            <w:tcW w:w="2448" w:type="dxa"/>
            <w:vAlign w:val="center"/>
          </w:tcPr>
          <w:p w:rsidR="004253CF" w:rsidRPr="00140591" w:rsidRDefault="00140591" w:rsidP="004253CF">
            <w:pPr>
              <w:spacing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Northwest Region</w:t>
            </w:r>
            <w:r w:rsidR="004253CF" w:rsidRPr="00140591">
              <w:rPr>
                <w:sz w:val="18"/>
                <w:szCs w:val="18"/>
              </w:rPr>
              <w:t xml:space="preserve"> sales results by product category</w:t>
            </w:r>
          </w:p>
        </w:tc>
        <w:tc>
          <w:tcPr>
            <w:tcW w:w="90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50" w:type="dxa"/>
          </w:tcPr>
          <w:p w:rsidR="004253CF" w:rsidRPr="00B04979" w:rsidRDefault="004253CF" w:rsidP="00B04979">
            <w:pPr>
              <w:pStyle w:val="ListParagraph"/>
              <w:spacing w:after="0"/>
              <w:ind w:left="72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4253CF" w:rsidRPr="00140591" w:rsidTr="00D4616B">
        <w:trPr>
          <w:trHeight w:val="3428"/>
        </w:trPr>
        <w:tc>
          <w:tcPr>
            <w:tcW w:w="2448" w:type="dxa"/>
            <w:vAlign w:val="center"/>
          </w:tcPr>
          <w:p w:rsidR="004253CF" w:rsidRPr="00140591" w:rsidRDefault="004253CF" w:rsidP="004253CF">
            <w:pPr>
              <w:spacing w:after="0"/>
              <w:contextualSpacing/>
              <w:rPr>
                <w:sz w:val="18"/>
                <w:szCs w:val="18"/>
              </w:rPr>
            </w:pPr>
            <w:r w:rsidRPr="00140591">
              <w:rPr>
                <w:sz w:val="18"/>
                <w:szCs w:val="18"/>
              </w:rPr>
              <w:t>Community involvement information published on corporate Intranet released by public affairs</w:t>
            </w:r>
          </w:p>
        </w:tc>
        <w:tc>
          <w:tcPr>
            <w:tcW w:w="90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50" w:type="dxa"/>
          </w:tcPr>
          <w:p w:rsidR="004253CF" w:rsidRPr="00B04979" w:rsidRDefault="004253CF" w:rsidP="00B04979">
            <w:pPr>
              <w:pStyle w:val="ListParagraph"/>
              <w:spacing w:after="0"/>
              <w:ind w:left="72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4253CF" w:rsidRPr="00140591" w:rsidTr="00D4616B">
        <w:trPr>
          <w:trHeight w:val="2402"/>
        </w:trPr>
        <w:tc>
          <w:tcPr>
            <w:tcW w:w="2448" w:type="dxa"/>
            <w:vAlign w:val="center"/>
          </w:tcPr>
          <w:p w:rsidR="004253CF" w:rsidRPr="00140591" w:rsidRDefault="00140591" w:rsidP="004253CF">
            <w:pPr>
              <w:spacing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Northwest Region</w:t>
            </w:r>
            <w:r w:rsidR="004253CF" w:rsidRPr="00140591">
              <w:rPr>
                <w:sz w:val="18"/>
                <w:szCs w:val="18"/>
              </w:rPr>
              <w:t xml:space="preserve"> manpower workforce reduction</w:t>
            </w:r>
            <w:r>
              <w:rPr>
                <w:sz w:val="18"/>
                <w:szCs w:val="18"/>
              </w:rPr>
              <w:t xml:space="preserve"> report</w:t>
            </w:r>
          </w:p>
        </w:tc>
        <w:tc>
          <w:tcPr>
            <w:tcW w:w="90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50" w:type="dxa"/>
          </w:tcPr>
          <w:p w:rsidR="00356257" w:rsidRPr="00B04979" w:rsidRDefault="00356257" w:rsidP="00B04979">
            <w:pPr>
              <w:pStyle w:val="ListParagraph"/>
              <w:spacing w:after="0"/>
              <w:ind w:left="72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4253CF" w:rsidRPr="00140591" w:rsidTr="00D4616B">
        <w:trPr>
          <w:trHeight w:val="1097"/>
        </w:trPr>
        <w:tc>
          <w:tcPr>
            <w:tcW w:w="2448" w:type="dxa"/>
            <w:vAlign w:val="center"/>
          </w:tcPr>
          <w:p w:rsidR="004253CF" w:rsidRPr="00140591" w:rsidRDefault="00AE2687" w:rsidP="004253CF">
            <w:pPr>
              <w:spacing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Southwest Region</w:t>
            </w:r>
            <w:r w:rsidR="004253CF" w:rsidRPr="00140591">
              <w:rPr>
                <w:sz w:val="18"/>
                <w:szCs w:val="18"/>
              </w:rPr>
              <w:t xml:space="preserve"> weekly store operating results</w:t>
            </w:r>
          </w:p>
        </w:tc>
        <w:tc>
          <w:tcPr>
            <w:tcW w:w="90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50" w:type="dxa"/>
          </w:tcPr>
          <w:p w:rsidR="004253CF" w:rsidRPr="00B04979" w:rsidRDefault="004253CF" w:rsidP="00B04979">
            <w:pPr>
              <w:pStyle w:val="ListParagraph"/>
              <w:spacing w:after="0"/>
              <w:ind w:left="72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4253CF" w:rsidRPr="00140591" w:rsidTr="00D4616B">
        <w:trPr>
          <w:trHeight w:val="1394"/>
        </w:trPr>
        <w:tc>
          <w:tcPr>
            <w:tcW w:w="2448" w:type="dxa"/>
            <w:vAlign w:val="center"/>
          </w:tcPr>
          <w:p w:rsidR="004253CF" w:rsidRPr="00140591" w:rsidRDefault="004253CF" w:rsidP="004253CF">
            <w:pPr>
              <w:spacing w:after="0"/>
              <w:contextualSpacing/>
              <w:rPr>
                <w:sz w:val="18"/>
                <w:szCs w:val="18"/>
              </w:rPr>
            </w:pPr>
            <w:r w:rsidRPr="00140591">
              <w:rPr>
                <w:sz w:val="18"/>
                <w:szCs w:val="18"/>
              </w:rPr>
              <w:lastRenderedPageBreak/>
              <w:t>Strategic planning documents for changing core organizational functions</w:t>
            </w:r>
          </w:p>
        </w:tc>
        <w:tc>
          <w:tcPr>
            <w:tcW w:w="90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50" w:type="dxa"/>
          </w:tcPr>
          <w:p w:rsidR="004253CF" w:rsidRPr="00B04979" w:rsidRDefault="004253CF" w:rsidP="00B04979">
            <w:pPr>
              <w:pStyle w:val="ListParagraph"/>
              <w:spacing w:after="0"/>
              <w:ind w:left="72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4253CF" w:rsidRPr="00140591" w:rsidTr="00D4616B">
        <w:trPr>
          <w:trHeight w:val="3032"/>
        </w:trPr>
        <w:tc>
          <w:tcPr>
            <w:tcW w:w="2448" w:type="dxa"/>
            <w:vAlign w:val="center"/>
          </w:tcPr>
          <w:p w:rsidR="004253CF" w:rsidRPr="00140591" w:rsidRDefault="004253CF" w:rsidP="004253CF">
            <w:pPr>
              <w:spacing w:after="0"/>
              <w:contextualSpacing/>
              <w:rPr>
                <w:sz w:val="18"/>
                <w:szCs w:val="18"/>
              </w:rPr>
            </w:pPr>
            <w:r w:rsidRPr="00140591">
              <w:rPr>
                <w:sz w:val="18"/>
                <w:szCs w:val="18"/>
              </w:rPr>
              <w:t>Online product catalog</w:t>
            </w:r>
          </w:p>
        </w:tc>
        <w:tc>
          <w:tcPr>
            <w:tcW w:w="90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50" w:type="dxa"/>
          </w:tcPr>
          <w:p w:rsidR="00AE2687" w:rsidRPr="00B04979" w:rsidRDefault="00AE2687" w:rsidP="00B04979">
            <w:pPr>
              <w:pStyle w:val="ListParagraph"/>
              <w:spacing w:after="0"/>
              <w:ind w:left="72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4253CF" w:rsidRPr="00140591" w:rsidTr="00D4616B">
        <w:trPr>
          <w:trHeight w:val="1331"/>
        </w:trPr>
        <w:tc>
          <w:tcPr>
            <w:tcW w:w="2448" w:type="dxa"/>
            <w:vAlign w:val="center"/>
          </w:tcPr>
          <w:p w:rsidR="004253CF" w:rsidRPr="00140591" w:rsidRDefault="004253CF" w:rsidP="004253CF">
            <w:pPr>
              <w:spacing w:after="0"/>
              <w:contextualSpacing/>
              <w:rPr>
                <w:sz w:val="18"/>
                <w:szCs w:val="18"/>
              </w:rPr>
            </w:pPr>
            <w:r w:rsidRPr="00140591">
              <w:rPr>
                <w:sz w:val="18"/>
                <w:szCs w:val="18"/>
              </w:rPr>
              <w:t xml:space="preserve">Executive reports to the board of directors </w:t>
            </w:r>
          </w:p>
          <w:p w:rsidR="004253CF" w:rsidRPr="00140591" w:rsidRDefault="004253CF" w:rsidP="004253CF">
            <w:pPr>
              <w:spacing w:after="0"/>
              <w:contextualSpacing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50" w:type="dxa"/>
          </w:tcPr>
          <w:p w:rsidR="004253CF" w:rsidRPr="00B04979" w:rsidRDefault="004253CF" w:rsidP="00B04979">
            <w:pPr>
              <w:pStyle w:val="ListParagraph"/>
              <w:spacing w:after="0"/>
              <w:ind w:left="72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4253CF" w:rsidRPr="00140591" w:rsidTr="00D4616B">
        <w:trPr>
          <w:trHeight w:val="92"/>
        </w:trPr>
        <w:tc>
          <w:tcPr>
            <w:tcW w:w="2448" w:type="dxa"/>
            <w:vAlign w:val="center"/>
          </w:tcPr>
          <w:p w:rsidR="004253CF" w:rsidRPr="00140591" w:rsidRDefault="004253CF" w:rsidP="00AE2687">
            <w:pPr>
              <w:spacing w:after="0"/>
              <w:contextualSpacing/>
              <w:rPr>
                <w:sz w:val="18"/>
                <w:szCs w:val="18"/>
              </w:rPr>
            </w:pPr>
            <w:r w:rsidRPr="00140591">
              <w:rPr>
                <w:sz w:val="18"/>
                <w:szCs w:val="18"/>
              </w:rPr>
              <w:t xml:space="preserve">Internal fraud investigation from </w:t>
            </w:r>
            <w:r w:rsidR="00AE2687">
              <w:rPr>
                <w:sz w:val="18"/>
                <w:szCs w:val="18"/>
              </w:rPr>
              <w:t>Southwest</w:t>
            </w:r>
            <w:r w:rsidRPr="00140591">
              <w:rPr>
                <w:sz w:val="18"/>
                <w:szCs w:val="18"/>
              </w:rPr>
              <w:t xml:space="preserve"> </w:t>
            </w:r>
            <w:r w:rsidR="00AE2687">
              <w:rPr>
                <w:sz w:val="18"/>
                <w:szCs w:val="18"/>
              </w:rPr>
              <w:t>R</w:t>
            </w:r>
            <w:r w:rsidRPr="00140591">
              <w:rPr>
                <w:sz w:val="18"/>
                <w:szCs w:val="18"/>
              </w:rPr>
              <w:t xml:space="preserve">egion involving the </w:t>
            </w:r>
            <w:r w:rsidR="00AE2687">
              <w:rPr>
                <w:sz w:val="18"/>
                <w:szCs w:val="18"/>
              </w:rPr>
              <w:t>Southwest</w:t>
            </w:r>
            <w:r w:rsidRPr="00140591">
              <w:rPr>
                <w:sz w:val="18"/>
                <w:szCs w:val="18"/>
              </w:rPr>
              <w:t xml:space="preserve"> </w:t>
            </w:r>
            <w:r w:rsidR="00AE2687">
              <w:rPr>
                <w:sz w:val="18"/>
                <w:szCs w:val="18"/>
              </w:rPr>
              <w:t>Region</w:t>
            </w:r>
            <w:r w:rsidRPr="00140591">
              <w:rPr>
                <w:sz w:val="18"/>
                <w:szCs w:val="18"/>
              </w:rPr>
              <w:t xml:space="preserve"> General Manager</w:t>
            </w:r>
          </w:p>
        </w:tc>
        <w:tc>
          <w:tcPr>
            <w:tcW w:w="90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4253CF" w:rsidRPr="00B04979" w:rsidRDefault="004253CF" w:rsidP="004253CF">
            <w:pPr>
              <w:spacing w:after="0"/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50" w:type="dxa"/>
          </w:tcPr>
          <w:p w:rsidR="004253CF" w:rsidRPr="00B04979" w:rsidRDefault="004253CF" w:rsidP="00B04979">
            <w:pPr>
              <w:pStyle w:val="ListParagraph"/>
              <w:spacing w:after="0"/>
              <w:ind w:left="72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4253CF" w:rsidRDefault="004253CF" w:rsidP="004253CF"/>
    <w:p w:rsidR="004253CF" w:rsidRPr="00083121" w:rsidRDefault="004253CF" w:rsidP="004253CF">
      <w:pPr>
        <w:rPr>
          <w:rFonts w:cs="Arial"/>
          <w:szCs w:val="20"/>
        </w:rPr>
      </w:pPr>
    </w:p>
    <w:sectPr w:rsidR="004253CF" w:rsidRPr="00083121" w:rsidSect="001B4E03">
      <w:headerReference w:type="default" r:id="rId8"/>
      <w:footerReference w:type="default" r:id="rId9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40A" w:rsidRDefault="00CB140A" w:rsidP="001B4E03">
      <w:pPr>
        <w:spacing w:after="0" w:line="240" w:lineRule="auto"/>
      </w:pPr>
      <w:r>
        <w:separator/>
      </w:r>
    </w:p>
  </w:endnote>
  <w:endnote w:type="continuationSeparator" w:id="0">
    <w:p w:rsidR="00CB140A" w:rsidRDefault="00CB140A" w:rsidP="001B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8E3" w:rsidRPr="009F6E9C" w:rsidRDefault="009068E3" w:rsidP="009068E3">
    <w:pPr>
      <w:pBdr>
        <w:top w:val="single" w:sz="18" w:space="1" w:color="FFC000"/>
      </w:pBdr>
      <w:spacing w:after="0"/>
      <w:rPr>
        <w:rFonts w:cs="Arial"/>
        <w:color w:val="000000"/>
        <w:sz w:val="18"/>
        <w:szCs w:val="18"/>
      </w:rPr>
    </w:pPr>
    <w:r w:rsidRPr="009F6E9C">
      <w:rPr>
        <w:rFonts w:cs="Arial"/>
        <w:color w:val="000000"/>
        <w:sz w:val="18"/>
        <w:szCs w:val="18"/>
      </w:rPr>
      <w:t>© 201</w:t>
    </w:r>
    <w:r w:rsidR="006421D0">
      <w:rPr>
        <w:rFonts w:cs="Arial"/>
        <w:color w:val="000000"/>
        <w:sz w:val="18"/>
        <w:szCs w:val="18"/>
      </w:rPr>
      <w:t>4</w:t>
    </w:r>
    <w:r w:rsidRPr="009F6E9C">
      <w:rPr>
        <w:rFonts w:cs="Arial"/>
        <w:color w:val="000000"/>
        <w:sz w:val="18"/>
        <w:szCs w:val="18"/>
      </w:rPr>
      <w:t xml:space="preserve"> by Jones &amp; Bartlett Learning, LLC, an Ascend Learning Company. All rights reserved.</w:t>
    </w:r>
  </w:p>
  <w:p w:rsidR="00D97F66" w:rsidRPr="009068E3" w:rsidRDefault="009068E3" w:rsidP="009068E3">
    <w:pPr>
      <w:pStyle w:val="Footer"/>
      <w:spacing w:after="0"/>
      <w:rPr>
        <w:rFonts w:ascii="Cambria" w:hAnsi="Cambria"/>
        <w:color w:val="808080" w:themeColor="background1" w:themeShade="80"/>
        <w:sz w:val="18"/>
      </w:rPr>
    </w:pPr>
    <w:r w:rsidRPr="00E60A2C">
      <w:rPr>
        <w:rFonts w:cs="Arial"/>
        <w:i/>
        <w:iCs/>
        <w:color w:val="004B91"/>
        <w:sz w:val="18"/>
        <w:szCs w:val="18"/>
      </w:rPr>
      <w:t xml:space="preserve">www.jblearning.com  </w:t>
    </w:r>
    <w:r w:rsidRPr="009F6E9C">
      <w:rPr>
        <w:rFonts w:cs="Arial"/>
        <w:i/>
        <w:iCs/>
        <w:sz w:val="18"/>
        <w:szCs w:val="18"/>
      </w:rPr>
      <w:tab/>
    </w:r>
    <w:r>
      <w:rPr>
        <w:rFonts w:cs="Arial"/>
        <w:i/>
        <w:iCs/>
        <w:sz w:val="18"/>
        <w:szCs w:val="18"/>
      </w:rPr>
      <w:tab/>
    </w:r>
    <w:r w:rsidRPr="00C60244">
      <w:rPr>
        <w:rFonts w:cs="Arial"/>
        <w:iCs/>
        <w:sz w:val="18"/>
        <w:szCs w:val="18"/>
      </w:rPr>
      <w:t xml:space="preserve">Page </w:t>
    </w:r>
    <w:r w:rsidRPr="00C60244">
      <w:rPr>
        <w:rFonts w:cs="Arial"/>
        <w:iCs/>
        <w:sz w:val="18"/>
        <w:szCs w:val="18"/>
      </w:rPr>
      <w:fldChar w:fldCharType="begin"/>
    </w:r>
    <w:r w:rsidRPr="00C60244">
      <w:rPr>
        <w:rFonts w:cs="Arial"/>
        <w:iCs/>
        <w:sz w:val="18"/>
        <w:szCs w:val="18"/>
      </w:rPr>
      <w:instrText xml:space="preserve"> PAGE   \* MERGEFORMAT </w:instrText>
    </w:r>
    <w:r w:rsidRPr="00C60244">
      <w:rPr>
        <w:rFonts w:cs="Arial"/>
        <w:iCs/>
        <w:sz w:val="18"/>
        <w:szCs w:val="18"/>
      </w:rPr>
      <w:fldChar w:fldCharType="separate"/>
    </w:r>
    <w:r w:rsidR="00075324">
      <w:rPr>
        <w:rFonts w:cs="Arial"/>
        <w:iCs/>
        <w:noProof/>
        <w:sz w:val="18"/>
        <w:szCs w:val="18"/>
      </w:rPr>
      <w:t>1</w:t>
    </w:r>
    <w:r w:rsidRPr="00C60244">
      <w:rPr>
        <w:rFonts w:cs="Arial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40A" w:rsidRDefault="00CB140A" w:rsidP="001B4E03">
      <w:pPr>
        <w:spacing w:after="0" w:line="240" w:lineRule="auto"/>
      </w:pPr>
      <w:r>
        <w:separator/>
      </w:r>
    </w:p>
  </w:footnote>
  <w:footnote w:type="continuationSeparator" w:id="0">
    <w:p w:rsidR="00CB140A" w:rsidRDefault="00CB140A" w:rsidP="001B4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FFC000"/>
        <w:right w:val="none" w:sz="0" w:space="0" w:color="auto"/>
        <w:insideH w:val="none" w:sz="0" w:space="0" w:color="auto"/>
        <w:insideV w:val="none" w:sz="0" w:space="0" w:color="auto"/>
      </w:tblBorders>
      <w:tblCellMar>
        <w:left w:w="14" w:type="dxa"/>
        <w:right w:w="14" w:type="dxa"/>
      </w:tblCellMar>
      <w:tblLook w:val="04A0" w:firstRow="1" w:lastRow="0" w:firstColumn="1" w:lastColumn="0" w:noHBand="0" w:noVBand="1"/>
    </w:tblPr>
    <w:tblGrid>
      <w:gridCol w:w="2355"/>
      <w:gridCol w:w="7033"/>
    </w:tblGrid>
    <w:tr w:rsidR="001D6245" w:rsidRPr="009158E2" w:rsidTr="000F11EB">
      <w:trPr>
        <w:trHeight w:hRule="exact" w:val="1080"/>
      </w:trPr>
      <w:tc>
        <w:tcPr>
          <w:tcW w:w="2355" w:type="dxa"/>
        </w:tcPr>
        <w:p w:rsidR="001D6245" w:rsidRDefault="001D6245" w:rsidP="00A12D1E">
          <w:pPr>
            <w:pStyle w:val="Header"/>
            <w:spacing w:after="0" w:line="240" w:lineRule="auto"/>
            <w:rPr>
              <w:rFonts w:ascii="Cambria" w:hAnsi="Cambria" w:cs="Cambria"/>
              <w:color w:val="000000"/>
              <w:sz w:val="32"/>
              <w:szCs w:val="32"/>
            </w:rPr>
          </w:pPr>
          <w:r w:rsidRPr="002E7FEA">
            <w:rPr>
              <w:i/>
              <w:noProof/>
            </w:rPr>
            <w:drawing>
              <wp:anchor distT="0" distB="0" distL="0" distR="274320" simplePos="0" relativeHeight="251661824" behindDoc="0" locked="0" layoutInCell="1" allowOverlap="1" wp14:anchorId="106E5A1C" wp14:editId="7483ACED">
                <wp:simplePos x="0" y="0"/>
                <wp:positionH relativeFrom="column">
                  <wp:posOffset>5080</wp:posOffset>
                </wp:positionH>
                <wp:positionV relativeFrom="paragraph">
                  <wp:posOffset>-115570</wp:posOffset>
                </wp:positionV>
                <wp:extent cx="1362075" cy="621665"/>
                <wp:effectExtent l="0" t="0" r="0" b="0"/>
                <wp:wrapSquare wrapText="right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C8A8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33" w:type="dxa"/>
          <w:vAlign w:val="bottom"/>
        </w:tcPr>
        <w:p w:rsidR="001D6245" w:rsidRPr="009158E2" w:rsidRDefault="004253CF" w:rsidP="00A12D1E">
          <w:pPr>
            <w:pStyle w:val="Header"/>
            <w:spacing w:after="0" w:line="240" w:lineRule="auto"/>
            <w:rPr>
              <w:rFonts w:cs="Arial"/>
              <w:color w:val="004B91"/>
              <w:sz w:val="30"/>
              <w:szCs w:val="30"/>
            </w:rPr>
          </w:pPr>
          <w:r w:rsidRPr="004253CF">
            <w:rPr>
              <w:rFonts w:cs="Arial"/>
              <w:color w:val="004B91"/>
              <w:sz w:val="30"/>
              <w:szCs w:val="30"/>
            </w:rPr>
            <w:t>Implementation of a Data Classification Policy</w:t>
          </w:r>
        </w:p>
      </w:tc>
    </w:tr>
  </w:tbl>
  <w:p w:rsidR="00B73A6E" w:rsidRPr="001D6245" w:rsidRDefault="00B73A6E" w:rsidP="00A12D1E">
    <w:pPr>
      <w:pStyle w:val="Header"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2F81"/>
    <w:multiLevelType w:val="hybridMultilevel"/>
    <w:tmpl w:val="38602D08"/>
    <w:lvl w:ilvl="0" w:tplc="EDE615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1C70C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4C4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AA7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FE0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1A13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C6D3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4CC6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E0F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525E0"/>
    <w:multiLevelType w:val="hybridMultilevel"/>
    <w:tmpl w:val="6BA630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2E5BED"/>
    <w:multiLevelType w:val="hybridMultilevel"/>
    <w:tmpl w:val="B7B09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8F101D"/>
    <w:multiLevelType w:val="hybridMultilevel"/>
    <w:tmpl w:val="D146E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C096C"/>
    <w:multiLevelType w:val="hybridMultilevel"/>
    <w:tmpl w:val="41C694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06834"/>
    <w:multiLevelType w:val="hybridMultilevel"/>
    <w:tmpl w:val="CCF436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D2122"/>
    <w:multiLevelType w:val="hybridMultilevel"/>
    <w:tmpl w:val="8D8A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32DA9"/>
    <w:multiLevelType w:val="hybridMultilevel"/>
    <w:tmpl w:val="C2A83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060510"/>
    <w:multiLevelType w:val="hybridMultilevel"/>
    <w:tmpl w:val="B8CE248E"/>
    <w:lvl w:ilvl="0" w:tplc="D4E87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663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F6B5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8C9F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0B1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BC7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C654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882F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5AD3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2631E8"/>
    <w:multiLevelType w:val="singleLevel"/>
    <w:tmpl w:val="A75E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5645520D"/>
    <w:multiLevelType w:val="hybridMultilevel"/>
    <w:tmpl w:val="07E6613C"/>
    <w:lvl w:ilvl="0" w:tplc="CA92D1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784E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09B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4D5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3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B60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A40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C84D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621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BE94216"/>
    <w:multiLevelType w:val="hybridMultilevel"/>
    <w:tmpl w:val="1164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7E3DF0"/>
    <w:multiLevelType w:val="hybridMultilevel"/>
    <w:tmpl w:val="ADBA2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740152"/>
    <w:multiLevelType w:val="hybridMultilevel"/>
    <w:tmpl w:val="C9D0DCB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6AEA654B"/>
    <w:multiLevelType w:val="hybridMultilevel"/>
    <w:tmpl w:val="94C6EA8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6AA30C3"/>
    <w:multiLevelType w:val="hybridMultilevel"/>
    <w:tmpl w:val="CD0E29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5D0CA5"/>
    <w:multiLevelType w:val="hybridMultilevel"/>
    <w:tmpl w:val="9C98E6F4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9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2"/>
    </w:lvlOverride>
  </w:num>
  <w:num w:numId="7">
    <w:abstractNumId w:val="8"/>
    <w:lvlOverride w:ilvl="0">
      <w:startOverride w:val="3"/>
    </w:lvlOverride>
  </w:num>
  <w:num w:numId="8">
    <w:abstractNumId w:val="8"/>
    <w:lvlOverride w:ilvl="0">
      <w:startOverride w:val="4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2"/>
    </w:lvlOverride>
  </w:num>
  <w:num w:numId="11">
    <w:abstractNumId w:val="0"/>
    <w:lvlOverride w:ilvl="0">
      <w:startOverride w:val="3"/>
    </w:lvlOverride>
  </w:num>
  <w:num w:numId="12">
    <w:abstractNumId w:val="0"/>
    <w:lvlOverride w:ilvl="0">
      <w:startOverride w:val="4"/>
    </w:lvlOverride>
  </w:num>
  <w:num w:numId="13">
    <w:abstractNumId w:val="0"/>
    <w:lvlOverride w:ilvl="0">
      <w:startOverride w:val="5"/>
    </w:lvlOverride>
  </w:num>
  <w:num w:numId="14">
    <w:abstractNumId w:val="0"/>
    <w:lvlOverride w:ilvl="0"/>
    <w:lvlOverride w:ilvl="1">
      <w:startOverride w:val="1"/>
    </w:lvlOverride>
  </w:num>
  <w:num w:numId="15">
    <w:abstractNumId w:val="0"/>
    <w:lvlOverride w:ilvl="0"/>
    <w:lvlOverride w:ilvl="1">
      <w:startOverride w:val="2"/>
    </w:lvlOverride>
  </w:num>
  <w:num w:numId="16">
    <w:abstractNumId w:val="0"/>
    <w:lvlOverride w:ilvl="0"/>
    <w:lvlOverride w:ilvl="1">
      <w:startOverride w:val="3"/>
    </w:lvlOverride>
  </w:num>
  <w:num w:numId="17">
    <w:abstractNumId w:val="0"/>
    <w:lvlOverride w:ilvl="0"/>
    <w:lvlOverride w:ilvl="1">
      <w:startOverride w:val="4"/>
    </w:lvlOverride>
  </w:num>
  <w:num w:numId="18">
    <w:abstractNumId w:val="0"/>
    <w:lvlOverride w:ilvl="0"/>
    <w:lvlOverride w:ilvl="1">
      <w:startOverride w:val="5"/>
    </w:lvlOverride>
  </w:num>
  <w:num w:numId="19">
    <w:abstractNumId w:val="0"/>
    <w:lvlOverride w:ilvl="0"/>
    <w:lvlOverride w:ilvl="1">
      <w:startOverride w:val="6"/>
    </w:lvlOverride>
  </w:num>
  <w:num w:numId="20">
    <w:abstractNumId w:val="0"/>
    <w:lvlOverride w:ilvl="0"/>
    <w:lvlOverride w:ilvl="1">
      <w:startOverride w:val="7"/>
    </w:lvlOverride>
  </w:num>
  <w:num w:numId="21">
    <w:abstractNumId w:val="0"/>
    <w:lvlOverride w:ilvl="0"/>
    <w:lvlOverride w:ilvl="1">
      <w:startOverride w:val="8"/>
    </w:lvlOverride>
  </w:num>
  <w:num w:numId="22">
    <w:abstractNumId w:val="0"/>
    <w:lvlOverride w:ilvl="0"/>
    <w:lvlOverride w:ilvl="1">
      <w:startOverride w:val="9"/>
    </w:lvlOverride>
  </w:num>
  <w:num w:numId="23">
    <w:abstractNumId w:val="0"/>
    <w:lvlOverride w:ilvl="0">
      <w:startOverride w:val="6"/>
    </w:lvlOverride>
    <w:lvlOverride w:ilvl="1"/>
  </w:num>
  <w:num w:numId="24">
    <w:abstractNumId w:val="0"/>
    <w:lvlOverride w:ilvl="0">
      <w:startOverride w:val="7"/>
    </w:lvlOverride>
    <w:lvlOverride w:ilvl="1"/>
  </w:num>
  <w:num w:numId="25">
    <w:abstractNumId w:val="0"/>
    <w:lvlOverride w:ilvl="0"/>
    <w:lvlOverride w:ilvl="1">
      <w:startOverride w:val="1"/>
    </w:lvlOverride>
  </w:num>
  <w:num w:numId="26">
    <w:abstractNumId w:val="0"/>
    <w:lvlOverride w:ilvl="0"/>
    <w:lvlOverride w:ilvl="1">
      <w:startOverride w:val="2"/>
    </w:lvlOverride>
  </w:num>
  <w:num w:numId="27">
    <w:abstractNumId w:val="0"/>
    <w:lvlOverride w:ilvl="0"/>
    <w:lvlOverride w:ilvl="1">
      <w:startOverride w:val="3"/>
    </w:lvlOverride>
  </w:num>
  <w:num w:numId="28">
    <w:abstractNumId w:val="0"/>
    <w:lvlOverride w:ilvl="0">
      <w:startOverride w:val="8"/>
    </w:lvlOverride>
    <w:lvlOverride w:ilvl="1"/>
  </w:num>
  <w:num w:numId="29">
    <w:abstractNumId w:val="2"/>
  </w:num>
  <w:num w:numId="30">
    <w:abstractNumId w:val="16"/>
  </w:num>
  <w:num w:numId="31">
    <w:abstractNumId w:val="13"/>
  </w:num>
  <w:num w:numId="32">
    <w:abstractNumId w:val="15"/>
  </w:num>
  <w:num w:numId="33">
    <w:abstractNumId w:val="1"/>
  </w:num>
  <w:num w:numId="34">
    <w:abstractNumId w:val="11"/>
  </w:num>
  <w:num w:numId="35">
    <w:abstractNumId w:val="7"/>
  </w:num>
  <w:num w:numId="36">
    <w:abstractNumId w:val="14"/>
  </w:num>
  <w:num w:numId="37">
    <w:abstractNumId w:val="3"/>
  </w:num>
  <w:num w:numId="38">
    <w:abstractNumId w:val="4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2D"/>
    <w:rsid w:val="0000192E"/>
    <w:rsid w:val="0000274A"/>
    <w:rsid w:val="000106F3"/>
    <w:rsid w:val="00014892"/>
    <w:rsid w:val="000162ED"/>
    <w:rsid w:val="00021BE5"/>
    <w:rsid w:val="00023033"/>
    <w:rsid w:val="000241FE"/>
    <w:rsid w:val="000338E3"/>
    <w:rsid w:val="00040714"/>
    <w:rsid w:val="00056D30"/>
    <w:rsid w:val="000630AA"/>
    <w:rsid w:val="00063E0B"/>
    <w:rsid w:val="00075324"/>
    <w:rsid w:val="00083121"/>
    <w:rsid w:val="00083289"/>
    <w:rsid w:val="000869B9"/>
    <w:rsid w:val="00087053"/>
    <w:rsid w:val="000B0E89"/>
    <w:rsid w:val="000B474F"/>
    <w:rsid w:val="000B64A2"/>
    <w:rsid w:val="000C0E55"/>
    <w:rsid w:val="000D53BF"/>
    <w:rsid w:val="000E0478"/>
    <w:rsid w:val="000F71C8"/>
    <w:rsid w:val="00104BF5"/>
    <w:rsid w:val="001173DF"/>
    <w:rsid w:val="00127FD1"/>
    <w:rsid w:val="00130B3D"/>
    <w:rsid w:val="00136D65"/>
    <w:rsid w:val="00137AA9"/>
    <w:rsid w:val="00140591"/>
    <w:rsid w:val="0014120D"/>
    <w:rsid w:val="0014261A"/>
    <w:rsid w:val="001473C2"/>
    <w:rsid w:val="00156745"/>
    <w:rsid w:val="00181D06"/>
    <w:rsid w:val="00186050"/>
    <w:rsid w:val="00193231"/>
    <w:rsid w:val="00196465"/>
    <w:rsid w:val="00196AA6"/>
    <w:rsid w:val="001B13FF"/>
    <w:rsid w:val="001B3096"/>
    <w:rsid w:val="001B4E03"/>
    <w:rsid w:val="001D257F"/>
    <w:rsid w:val="001D6245"/>
    <w:rsid w:val="00202937"/>
    <w:rsid w:val="0022287E"/>
    <w:rsid w:val="002259F7"/>
    <w:rsid w:val="00233618"/>
    <w:rsid w:val="00247E26"/>
    <w:rsid w:val="002538C5"/>
    <w:rsid w:val="00272C32"/>
    <w:rsid w:val="002837D9"/>
    <w:rsid w:val="002974E6"/>
    <w:rsid w:val="002B0C9E"/>
    <w:rsid w:val="002B1FCA"/>
    <w:rsid w:val="002B426F"/>
    <w:rsid w:val="002C2306"/>
    <w:rsid w:val="002D7372"/>
    <w:rsid w:val="002F4791"/>
    <w:rsid w:val="00302473"/>
    <w:rsid w:val="00316CD0"/>
    <w:rsid w:val="00320A89"/>
    <w:rsid w:val="00322C89"/>
    <w:rsid w:val="00326249"/>
    <w:rsid w:val="00331A74"/>
    <w:rsid w:val="003377B0"/>
    <w:rsid w:val="0034245A"/>
    <w:rsid w:val="003438FC"/>
    <w:rsid w:val="00346505"/>
    <w:rsid w:val="00351AC8"/>
    <w:rsid w:val="00356257"/>
    <w:rsid w:val="00361CC2"/>
    <w:rsid w:val="00391466"/>
    <w:rsid w:val="00395603"/>
    <w:rsid w:val="00395989"/>
    <w:rsid w:val="003A0F56"/>
    <w:rsid w:val="003A27FB"/>
    <w:rsid w:val="003B0C31"/>
    <w:rsid w:val="003B2982"/>
    <w:rsid w:val="003C37E1"/>
    <w:rsid w:val="003D4E59"/>
    <w:rsid w:val="003F4AA1"/>
    <w:rsid w:val="003F4AD4"/>
    <w:rsid w:val="003F5212"/>
    <w:rsid w:val="004074F5"/>
    <w:rsid w:val="00416743"/>
    <w:rsid w:val="004253CF"/>
    <w:rsid w:val="00430925"/>
    <w:rsid w:val="004377DC"/>
    <w:rsid w:val="00441E70"/>
    <w:rsid w:val="00454191"/>
    <w:rsid w:val="004607C2"/>
    <w:rsid w:val="00461CEC"/>
    <w:rsid w:val="004740C2"/>
    <w:rsid w:val="004832F5"/>
    <w:rsid w:val="0048626C"/>
    <w:rsid w:val="00494151"/>
    <w:rsid w:val="00496D8C"/>
    <w:rsid w:val="004C25A7"/>
    <w:rsid w:val="004D58FE"/>
    <w:rsid w:val="004D7BD2"/>
    <w:rsid w:val="004E04F0"/>
    <w:rsid w:val="004F1F50"/>
    <w:rsid w:val="005030F8"/>
    <w:rsid w:val="00504B2F"/>
    <w:rsid w:val="005122B8"/>
    <w:rsid w:val="00534635"/>
    <w:rsid w:val="00534A8C"/>
    <w:rsid w:val="00534C3C"/>
    <w:rsid w:val="00562091"/>
    <w:rsid w:val="0056275F"/>
    <w:rsid w:val="00585D1E"/>
    <w:rsid w:val="0058641A"/>
    <w:rsid w:val="005926CE"/>
    <w:rsid w:val="00597A92"/>
    <w:rsid w:val="005B6A80"/>
    <w:rsid w:val="005C252C"/>
    <w:rsid w:val="005C3143"/>
    <w:rsid w:val="005C538B"/>
    <w:rsid w:val="005C5FB9"/>
    <w:rsid w:val="005D2055"/>
    <w:rsid w:val="005D2487"/>
    <w:rsid w:val="005D266B"/>
    <w:rsid w:val="005D4ABF"/>
    <w:rsid w:val="005E3D65"/>
    <w:rsid w:val="005F13F7"/>
    <w:rsid w:val="005F642B"/>
    <w:rsid w:val="0060684E"/>
    <w:rsid w:val="006124F4"/>
    <w:rsid w:val="00615523"/>
    <w:rsid w:val="00616865"/>
    <w:rsid w:val="0061778C"/>
    <w:rsid w:val="00631AF7"/>
    <w:rsid w:val="00636BCE"/>
    <w:rsid w:val="00640FA2"/>
    <w:rsid w:val="00641E1D"/>
    <w:rsid w:val="006421D0"/>
    <w:rsid w:val="00647D26"/>
    <w:rsid w:val="00651122"/>
    <w:rsid w:val="0066168B"/>
    <w:rsid w:val="00664FE3"/>
    <w:rsid w:val="00697735"/>
    <w:rsid w:val="006A0D31"/>
    <w:rsid w:val="006B083E"/>
    <w:rsid w:val="006B74DF"/>
    <w:rsid w:val="006D5301"/>
    <w:rsid w:val="006D6833"/>
    <w:rsid w:val="006E01E9"/>
    <w:rsid w:val="006E3EA2"/>
    <w:rsid w:val="006E55A3"/>
    <w:rsid w:val="00701701"/>
    <w:rsid w:val="0070451B"/>
    <w:rsid w:val="00705EC3"/>
    <w:rsid w:val="00711983"/>
    <w:rsid w:val="00716394"/>
    <w:rsid w:val="0071669D"/>
    <w:rsid w:val="00720368"/>
    <w:rsid w:val="007231D6"/>
    <w:rsid w:val="00723D6B"/>
    <w:rsid w:val="00733BD9"/>
    <w:rsid w:val="00744B6E"/>
    <w:rsid w:val="00757A80"/>
    <w:rsid w:val="0076235E"/>
    <w:rsid w:val="0076296A"/>
    <w:rsid w:val="00762EC3"/>
    <w:rsid w:val="00765853"/>
    <w:rsid w:val="00766491"/>
    <w:rsid w:val="00767F3D"/>
    <w:rsid w:val="00776A73"/>
    <w:rsid w:val="007815B5"/>
    <w:rsid w:val="007835A3"/>
    <w:rsid w:val="007B4065"/>
    <w:rsid w:val="007C0194"/>
    <w:rsid w:val="007C6292"/>
    <w:rsid w:val="007C789E"/>
    <w:rsid w:val="007D00CB"/>
    <w:rsid w:val="007D197A"/>
    <w:rsid w:val="007D5FFD"/>
    <w:rsid w:val="007F105C"/>
    <w:rsid w:val="007F49B2"/>
    <w:rsid w:val="00804A84"/>
    <w:rsid w:val="00805FE5"/>
    <w:rsid w:val="00817F2C"/>
    <w:rsid w:val="00835773"/>
    <w:rsid w:val="00841AAB"/>
    <w:rsid w:val="00871A96"/>
    <w:rsid w:val="00872C1E"/>
    <w:rsid w:val="008732A6"/>
    <w:rsid w:val="008866FA"/>
    <w:rsid w:val="008919EA"/>
    <w:rsid w:val="008A4ABA"/>
    <w:rsid w:val="008A4C04"/>
    <w:rsid w:val="008A7E9D"/>
    <w:rsid w:val="008C382F"/>
    <w:rsid w:val="008E088E"/>
    <w:rsid w:val="00900D9B"/>
    <w:rsid w:val="00900DF3"/>
    <w:rsid w:val="009068E3"/>
    <w:rsid w:val="00910A30"/>
    <w:rsid w:val="00916DF9"/>
    <w:rsid w:val="00926985"/>
    <w:rsid w:val="009315E9"/>
    <w:rsid w:val="00940A0C"/>
    <w:rsid w:val="009530E4"/>
    <w:rsid w:val="00957717"/>
    <w:rsid w:val="00970662"/>
    <w:rsid w:val="00972F77"/>
    <w:rsid w:val="009931F1"/>
    <w:rsid w:val="009972C2"/>
    <w:rsid w:val="009A6413"/>
    <w:rsid w:val="009B6794"/>
    <w:rsid w:val="009B783E"/>
    <w:rsid w:val="009D5F43"/>
    <w:rsid w:val="009E436E"/>
    <w:rsid w:val="00A00E81"/>
    <w:rsid w:val="00A12D1E"/>
    <w:rsid w:val="00A237F5"/>
    <w:rsid w:val="00A244A9"/>
    <w:rsid w:val="00A31B83"/>
    <w:rsid w:val="00A35B4F"/>
    <w:rsid w:val="00A35D5F"/>
    <w:rsid w:val="00A37B9B"/>
    <w:rsid w:val="00A526D9"/>
    <w:rsid w:val="00A53AD8"/>
    <w:rsid w:val="00A548B2"/>
    <w:rsid w:val="00A6720A"/>
    <w:rsid w:val="00A716F5"/>
    <w:rsid w:val="00A71C31"/>
    <w:rsid w:val="00A84350"/>
    <w:rsid w:val="00A90A7A"/>
    <w:rsid w:val="00A93D6F"/>
    <w:rsid w:val="00A9670F"/>
    <w:rsid w:val="00AA4365"/>
    <w:rsid w:val="00AB5B6C"/>
    <w:rsid w:val="00AC0ED8"/>
    <w:rsid w:val="00AE08D2"/>
    <w:rsid w:val="00AE2687"/>
    <w:rsid w:val="00AE289F"/>
    <w:rsid w:val="00AE5814"/>
    <w:rsid w:val="00AF547D"/>
    <w:rsid w:val="00B00B9D"/>
    <w:rsid w:val="00B00F7B"/>
    <w:rsid w:val="00B03D9D"/>
    <w:rsid w:val="00B04979"/>
    <w:rsid w:val="00B05973"/>
    <w:rsid w:val="00B10382"/>
    <w:rsid w:val="00B20127"/>
    <w:rsid w:val="00B31C46"/>
    <w:rsid w:val="00B33307"/>
    <w:rsid w:val="00B37A51"/>
    <w:rsid w:val="00B40A54"/>
    <w:rsid w:val="00B5260E"/>
    <w:rsid w:val="00B5631A"/>
    <w:rsid w:val="00B73A6E"/>
    <w:rsid w:val="00B83125"/>
    <w:rsid w:val="00B84CF6"/>
    <w:rsid w:val="00B93D41"/>
    <w:rsid w:val="00BA2516"/>
    <w:rsid w:val="00BA28BE"/>
    <w:rsid w:val="00BB6543"/>
    <w:rsid w:val="00BC04B3"/>
    <w:rsid w:val="00BC3DE3"/>
    <w:rsid w:val="00BD0A65"/>
    <w:rsid w:val="00BD4F55"/>
    <w:rsid w:val="00BD56B5"/>
    <w:rsid w:val="00BE1408"/>
    <w:rsid w:val="00BE4F45"/>
    <w:rsid w:val="00BE7D56"/>
    <w:rsid w:val="00BF4825"/>
    <w:rsid w:val="00BF7E9B"/>
    <w:rsid w:val="00C107BD"/>
    <w:rsid w:val="00C115A0"/>
    <w:rsid w:val="00C14DDE"/>
    <w:rsid w:val="00C16949"/>
    <w:rsid w:val="00C224E2"/>
    <w:rsid w:val="00C229FB"/>
    <w:rsid w:val="00C262BF"/>
    <w:rsid w:val="00C2669E"/>
    <w:rsid w:val="00C53768"/>
    <w:rsid w:val="00C53988"/>
    <w:rsid w:val="00C65C2D"/>
    <w:rsid w:val="00C770AF"/>
    <w:rsid w:val="00C9765B"/>
    <w:rsid w:val="00CA1429"/>
    <w:rsid w:val="00CA2FEE"/>
    <w:rsid w:val="00CA7243"/>
    <w:rsid w:val="00CB0894"/>
    <w:rsid w:val="00CB140A"/>
    <w:rsid w:val="00CD1AB6"/>
    <w:rsid w:val="00CE3A42"/>
    <w:rsid w:val="00CE4228"/>
    <w:rsid w:val="00CF7903"/>
    <w:rsid w:val="00D213BD"/>
    <w:rsid w:val="00D27292"/>
    <w:rsid w:val="00D335DF"/>
    <w:rsid w:val="00D3621C"/>
    <w:rsid w:val="00D36AB0"/>
    <w:rsid w:val="00D43AA4"/>
    <w:rsid w:val="00D4616B"/>
    <w:rsid w:val="00D463E8"/>
    <w:rsid w:val="00D55C25"/>
    <w:rsid w:val="00D667DD"/>
    <w:rsid w:val="00D85615"/>
    <w:rsid w:val="00D87C77"/>
    <w:rsid w:val="00D93350"/>
    <w:rsid w:val="00D96124"/>
    <w:rsid w:val="00D96958"/>
    <w:rsid w:val="00D97F66"/>
    <w:rsid w:val="00DB48EE"/>
    <w:rsid w:val="00DC5844"/>
    <w:rsid w:val="00DD7FA3"/>
    <w:rsid w:val="00DE1FF7"/>
    <w:rsid w:val="00DF212A"/>
    <w:rsid w:val="00DF5832"/>
    <w:rsid w:val="00E06127"/>
    <w:rsid w:val="00E1183C"/>
    <w:rsid w:val="00E23A5E"/>
    <w:rsid w:val="00E4154F"/>
    <w:rsid w:val="00E45472"/>
    <w:rsid w:val="00E52577"/>
    <w:rsid w:val="00E60637"/>
    <w:rsid w:val="00E60A80"/>
    <w:rsid w:val="00E60BE8"/>
    <w:rsid w:val="00E65CBB"/>
    <w:rsid w:val="00E71B50"/>
    <w:rsid w:val="00E80E97"/>
    <w:rsid w:val="00E82C01"/>
    <w:rsid w:val="00E90D25"/>
    <w:rsid w:val="00E94CEE"/>
    <w:rsid w:val="00E95208"/>
    <w:rsid w:val="00EA347A"/>
    <w:rsid w:val="00EB6682"/>
    <w:rsid w:val="00EB690D"/>
    <w:rsid w:val="00EB6EDA"/>
    <w:rsid w:val="00EC05EE"/>
    <w:rsid w:val="00ED6444"/>
    <w:rsid w:val="00EE13C9"/>
    <w:rsid w:val="00EF590A"/>
    <w:rsid w:val="00F03372"/>
    <w:rsid w:val="00F44F99"/>
    <w:rsid w:val="00F523DF"/>
    <w:rsid w:val="00F63A3E"/>
    <w:rsid w:val="00F87D12"/>
    <w:rsid w:val="00F90EAC"/>
    <w:rsid w:val="00F95E04"/>
    <w:rsid w:val="00F96A3F"/>
    <w:rsid w:val="00F96E80"/>
    <w:rsid w:val="00FA3768"/>
    <w:rsid w:val="00FA7B73"/>
    <w:rsid w:val="00FB3013"/>
    <w:rsid w:val="00FC01C3"/>
    <w:rsid w:val="00FC49B0"/>
    <w:rsid w:val="00FC4E6A"/>
    <w:rsid w:val="00FD41F8"/>
    <w:rsid w:val="00FE2378"/>
    <w:rsid w:val="00FE3597"/>
    <w:rsid w:val="00FF1B84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3CF"/>
    <w:pPr>
      <w:spacing w:after="200" w:line="276" w:lineRule="auto"/>
    </w:pPr>
    <w:rPr>
      <w:rFonts w:ascii="Arial" w:hAnsi="Arial"/>
      <w:szCs w:val="22"/>
    </w:rPr>
  </w:style>
  <w:style w:type="paragraph" w:styleId="Heading2">
    <w:name w:val="heading 2"/>
    <w:basedOn w:val="Normal"/>
    <w:next w:val="Normal"/>
    <w:link w:val="Heading2Char"/>
    <w:qFormat/>
    <w:rsid w:val="00A00E81"/>
    <w:pPr>
      <w:keepNext/>
      <w:spacing w:after="0" w:line="240" w:lineRule="auto"/>
      <w:outlineLvl w:val="1"/>
    </w:pPr>
    <w:rPr>
      <w:rFonts w:ascii="Tahoma" w:eastAsia="Times New Roman" w:hAnsi="Tahoma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5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E2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E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E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95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950"/>
    <w:rPr>
      <w:sz w:val="22"/>
      <w:szCs w:val="22"/>
    </w:rPr>
  </w:style>
  <w:style w:type="paragraph" w:styleId="NormalWeb">
    <w:name w:val="Normal (Web)"/>
    <w:basedOn w:val="Normal"/>
    <w:unhideWhenUsed/>
    <w:rsid w:val="00B73A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E525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A00E81"/>
    <w:rPr>
      <w:rFonts w:ascii="Tahoma" w:eastAsia="Times New Roman" w:hAnsi="Tahoma"/>
      <w:b/>
      <w:sz w:val="32"/>
    </w:rPr>
  </w:style>
  <w:style w:type="paragraph" w:styleId="BodyText">
    <w:name w:val="Body Text"/>
    <w:basedOn w:val="Normal"/>
    <w:link w:val="BodyTextChar"/>
    <w:rsid w:val="00A00E81"/>
    <w:pPr>
      <w:spacing w:after="0" w:line="240" w:lineRule="auto"/>
    </w:pPr>
    <w:rPr>
      <w:rFonts w:ascii="Tahoma" w:eastAsia="Times New Roman" w:hAnsi="Tahoma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00E81"/>
    <w:rPr>
      <w:rFonts w:ascii="Tahoma" w:eastAsia="Times New Roman" w:hAnsi="Tahoma"/>
      <w:sz w:val="24"/>
    </w:rPr>
  </w:style>
  <w:style w:type="paragraph" w:styleId="BodyText2">
    <w:name w:val="Body Text 2"/>
    <w:basedOn w:val="Normal"/>
    <w:link w:val="BodyText2Char"/>
    <w:rsid w:val="00A00E81"/>
    <w:pPr>
      <w:spacing w:after="0" w:line="240" w:lineRule="auto"/>
    </w:pPr>
    <w:rPr>
      <w:rFonts w:ascii="Tahoma" w:eastAsia="Times New Roman" w:hAnsi="Tahoma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A00E81"/>
    <w:rPr>
      <w:rFonts w:ascii="Tahoma" w:eastAsia="Times New Roman" w:hAnsi="Tahoma"/>
      <w:sz w:val="28"/>
    </w:rPr>
  </w:style>
  <w:style w:type="paragraph" w:styleId="ListParagraph">
    <w:name w:val="List Paragraph"/>
    <w:basedOn w:val="Normal"/>
    <w:qFormat/>
    <w:rsid w:val="004253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3CF"/>
    <w:pPr>
      <w:spacing w:after="200" w:line="276" w:lineRule="auto"/>
    </w:pPr>
    <w:rPr>
      <w:rFonts w:ascii="Arial" w:hAnsi="Arial"/>
      <w:szCs w:val="22"/>
    </w:rPr>
  </w:style>
  <w:style w:type="paragraph" w:styleId="Heading2">
    <w:name w:val="heading 2"/>
    <w:basedOn w:val="Normal"/>
    <w:next w:val="Normal"/>
    <w:link w:val="Heading2Char"/>
    <w:qFormat/>
    <w:rsid w:val="00A00E81"/>
    <w:pPr>
      <w:keepNext/>
      <w:spacing w:after="0" w:line="240" w:lineRule="auto"/>
      <w:outlineLvl w:val="1"/>
    </w:pPr>
    <w:rPr>
      <w:rFonts w:ascii="Tahoma" w:eastAsia="Times New Roman" w:hAnsi="Tahoma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5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E2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E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E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95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950"/>
    <w:rPr>
      <w:sz w:val="22"/>
      <w:szCs w:val="22"/>
    </w:rPr>
  </w:style>
  <w:style w:type="paragraph" w:styleId="NormalWeb">
    <w:name w:val="Normal (Web)"/>
    <w:basedOn w:val="Normal"/>
    <w:unhideWhenUsed/>
    <w:rsid w:val="00B73A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E525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A00E81"/>
    <w:rPr>
      <w:rFonts w:ascii="Tahoma" w:eastAsia="Times New Roman" w:hAnsi="Tahoma"/>
      <w:b/>
      <w:sz w:val="32"/>
    </w:rPr>
  </w:style>
  <w:style w:type="paragraph" w:styleId="BodyText">
    <w:name w:val="Body Text"/>
    <w:basedOn w:val="Normal"/>
    <w:link w:val="BodyTextChar"/>
    <w:rsid w:val="00A00E81"/>
    <w:pPr>
      <w:spacing w:after="0" w:line="240" w:lineRule="auto"/>
    </w:pPr>
    <w:rPr>
      <w:rFonts w:ascii="Tahoma" w:eastAsia="Times New Roman" w:hAnsi="Tahoma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00E81"/>
    <w:rPr>
      <w:rFonts w:ascii="Tahoma" w:eastAsia="Times New Roman" w:hAnsi="Tahoma"/>
      <w:sz w:val="24"/>
    </w:rPr>
  </w:style>
  <w:style w:type="paragraph" w:styleId="BodyText2">
    <w:name w:val="Body Text 2"/>
    <w:basedOn w:val="Normal"/>
    <w:link w:val="BodyText2Char"/>
    <w:rsid w:val="00A00E81"/>
    <w:pPr>
      <w:spacing w:after="0" w:line="240" w:lineRule="auto"/>
    </w:pPr>
    <w:rPr>
      <w:rFonts w:ascii="Tahoma" w:eastAsia="Times New Roman" w:hAnsi="Tahoma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A00E81"/>
    <w:rPr>
      <w:rFonts w:ascii="Tahoma" w:eastAsia="Times New Roman" w:hAnsi="Tahoma"/>
      <w:sz w:val="28"/>
    </w:rPr>
  </w:style>
  <w:style w:type="paragraph" w:styleId="ListParagraph">
    <w:name w:val="List Paragraph"/>
    <w:basedOn w:val="Normal"/>
    <w:qFormat/>
    <w:rsid w:val="0042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Lindros</dc:creator>
  <cp:lastModifiedBy>Windows User</cp:lastModifiedBy>
  <cp:revision>2</cp:revision>
  <cp:lastPrinted>2012-11-28T13:39:00Z</cp:lastPrinted>
  <dcterms:created xsi:type="dcterms:W3CDTF">2015-04-08T22:41:00Z</dcterms:created>
  <dcterms:modified xsi:type="dcterms:W3CDTF">2015-04-08T22:41:00Z</dcterms:modified>
</cp:coreProperties>
</file>