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77" w:rsidRPr="002A0A2C" w:rsidRDefault="008F0A25" w:rsidP="002D0C8E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 xml:space="preserve">You are provided with the following </w:t>
      </w:r>
      <w:r w:rsidR="00A95D51">
        <w:rPr>
          <w:rFonts w:ascii="Arial" w:hAnsi="Arial" w:cs="Arial"/>
          <w:sz w:val="20"/>
          <w:szCs w:val="20"/>
        </w:rPr>
        <w:t xml:space="preserve">list of </w:t>
      </w:r>
      <w:r w:rsidRPr="002A0A2C">
        <w:rPr>
          <w:rFonts w:ascii="Arial" w:hAnsi="Arial" w:cs="Arial"/>
          <w:sz w:val="20"/>
          <w:szCs w:val="20"/>
        </w:rPr>
        <w:t>privileges, roles</w:t>
      </w:r>
      <w:r w:rsidR="003A5C91">
        <w:rPr>
          <w:rFonts w:ascii="Arial" w:hAnsi="Arial" w:cs="Arial"/>
          <w:sz w:val="20"/>
          <w:szCs w:val="20"/>
        </w:rPr>
        <w:t xml:space="preserve">, </w:t>
      </w:r>
      <w:r w:rsidRPr="002A0A2C">
        <w:rPr>
          <w:rFonts w:ascii="Arial" w:hAnsi="Arial" w:cs="Arial"/>
          <w:sz w:val="20"/>
          <w:szCs w:val="20"/>
        </w:rPr>
        <w:t>rights, and actions:</w:t>
      </w:r>
    </w:p>
    <w:p w:rsidR="008F0A25" w:rsidRPr="002A0A2C" w:rsidRDefault="00836CF0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Must authenticate when accessing network resources</w:t>
      </w:r>
    </w:p>
    <w:p w:rsidR="008F0A25" w:rsidRPr="002A0A2C" w:rsidRDefault="00836CF0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Is allowed remote access</w:t>
      </w:r>
    </w:p>
    <w:p w:rsidR="00836CF0" w:rsidRPr="002A0A2C" w:rsidRDefault="00836CF0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Periodically reviews all user accounts</w:t>
      </w:r>
    </w:p>
    <w:p w:rsidR="00925393" w:rsidRPr="002A0A2C" w:rsidRDefault="00925393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Authorizes risk assessments</w:t>
      </w:r>
    </w:p>
    <w:p w:rsidR="002E6646" w:rsidRPr="002A0A2C" w:rsidRDefault="002E6646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Performs security assessments</w:t>
      </w:r>
    </w:p>
    <w:p w:rsidR="0069077E" w:rsidRPr="002A0A2C" w:rsidRDefault="0069077E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Creates group policy objects</w:t>
      </w:r>
    </w:p>
    <w:p w:rsidR="001E79F3" w:rsidRPr="002A0A2C" w:rsidRDefault="001E79F3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May send inbound e-mail</w:t>
      </w:r>
    </w:p>
    <w:p w:rsidR="005B13E9" w:rsidRPr="002A0A2C" w:rsidRDefault="005B13E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Is allowed to install software in a secured network</w:t>
      </w:r>
      <w:r w:rsidR="009C330D">
        <w:rPr>
          <w:rFonts w:ascii="Arial" w:hAnsi="Arial" w:cs="Arial"/>
          <w:sz w:val="20"/>
          <w:szCs w:val="20"/>
        </w:rPr>
        <w:t>The</w:t>
      </w:r>
    </w:p>
    <w:p w:rsidR="006F31C2" w:rsidRPr="002A0A2C" w:rsidRDefault="0090453A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Performs daily log reviews</w:t>
      </w:r>
    </w:p>
    <w:p w:rsidR="00266489" w:rsidRPr="002A0A2C" w:rsidRDefault="0026648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Is allowed to change the firewall rules</w:t>
      </w:r>
    </w:p>
    <w:p w:rsidR="00266489" w:rsidRPr="002A0A2C" w:rsidRDefault="0026648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Manages incident response</w:t>
      </w:r>
    </w:p>
    <w:p w:rsidR="00266489" w:rsidRPr="002A0A2C" w:rsidRDefault="0026648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Provides user awareness training</w:t>
      </w:r>
    </w:p>
    <w:p w:rsidR="00266489" w:rsidRPr="002A0A2C" w:rsidRDefault="0026648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Access the file system within authorized system and groups</w:t>
      </w:r>
    </w:p>
    <w:p w:rsidR="00266489" w:rsidRPr="002A0A2C" w:rsidRDefault="0026648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Develop infrastructure architecture plan</w:t>
      </w:r>
    </w:p>
    <w:p w:rsidR="00886F69" w:rsidRPr="002A0A2C" w:rsidRDefault="00886F6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 xml:space="preserve">Manages </w:t>
      </w:r>
      <w:r w:rsidR="003B654F">
        <w:rPr>
          <w:rFonts w:ascii="Arial" w:hAnsi="Arial" w:cs="Arial"/>
          <w:sz w:val="20"/>
          <w:szCs w:val="20"/>
        </w:rPr>
        <w:t>Internet service provider (</w:t>
      </w:r>
      <w:r w:rsidRPr="003B654F">
        <w:rPr>
          <w:rFonts w:ascii="Arial" w:hAnsi="Arial" w:cs="Arial"/>
          <w:sz w:val="20"/>
          <w:szCs w:val="20"/>
        </w:rPr>
        <w:t>ISP</w:t>
      </w:r>
      <w:r w:rsidR="003B654F">
        <w:rPr>
          <w:rFonts w:ascii="Arial" w:hAnsi="Arial" w:cs="Arial"/>
          <w:sz w:val="20"/>
          <w:szCs w:val="20"/>
        </w:rPr>
        <w:t>)</w:t>
      </w:r>
      <w:r w:rsidRPr="002A0A2C">
        <w:rPr>
          <w:rFonts w:ascii="Arial" w:hAnsi="Arial" w:cs="Arial"/>
          <w:sz w:val="20"/>
          <w:szCs w:val="20"/>
        </w:rPr>
        <w:t xml:space="preserve"> and Internet connectivity</w:t>
      </w:r>
    </w:p>
    <w:p w:rsidR="00266489" w:rsidRPr="002A0A2C" w:rsidRDefault="0026648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Install patches on production system</w:t>
      </w:r>
    </w:p>
    <w:p w:rsidR="00886F69" w:rsidRPr="002A0A2C" w:rsidRDefault="003F1E7B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 delete files f</w:t>
      </w:r>
      <w:r w:rsidR="00886F69" w:rsidRPr="002A0A2C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</w:t>
      </w:r>
      <w:r w:rsidR="00886F69" w:rsidRPr="002A0A2C">
        <w:rPr>
          <w:rFonts w:ascii="Arial" w:hAnsi="Arial" w:cs="Arial"/>
          <w:sz w:val="20"/>
          <w:szCs w:val="20"/>
        </w:rPr>
        <w:t>m group folder</w:t>
      </w:r>
    </w:p>
    <w:p w:rsidR="00886F69" w:rsidRPr="002A0A2C" w:rsidRDefault="00886F6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Installs security software</w:t>
      </w:r>
    </w:p>
    <w:p w:rsidR="00886F69" w:rsidRPr="002A0A2C" w:rsidRDefault="00886F6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Create system users</w:t>
      </w:r>
    </w:p>
    <w:p w:rsidR="00886F69" w:rsidRPr="002A0A2C" w:rsidRDefault="00886F6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Monitors systems for dormant accounts</w:t>
      </w:r>
    </w:p>
    <w:p w:rsidR="00886F69" w:rsidRPr="002A0A2C" w:rsidRDefault="00886F6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May request file system changes</w:t>
      </w:r>
    </w:p>
    <w:p w:rsidR="00886F69" w:rsidRPr="002A0A2C" w:rsidRDefault="00CE21C0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69" w:rsidRPr="002A0A2C">
        <w:rPr>
          <w:rFonts w:ascii="Arial" w:hAnsi="Arial" w:cs="Arial"/>
          <w:sz w:val="20"/>
          <w:szCs w:val="20"/>
        </w:rPr>
        <w:t>evelops and implements configuration standards</w:t>
      </w:r>
    </w:p>
    <w:p w:rsidR="00886F69" w:rsidRPr="002A0A2C" w:rsidRDefault="00886F6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Grants access to resources</w:t>
      </w:r>
    </w:p>
    <w:p w:rsidR="00886F69" w:rsidRPr="002A0A2C" w:rsidRDefault="00886F6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Create user accounts</w:t>
      </w:r>
    </w:p>
    <w:p w:rsidR="00886F69" w:rsidRPr="002A0A2C" w:rsidRDefault="00886F6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May make file system changes</w:t>
      </w:r>
    </w:p>
    <w:p w:rsidR="00886F69" w:rsidRPr="002A0A2C" w:rsidRDefault="00886F6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Run a backup program to capture changes to data and systems</w:t>
      </w:r>
    </w:p>
    <w:p w:rsidR="00886F69" w:rsidRPr="002A0A2C" w:rsidRDefault="00F51FCD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 appoint a data/</w:t>
      </w:r>
      <w:r w:rsidR="00886F69" w:rsidRPr="002A0A2C">
        <w:rPr>
          <w:rFonts w:ascii="Arial" w:hAnsi="Arial" w:cs="Arial"/>
          <w:sz w:val="20"/>
          <w:szCs w:val="20"/>
        </w:rPr>
        <w:t>application custodian</w:t>
      </w:r>
    </w:p>
    <w:p w:rsidR="00886F69" w:rsidRPr="002A0A2C" w:rsidRDefault="00F51FCD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 disable/</w:t>
      </w:r>
      <w:r w:rsidR="00886F69" w:rsidRPr="002A0A2C">
        <w:rPr>
          <w:rFonts w:ascii="Arial" w:hAnsi="Arial" w:cs="Arial"/>
          <w:sz w:val="20"/>
          <w:szCs w:val="20"/>
        </w:rPr>
        <w:t>delete unused accounts</w:t>
      </w:r>
    </w:p>
    <w:p w:rsidR="00886F69" w:rsidRPr="002A0A2C" w:rsidRDefault="00886F6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May bypass authentication</w:t>
      </w:r>
    </w:p>
    <w:p w:rsidR="00886F69" w:rsidRPr="002A0A2C" w:rsidRDefault="00886F69" w:rsidP="002D0C8E"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A0A2C">
        <w:rPr>
          <w:rFonts w:ascii="Arial" w:hAnsi="Arial" w:cs="Arial"/>
          <w:sz w:val="20"/>
          <w:szCs w:val="20"/>
        </w:rPr>
        <w:t>Approves access to resources</w:t>
      </w:r>
    </w:p>
    <w:p w:rsidR="00D328CA" w:rsidRDefault="00D328CA" w:rsidP="00D60F7E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3974B8" w:rsidRDefault="00420C9B" w:rsidP="006E1722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table give</w:t>
      </w:r>
      <w:r w:rsidR="003974B8">
        <w:rPr>
          <w:rFonts w:ascii="Arial" w:hAnsi="Arial" w:cs="Arial"/>
          <w:sz w:val="20"/>
          <w:szCs w:val="20"/>
        </w:rPr>
        <w:t xml:space="preserve">n below, </w:t>
      </w:r>
      <w:r w:rsidR="003A5C91">
        <w:rPr>
          <w:rFonts w:ascii="Arial" w:hAnsi="Arial" w:cs="Arial"/>
          <w:sz w:val="20"/>
          <w:szCs w:val="20"/>
        </w:rPr>
        <w:t xml:space="preserve">you need to relate </w:t>
      </w:r>
      <w:r w:rsidR="003974B8" w:rsidRPr="003974B8">
        <w:rPr>
          <w:rFonts w:ascii="Arial" w:hAnsi="Arial" w:cs="Arial"/>
          <w:sz w:val="20"/>
          <w:szCs w:val="20"/>
        </w:rPr>
        <w:t>the matching privileges, roles, rights</w:t>
      </w:r>
      <w:r w:rsidR="003974B8">
        <w:rPr>
          <w:rFonts w:ascii="Arial" w:hAnsi="Arial" w:cs="Arial"/>
          <w:sz w:val="20"/>
          <w:szCs w:val="20"/>
        </w:rPr>
        <w:t>,</w:t>
      </w:r>
      <w:r w:rsidR="003974B8" w:rsidRPr="003974B8">
        <w:rPr>
          <w:rFonts w:ascii="Arial" w:hAnsi="Arial" w:cs="Arial"/>
          <w:sz w:val="20"/>
          <w:szCs w:val="20"/>
        </w:rPr>
        <w:t xml:space="preserve"> and actions to the account type on the left by writing the </w:t>
      </w:r>
      <w:r w:rsidR="003A5C91">
        <w:rPr>
          <w:rFonts w:ascii="Arial" w:hAnsi="Arial" w:cs="Arial"/>
          <w:sz w:val="20"/>
          <w:szCs w:val="20"/>
        </w:rPr>
        <w:t xml:space="preserve">corresponding </w:t>
      </w:r>
      <w:r w:rsidR="003974B8" w:rsidRPr="003974B8">
        <w:rPr>
          <w:rFonts w:ascii="Arial" w:hAnsi="Arial" w:cs="Arial"/>
          <w:sz w:val="20"/>
          <w:szCs w:val="20"/>
        </w:rPr>
        <w:t xml:space="preserve">number of the </w:t>
      </w:r>
      <w:r w:rsidR="003A5C91" w:rsidRPr="003974B8">
        <w:rPr>
          <w:rFonts w:ascii="Arial" w:hAnsi="Arial" w:cs="Arial"/>
          <w:sz w:val="20"/>
          <w:szCs w:val="20"/>
        </w:rPr>
        <w:t>privileges</w:t>
      </w:r>
      <w:r w:rsidR="003974B8" w:rsidRPr="003974B8">
        <w:rPr>
          <w:rFonts w:ascii="Arial" w:hAnsi="Arial" w:cs="Arial"/>
          <w:sz w:val="20"/>
          <w:szCs w:val="20"/>
        </w:rPr>
        <w:t xml:space="preserve">, </w:t>
      </w:r>
      <w:r w:rsidR="003A5C91" w:rsidRPr="003974B8">
        <w:rPr>
          <w:rFonts w:ascii="Arial" w:hAnsi="Arial" w:cs="Arial"/>
          <w:sz w:val="20"/>
          <w:szCs w:val="20"/>
        </w:rPr>
        <w:t xml:space="preserve">roles, rights, and actions </w:t>
      </w:r>
      <w:r w:rsidR="007D7AF8">
        <w:rPr>
          <w:rFonts w:ascii="Arial" w:hAnsi="Arial" w:cs="Arial"/>
          <w:sz w:val="20"/>
          <w:szCs w:val="20"/>
        </w:rPr>
        <w:t>listed above:</w:t>
      </w:r>
    </w:p>
    <w:p w:rsidR="00710E3F" w:rsidRDefault="00710E3F" w:rsidP="006E1722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710E3F" w:rsidRDefault="00710E3F" w:rsidP="006E1722">
      <w:pPr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8"/>
        <w:gridCol w:w="5702"/>
      </w:tblGrid>
      <w:tr w:rsidR="00F5521B" w:rsidRPr="002505CB" w:rsidTr="00F77A0D">
        <w:trPr>
          <w:trHeight w:val="503"/>
        </w:trPr>
        <w:tc>
          <w:tcPr>
            <w:tcW w:w="3708" w:type="dxa"/>
            <w:shd w:val="clear" w:color="auto" w:fill="004B92"/>
            <w:vAlign w:val="center"/>
          </w:tcPr>
          <w:p w:rsidR="00F5521B" w:rsidRPr="002505CB" w:rsidRDefault="00F5521B" w:rsidP="00B47F9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05CB">
              <w:rPr>
                <w:rFonts w:ascii="Arial" w:hAnsi="Arial" w:cs="Arial"/>
                <w:b/>
                <w:sz w:val="20"/>
                <w:szCs w:val="20"/>
              </w:rPr>
              <w:t>Account Type</w:t>
            </w:r>
          </w:p>
        </w:tc>
        <w:tc>
          <w:tcPr>
            <w:tcW w:w="5868" w:type="dxa"/>
            <w:shd w:val="clear" w:color="auto" w:fill="004B92"/>
            <w:vAlign w:val="center"/>
          </w:tcPr>
          <w:p w:rsidR="00F5521B" w:rsidRPr="002505CB" w:rsidRDefault="00D328CA" w:rsidP="00B47F9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Number </w:t>
            </w:r>
            <w:r w:rsidR="00514969" w:rsidRPr="002505CB">
              <w:rPr>
                <w:rFonts w:ascii="Arial" w:hAnsi="Arial" w:cs="Arial"/>
                <w:b/>
                <w:sz w:val="20"/>
                <w:szCs w:val="20"/>
              </w:rPr>
              <w:t>of the Privileges, Roles, Rights, and Actions</w:t>
            </w:r>
          </w:p>
        </w:tc>
      </w:tr>
      <w:tr w:rsidR="00990C8D" w:rsidRPr="002505CB" w:rsidTr="00283A6B">
        <w:trPr>
          <w:trHeight w:val="720"/>
        </w:trPr>
        <w:tc>
          <w:tcPr>
            <w:tcW w:w="3708" w:type="dxa"/>
            <w:vAlign w:val="center"/>
          </w:tcPr>
          <w:p w:rsidR="00990C8D" w:rsidRPr="002505CB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Network Administrator</w:t>
            </w:r>
          </w:p>
        </w:tc>
        <w:tc>
          <w:tcPr>
            <w:tcW w:w="5868" w:type="dxa"/>
            <w:vAlign w:val="center"/>
          </w:tcPr>
          <w:p w:rsidR="00990C8D" w:rsidRPr="00990C8D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90C8D" w:rsidRPr="002505CB" w:rsidTr="00283A6B">
        <w:trPr>
          <w:trHeight w:val="720"/>
        </w:trPr>
        <w:tc>
          <w:tcPr>
            <w:tcW w:w="3708" w:type="dxa"/>
            <w:vAlign w:val="center"/>
          </w:tcPr>
          <w:p w:rsidR="00990C8D" w:rsidRPr="002505CB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System Owner</w:t>
            </w:r>
          </w:p>
        </w:tc>
        <w:tc>
          <w:tcPr>
            <w:tcW w:w="5868" w:type="dxa"/>
            <w:vAlign w:val="center"/>
          </w:tcPr>
          <w:p w:rsidR="00990C8D" w:rsidRPr="00990C8D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90C8D" w:rsidRPr="002505CB" w:rsidTr="00283A6B">
        <w:trPr>
          <w:trHeight w:val="720"/>
        </w:trPr>
        <w:tc>
          <w:tcPr>
            <w:tcW w:w="3708" w:type="dxa"/>
            <w:vAlign w:val="center"/>
          </w:tcPr>
          <w:p w:rsidR="00990C8D" w:rsidRPr="002505CB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System Administrator</w:t>
            </w:r>
          </w:p>
        </w:tc>
        <w:tc>
          <w:tcPr>
            <w:tcW w:w="5868" w:type="dxa"/>
            <w:vAlign w:val="center"/>
          </w:tcPr>
          <w:p w:rsidR="00990C8D" w:rsidRPr="00990C8D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90C8D" w:rsidRPr="002505CB" w:rsidTr="00283A6B">
        <w:trPr>
          <w:trHeight w:val="720"/>
        </w:trPr>
        <w:tc>
          <w:tcPr>
            <w:tcW w:w="3708" w:type="dxa"/>
            <w:vAlign w:val="center"/>
          </w:tcPr>
          <w:p w:rsidR="00990C8D" w:rsidRPr="002505CB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Application Administrator</w:t>
            </w:r>
          </w:p>
        </w:tc>
        <w:tc>
          <w:tcPr>
            <w:tcW w:w="5868" w:type="dxa"/>
            <w:vAlign w:val="center"/>
          </w:tcPr>
          <w:p w:rsidR="00990C8D" w:rsidRPr="00990C8D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90C8D" w:rsidRPr="002505CB" w:rsidTr="00283A6B">
        <w:trPr>
          <w:trHeight w:val="720"/>
        </w:trPr>
        <w:tc>
          <w:tcPr>
            <w:tcW w:w="3708" w:type="dxa"/>
            <w:vAlign w:val="center"/>
          </w:tcPr>
          <w:p w:rsidR="00990C8D" w:rsidRPr="002505CB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Standard User Account</w:t>
            </w:r>
          </w:p>
        </w:tc>
        <w:tc>
          <w:tcPr>
            <w:tcW w:w="5868" w:type="dxa"/>
            <w:vAlign w:val="center"/>
          </w:tcPr>
          <w:p w:rsidR="00990C8D" w:rsidRPr="00990C8D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90C8D">
              <w:rPr>
                <w:rFonts w:ascii="Arial" w:hAnsi="Arial" w:cs="Arial"/>
                <w:color w:val="FF0000"/>
                <w:sz w:val="20"/>
                <w:szCs w:val="20"/>
              </w:rPr>
              <w:t>1, 7, 13, 16, 21</w:t>
            </w:r>
          </w:p>
        </w:tc>
      </w:tr>
      <w:tr w:rsidR="00990C8D" w:rsidRPr="002505CB" w:rsidTr="00283A6B">
        <w:trPr>
          <w:trHeight w:val="720"/>
        </w:trPr>
        <w:tc>
          <w:tcPr>
            <w:tcW w:w="3708" w:type="dxa"/>
            <w:vAlign w:val="center"/>
          </w:tcPr>
          <w:p w:rsidR="00990C8D" w:rsidRPr="002505CB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Security Manager/CSO/CISO</w:t>
            </w:r>
          </w:p>
        </w:tc>
        <w:tc>
          <w:tcPr>
            <w:tcW w:w="5868" w:type="dxa"/>
            <w:vAlign w:val="center"/>
          </w:tcPr>
          <w:p w:rsidR="00990C8D" w:rsidRPr="00990C8D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90C8D" w:rsidRPr="002505CB" w:rsidTr="00283A6B">
        <w:trPr>
          <w:trHeight w:val="720"/>
        </w:trPr>
        <w:tc>
          <w:tcPr>
            <w:tcW w:w="3708" w:type="dxa"/>
            <w:vAlign w:val="center"/>
          </w:tcPr>
          <w:p w:rsidR="00990C8D" w:rsidRPr="002505CB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Not allowed by network accounts</w:t>
            </w:r>
          </w:p>
        </w:tc>
        <w:tc>
          <w:tcPr>
            <w:tcW w:w="5868" w:type="dxa"/>
            <w:vAlign w:val="center"/>
          </w:tcPr>
          <w:p w:rsidR="00990C8D" w:rsidRPr="00990C8D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90C8D" w:rsidRPr="002505CB" w:rsidTr="00283A6B">
        <w:trPr>
          <w:trHeight w:val="720"/>
        </w:trPr>
        <w:tc>
          <w:tcPr>
            <w:tcW w:w="3708" w:type="dxa"/>
            <w:vAlign w:val="center"/>
          </w:tcPr>
          <w:p w:rsidR="00990C8D" w:rsidRPr="002505CB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Remote/Traveling</w:t>
            </w:r>
          </w:p>
        </w:tc>
        <w:tc>
          <w:tcPr>
            <w:tcW w:w="5868" w:type="dxa"/>
            <w:vAlign w:val="center"/>
          </w:tcPr>
          <w:p w:rsidR="00990C8D" w:rsidRPr="00990C8D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90C8D" w:rsidRPr="002505CB" w:rsidTr="00283A6B">
        <w:trPr>
          <w:trHeight w:val="720"/>
        </w:trPr>
        <w:tc>
          <w:tcPr>
            <w:tcW w:w="3708" w:type="dxa"/>
            <w:vAlign w:val="center"/>
          </w:tcPr>
          <w:p w:rsidR="00990C8D" w:rsidRPr="002505CB" w:rsidRDefault="00990C8D" w:rsidP="00283A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5CB">
              <w:rPr>
                <w:rFonts w:ascii="Arial" w:hAnsi="Arial" w:cs="Arial"/>
                <w:sz w:val="20"/>
                <w:szCs w:val="20"/>
              </w:rPr>
              <w:t>Member of Board of Directors</w:t>
            </w:r>
          </w:p>
        </w:tc>
        <w:tc>
          <w:tcPr>
            <w:tcW w:w="5868" w:type="dxa"/>
            <w:vAlign w:val="center"/>
          </w:tcPr>
          <w:p w:rsidR="00990C8D" w:rsidRPr="00990C8D" w:rsidRDefault="00990C8D" w:rsidP="00B77257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7D7AF8" w:rsidRPr="003974B8" w:rsidRDefault="007D7AF8" w:rsidP="003974B8">
      <w:pPr>
        <w:rPr>
          <w:rFonts w:ascii="Arial" w:hAnsi="Arial" w:cs="Arial"/>
          <w:sz w:val="20"/>
          <w:szCs w:val="20"/>
        </w:rPr>
      </w:pPr>
    </w:p>
    <w:p w:rsidR="00CB14CA" w:rsidRPr="002A0A2C" w:rsidRDefault="00CB14CA" w:rsidP="00CB14CA">
      <w:pPr>
        <w:rPr>
          <w:rFonts w:ascii="Arial" w:hAnsi="Arial" w:cs="Arial"/>
          <w:sz w:val="20"/>
          <w:szCs w:val="20"/>
        </w:rPr>
      </w:pPr>
    </w:p>
    <w:sectPr w:rsidR="00CB14CA" w:rsidRPr="002A0A2C" w:rsidSect="001B4E03">
      <w:headerReference w:type="default" r:id="rId7"/>
      <w:footerReference w:type="default" r:id="rId8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08C" w:rsidRDefault="0029708C" w:rsidP="001B4E03">
      <w:pPr>
        <w:spacing w:after="0" w:line="240" w:lineRule="auto"/>
      </w:pPr>
      <w:r>
        <w:separator/>
      </w:r>
    </w:p>
  </w:endnote>
  <w:endnote w:type="continuationSeparator" w:id="0">
    <w:p w:rsidR="0029708C" w:rsidRDefault="0029708C" w:rsidP="001B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A0D" w:rsidRPr="009F6E9C" w:rsidRDefault="00F77A0D" w:rsidP="00F77A0D">
    <w:pPr>
      <w:pBdr>
        <w:top w:val="single" w:sz="18" w:space="1" w:color="FFC000"/>
      </w:pBdr>
      <w:spacing w:after="0"/>
      <w:rPr>
        <w:rFonts w:ascii="Arial" w:hAnsi="Arial" w:cs="Arial"/>
        <w:color w:val="000000"/>
        <w:sz w:val="18"/>
        <w:szCs w:val="18"/>
      </w:rPr>
    </w:pPr>
    <w:r w:rsidRPr="009F6E9C">
      <w:rPr>
        <w:rFonts w:ascii="Arial" w:hAnsi="Arial" w:cs="Arial"/>
        <w:color w:val="000000"/>
        <w:sz w:val="18"/>
        <w:szCs w:val="18"/>
      </w:rPr>
      <w:t>© 201</w:t>
    </w:r>
    <w:r w:rsidR="004352A6">
      <w:rPr>
        <w:rFonts w:ascii="Arial" w:hAnsi="Arial" w:cs="Arial"/>
        <w:color w:val="000000"/>
        <w:sz w:val="18"/>
        <w:szCs w:val="18"/>
      </w:rPr>
      <w:t>4</w:t>
    </w:r>
    <w:r w:rsidRPr="009F6E9C">
      <w:rPr>
        <w:rFonts w:ascii="Arial" w:hAnsi="Arial" w:cs="Arial"/>
        <w:color w:val="000000"/>
        <w:sz w:val="18"/>
        <w:szCs w:val="18"/>
      </w:rPr>
      <w:t xml:space="preserve"> by Jones &amp; Bartlett Learning, LLC, an Ascend Learning Company. All rights reserved.</w:t>
    </w:r>
  </w:p>
  <w:p w:rsidR="00DD7939" w:rsidRPr="00F77A0D" w:rsidRDefault="00F77A0D" w:rsidP="00F77A0D">
    <w:pPr>
      <w:pStyle w:val="Footer"/>
      <w:spacing w:after="0"/>
      <w:rPr>
        <w:rFonts w:ascii="Cambria" w:hAnsi="Cambria"/>
        <w:color w:val="808080" w:themeColor="background1" w:themeShade="80"/>
        <w:sz w:val="18"/>
      </w:rPr>
    </w:pPr>
    <w:r w:rsidRPr="00E60A2C">
      <w:rPr>
        <w:rFonts w:ascii="Arial" w:hAnsi="Arial"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ascii="Arial" w:hAnsi="Arial" w:cs="Arial"/>
        <w:i/>
        <w:iCs/>
        <w:sz w:val="18"/>
        <w:szCs w:val="18"/>
      </w:rPr>
      <w:tab/>
    </w:r>
    <w:r>
      <w:rPr>
        <w:rFonts w:ascii="Arial" w:hAnsi="Arial" w:cs="Arial"/>
        <w:i/>
        <w:iCs/>
        <w:sz w:val="18"/>
        <w:szCs w:val="18"/>
      </w:rPr>
      <w:tab/>
    </w:r>
    <w:r w:rsidRPr="00C60244">
      <w:rPr>
        <w:rFonts w:ascii="Arial" w:hAnsi="Arial" w:cs="Arial"/>
        <w:iCs/>
        <w:sz w:val="18"/>
        <w:szCs w:val="18"/>
      </w:rPr>
      <w:t xml:space="preserve">Page </w:t>
    </w:r>
    <w:r w:rsidRPr="00C60244">
      <w:rPr>
        <w:rFonts w:ascii="Arial" w:hAnsi="Arial" w:cs="Arial"/>
        <w:iCs/>
        <w:sz w:val="18"/>
        <w:szCs w:val="18"/>
      </w:rPr>
      <w:fldChar w:fldCharType="begin"/>
    </w:r>
    <w:r w:rsidRPr="00C60244">
      <w:rPr>
        <w:rFonts w:ascii="Arial" w:hAnsi="Arial" w:cs="Arial"/>
        <w:iCs/>
        <w:sz w:val="18"/>
        <w:szCs w:val="18"/>
      </w:rPr>
      <w:instrText xml:space="preserve"> PAGE   \* MERGEFORMAT </w:instrText>
    </w:r>
    <w:r w:rsidRPr="00C60244">
      <w:rPr>
        <w:rFonts w:ascii="Arial" w:hAnsi="Arial" w:cs="Arial"/>
        <w:iCs/>
        <w:sz w:val="18"/>
        <w:szCs w:val="18"/>
      </w:rPr>
      <w:fldChar w:fldCharType="separate"/>
    </w:r>
    <w:r w:rsidR="00B77257">
      <w:rPr>
        <w:rFonts w:ascii="Arial" w:hAnsi="Arial" w:cs="Arial"/>
        <w:iCs/>
        <w:noProof/>
        <w:sz w:val="18"/>
        <w:szCs w:val="18"/>
      </w:rPr>
      <w:t>2</w:t>
    </w:r>
    <w:r w:rsidRPr="00C60244">
      <w:rPr>
        <w:rFonts w:ascii="Arial" w:hAnsi="Arial" w:cs="Arial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08C" w:rsidRDefault="0029708C" w:rsidP="001B4E03">
      <w:pPr>
        <w:spacing w:after="0" w:line="240" w:lineRule="auto"/>
      </w:pPr>
      <w:r>
        <w:separator/>
      </w:r>
    </w:p>
  </w:footnote>
  <w:footnote w:type="continuationSeparator" w:id="0">
    <w:p w:rsidR="0029708C" w:rsidRDefault="0029708C" w:rsidP="001B4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4"/>
      <w:gridCol w:w="7006"/>
    </w:tblGrid>
    <w:tr w:rsidR="00F77A0D" w:rsidRPr="009158E2" w:rsidTr="00283A6B">
      <w:trPr>
        <w:trHeight w:hRule="exact" w:val="1080"/>
      </w:trPr>
      <w:tc>
        <w:tcPr>
          <w:tcW w:w="2361" w:type="dxa"/>
        </w:tcPr>
        <w:p w:rsidR="00F77A0D" w:rsidRDefault="00F77A0D" w:rsidP="00283A6B">
          <w:pPr>
            <w:pStyle w:val="Header"/>
            <w:spacing w:after="120" w:line="240" w:lineRule="auto"/>
            <w:rPr>
              <w:rFonts w:ascii="Cambria" w:hAnsi="Cambria" w:cs="Cambria"/>
              <w:color w:val="000000"/>
              <w:sz w:val="32"/>
              <w:szCs w:val="32"/>
            </w:rPr>
          </w:pPr>
          <w:r w:rsidRPr="002E7FEA">
            <w:rPr>
              <w:i/>
              <w:noProof/>
            </w:rPr>
            <w:drawing>
              <wp:anchor distT="0" distB="0" distL="0" distR="274320" simplePos="0" relativeHeight="251658240" behindDoc="0" locked="0" layoutInCell="1" allowOverlap="1" wp14:anchorId="5DF5AB16" wp14:editId="34B14282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15" w:type="dxa"/>
          <w:vAlign w:val="bottom"/>
        </w:tcPr>
        <w:p w:rsidR="00F77A0D" w:rsidRPr="009158E2" w:rsidRDefault="00F77A0D" w:rsidP="00283A6B">
          <w:pPr>
            <w:pStyle w:val="Header"/>
            <w:spacing w:after="120" w:line="240" w:lineRule="auto"/>
            <w:rPr>
              <w:rFonts w:ascii="Arial" w:hAnsi="Arial" w:cs="Arial"/>
              <w:color w:val="004B91"/>
              <w:sz w:val="30"/>
              <w:szCs w:val="30"/>
            </w:rPr>
          </w:pPr>
          <w:r w:rsidRPr="00F77A0D">
            <w:rPr>
              <w:rFonts w:ascii="Arial" w:hAnsi="Arial" w:cs="Arial"/>
              <w:color w:val="004B91"/>
              <w:sz w:val="30"/>
              <w:szCs w:val="30"/>
            </w:rPr>
            <w:t>Aligning Account Types and Privileges</w:t>
          </w:r>
          <w:r w:rsidR="00990C8D">
            <w:rPr>
              <w:rFonts w:ascii="Arial" w:hAnsi="Arial" w:cs="Arial"/>
              <w:color w:val="004B91"/>
              <w:sz w:val="30"/>
              <w:szCs w:val="30"/>
            </w:rPr>
            <w:t xml:space="preserve"> Answer Key</w:t>
          </w:r>
        </w:p>
      </w:tc>
    </w:tr>
  </w:tbl>
  <w:p w:rsidR="00B73A6E" w:rsidRPr="00F77A0D" w:rsidRDefault="00B73A6E" w:rsidP="00F77A0D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3F84"/>
    <w:multiLevelType w:val="hybridMultilevel"/>
    <w:tmpl w:val="FE6AD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D2122"/>
    <w:multiLevelType w:val="hybridMultilevel"/>
    <w:tmpl w:val="8D8A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540DA"/>
    <w:multiLevelType w:val="hybridMultilevel"/>
    <w:tmpl w:val="59989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5520D"/>
    <w:multiLevelType w:val="hybridMultilevel"/>
    <w:tmpl w:val="07E6613C"/>
    <w:lvl w:ilvl="0" w:tplc="CA92D1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784E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09B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4D5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3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B60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A4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C84D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621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E3DF0"/>
    <w:multiLevelType w:val="hybridMultilevel"/>
    <w:tmpl w:val="ADBA2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2D"/>
    <w:rsid w:val="000162ED"/>
    <w:rsid w:val="000A0B1F"/>
    <w:rsid w:val="000A685F"/>
    <w:rsid w:val="000D53BF"/>
    <w:rsid w:val="000F4B13"/>
    <w:rsid w:val="00130B3D"/>
    <w:rsid w:val="00141E42"/>
    <w:rsid w:val="00145922"/>
    <w:rsid w:val="001706BA"/>
    <w:rsid w:val="001B4E03"/>
    <w:rsid w:val="001C2431"/>
    <w:rsid w:val="001C7138"/>
    <w:rsid w:val="001C7C0D"/>
    <w:rsid w:val="001E5CA2"/>
    <w:rsid w:val="001E79F3"/>
    <w:rsid w:val="0023153A"/>
    <w:rsid w:val="00247E26"/>
    <w:rsid w:val="002505CB"/>
    <w:rsid w:val="002538C5"/>
    <w:rsid w:val="00266489"/>
    <w:rsid w:val="0029708C"/>
    <w:rsid w:val="002A0A2C"/>
    <w:rsid w:val="002A2535"/>
    <w:rsid w:val="002B426F"/>
    <w:rsid w:val="002D0C8E"/>
    <w:rsid w:val="002E6646"/>
    <w:rsid w:val="00322C89"/>
    <w:rsid w:val="00331A74"/>
    <w:rsid w:val="00333A55"/>
    <w:rsid w:val="003438FC"/>
    <w:rsid w:val="00363352"/>
    <w:rsid w:val="0037637B"/>
    <w:rsid w:val="00376751"/>
    <w:rsid w:val="003974B8"/>
    <w:rsid w:val="003A5C91"/>
    <w:rsid w:val="003B654F"/>
    <w:rsid w:val="003F1E7B"/>
    <w:rsid w:val="00420C9B"/>
    <w:rsid w:val="004352A6"/>
    <w:rsid w:val="004C25A7"/>
    <w:rsid w:val="004D7BD2"/>
    <w:rsid w:val="00514969"/>
    <w:rsid w:val="00525BF8"/>
    <w:rsid w:val="00596CDD"/>
    <w:rsid w:val="005A5DE7"/>
    <w:rsid w:val="005B13E9"/>
    <w:rsid w:val="005E40F1"/>
    <w:rsid w:val="00615523"/>
    <w:rsid w:val="0061778C"/>
    <w:rsid w:val="00640FA2"/>
    <w:rsid w:val="00646D68"/>
    <w:rsid w:val="00664FE3"/>
    <w:rsid w:val="00670B00"/>
    <w:rsid w:val="0069077E"/>
    <w:rsid w:val="006A0D31"/>
    <w:rsid w:val="006D5301"/>
    <w:rsid w:val="006E1722"/>
    <w:rsid w:val="006F31C2"/>
    <w:rsid w:val="00710E3F"/>
    <w:rsid w:val="007231D6"/>
    <w:rsid w:val="00767F3D"/>
    <w:rsid w:val="00772850"/>
    <w:rsid w:val="007C2406"/>
    <w:rsid w:val="007C6292"/>
    <w:rsid w:val="007D7AF8"/>
    <w:rsid w:val="007F29B2"/>
    <w:rsid w:val="00805FE5"/>
    <w:rsid w:val="00836359"/>
    <w:rsid w:val="00836CF0"/>
    <w:rsid w:val="00886F69"/>
    <w:rsid w:val="008919EA"/>
    <w:rsid w:val="008A407E"/>
    <w:rsid w:val="008A7E9D"/>
    <w:rsid w:val="008F0A25"/>
    <w:rsid w:val="00900DF3"/>
    <w:rsid w:val="0090453A"/>
    <w:rsid w:val="00925393"/>
    <w:rsid w:val="00940A0C"/>
    <w:rsid w:val="0098119F"/>
    <w:rsid w:val="00990C8D"/>
    <w:rsid w:val="009972C2"/>
    <w:rsid w:val="009B202D"/>
    <w:rsid w:val="009C330D"/>
    <w:rsid w:val="009D5F43"/>
    <w:rsid w:val="00A368E3"/>
    <w:rsid w:val="00A62213"/>
    <w:rsid w:val="00A6720A"/>
    <w:rsid w:val="00A70E43"/>
    <w:rsid w:val="00A84350"/>
    <w:rsid w:val="00A93D6F"/>
    <w:rsid w:val="00A95D51"/>
    <w:rsid w:val="00AA4A11"/>
    <w:rsid w:val="00AE289F"/>
    <w:rsid w:val="00B22122"/>
    <w:rsid w:val="00B47F9E"/>
    <w:rsid w:val="00B73A6E"/>
    <w:rsid w:val="00B77257"/>
    <w:rsid w:val="00B84CF6"/>
    <w:rsid w:val="00BC04B3"/>
    <w:rsid w:val="00BD640B"/>
    <w:rsid w:val="00BE7D56"/>
    <w:rsid w:val="00C13E36"/>
    <w:rsid w:val="00C4710C"/>
    <w:rsid w:val="00C5495A"/>
    <w:rsid w:val="00C65C2D"/>
    <w:rsid w:val="00CB14CA"/>
    <w:rsid w:val="00CE21C0"/>
    <w:rsid w:val="00D1634A"/>
    <w:rsid w:val="00D328CA"/>
    <w:rsid w:val="00D60F7E"/>
    <w:rsid w:val="00D667DD"/>
    <w:rsid w:val="00DA085E"/>
    <w:rsid w:val="00DB48EE"/>
    <w:rsid w:val="00DD7939"/>
    <w:rsid w:val="00E52577"/>
    <w:rsid w:val="00E551EC"/>
    <w:rsid w:val="00E60637"/>
    <w:rsid w:val="00E60BE8"/>
    <w:rsid w:val="00E71B50"/>
    <w:rsid w:val="00F06B8C"/>
    <w:rsid w:val="00F12026"/>
    <w:rsid w:val="00F51FCD"/>
    <w:rsid w:val="00F5521B"/>
    <w:rsid w:val="00F77A0D"/>
    <w:rsid w:val="00F8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249F79-B138-43D4-9C47-8C792F50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4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5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E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E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E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95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950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73A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E525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Lindros</dc:creator>
  <cp:lastModifiedBy>John McGaha</cp:lastModifiedBy>
  <cp:revision>5</cp:revision>
  <dcterms:created xsi:type="dcterms:W3CDTF">2016-01-19T17:09:00Z</dcterms:created>
  <dcterms:modified xsi:type="dcterms:W3CDTF">2016-01-19T17:12:00Z</dcterms:modified>
</cp:coreProperties>
</file>