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F8" w:rsidRPr="00902CF8" w:rsidRDefault="00E31EFD" w:rsidP="00E31EFD">
      <w:pPr>
        <w:spacing w:after="0"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E31EFD">
        <w:rPr>
          <w:rFonts w:ascii="Arial" w:hAnsi="Arial" w:cs="Arial"/>
          <w:sz w:val="20"/>
          <w:szCs w:val="20"/>
        </w:rPr>
        <w:t>Implementing multiple layers in security is providing a defense-in-depth mechanism</w:t>
      </w:r>
      <w:r w:rsidR="00DE36E5">
        <w:rPr>
          <w:rFonts w:ascii="Arial" w:hAnsi="Arial" w:cs="Arial"/>
          <w:sz w:val="20"/>
          <w:szCs w:val="20"/>
        </w:rPr>
        <w:t xml:space="preserve"> </w:t>
      </w:r>
      <w:r w:rsidRPr="00E31EFD">
        <w:rPr>
          <w:rFonts w:ascii="Arial" w:hAnsi="Arial" w:cs="Arial"/>
          <w:sz w:val="20"/>
          <w:szCs w:val="20"/>
        </w:rPr>
        <w:t>and therefore stronger protection for the network and users. Multiple layers provide</w:t>
      </w:r>
      <w:r w:rsidR="00DE36E5">
        <w:rPr>
          <w:rFonts w:ascii="Arial" w:hAnsi="Arial" w:cs="Arial"/>
          <w:sz w:val="20"/>
          <w:szCs w:val="20"/>
        </w:rPr>
        <w:t xml:space="preserve"> </w:t>
      </w:r>
      <w:r w:rsidRPr="00E31EFD">
        <w:rPr>
          <w:rFonts w:ascii="Arial" w:hAnsi="Arial" w:cs="Arial"/>
          <w:sz w:val="20"/>
          <w:szCs w:val="20"/>
        </w:rPr>
        <w:t>multiple road blocks for a user and attacker. Having multiple controls in place before</w:t>
      </w:r>
      <w:r w:rsidR="00DE36E5">
        <w:rPr>
          <w:rFonts w:ascii="Arial" w:hAnsi="Arial" w:cs="Arial"/>
          <w:sz w:val="20"/>
          <w:szCs w:val="20"/>
        </w:rPr>
        <w:t xml:space="preserve"> </w:t>
      </w:r>
      <w:r w:rsidRPr="00E31EFD">
        <w:rPr>
          <w:rFonts w:ascii="Arial" w:hAnsi="Arial" w:cs="Arial"/>
          <w:sz w:val="20"/>
          <w:szCs w:val="20"/>
        </w:rPr>
        <w:t>something can be accessed may be tiresome for a user; however, the goal is to have</w:t>
      </w:r>
      <w:r w:rsidR="00DE36E5">
        <w:rPr>
          <w:rFonts w:ascii="Arial" w:hAnsi="Arial" w:cs="Arial"/>
          <w:sz w:val="20"/>
          <w:szCs w:val="20"/>
        </w:rPr>
        <w:t xml:space="preserve"> </w:t>
      </w:r>
      <w:r w:rsidRPr="00E31EFD">
        <w:rPr>
          <w:rFonts w:ascii="Arial" w:hAnsi="Arial" w:cs="Arial"/>
          <w:sz w:val="20"/>
          <w:szCs w:val="20"/>
        </w:rPr>
        <w:t>the same effect on an attacker. If an attacker is able to find a hole and access a company’s</w:t>
      </w:r>
      <w:r w:rsidR="00DE36E5">
        <w:rPr>
          <w:rFonts w:ascii="Arial" w:hAnsi="Arial" w:cs="Arial"/>
          <w:sz w:val="20"/>
          <w:szCs w:val="20"/>
        </w:rPr>
        <w:t xml:space="preserve"> </w:t>
      </w:r>
      <w:r w:rsidRPr="00E31EFD">
        <w:rPr>
          <w:rFonts w:ascii="Arial" w:hAnsi="Arial" w:cs="Arial"/>
          <w:sz w:val="20"/>
          <w:szCs w:val="20"/>
        </w:rPr>
        <w:t>network, additional layers of security might stop the attacker from reaching other</w:t>
      </w:r>
      <w:r w:rsidR="00DE36E5">
        <w:rPr>
          <w:rFonts w:ascii="Arial" w:hAnsi="Arial" w:cs="Arial"/>
          <w:sz w:val="20"/>
          <w:szCs w:val="20"/>
        </w:rPr>
        <w:t xml:space="preserve"> </w:t>
      </w:r>
      <w:r w:rsidRPr="00E31EFD">
        <w:rPr>
          <w:rFonts w:ascii="Arial" w:hAnsi="Arial" w:cs="Arial"/>
          <w:sz w:val="20"/>
          <w:szCs w:val="20"/>
        </w:rPr>
        <w:t>systems, applications, or sensitive data.</w:t>
      </w:r>
    </w:p>
    <w:p w:rsidR="00971D5A" w:rsidRDefault="00971D5A" w:rsidP="00902CF8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AE289F" w:rsidRDefault="00902CF8" w:rsidP="00902CF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02CF8">
        <w:rPr>
          <w:rFonts w:ascii="Arial" w:hAnsi="Arial" w:cs="Arial"/>
          <w:sz w:val="20"/>
          <w:szCs w:val="20"/>
        </w:rPr>
        <w:t xml:space="preserve">In this </w:t>
      </w:r>
      <w:r>
        <w:rPr>
          <w:rFonts w:ascii="Arial" w:hAnsi="Arial" w:cs="Arial"/>
          <w:sz w:val="20"/>
          <w:szCs w:val="20"/>
        </w:rPr>
        <w:t>exercise</w:t>
      </w:r>
      <w:r w:rsidRPr="00902CF8">
        <w:rPr>
          <w:rFonts w:ascii="Arial" w:hAnsi="Arial" w:cs="Arial"/>
          <w:sz w:val="20"/>
          <w:szCs w:val="20"/>
        </w:rPr>
        <w:t xml:space="preserve">, you will learn </w:t>
      </w:r>
      <w:r>
        <w:rPr>
          <w:rFonts w:ascii="Arial" w:hAnsi="Arial" w:cs="Arial"/>
          <w:sz w:val="20"/>
          <w:szCs w:val="20"/>
        </w:rPr>
        <w:t>about</w:t>
      </w:r>
      <w:r w:rsidR="00DE36E5">
        <w:rPr>
          <w:rFonts w:ascii="Arial" w:hAnsi="Arial" w:cs="Arial"/>
          <w:sz w:val="20"/>
          <w:szCs w:val="20"/>
        </w:rPr>
        <w:t xml:space="preserve"> c</w:t>
      </w:r>
      <w:r w:rsidR="00DE36E5" w:rsidRPr="00DE36E5">
        <w:rPr>
          <w:rFonts w:ascii="Arial" w:hAnsi="Arial" w:cs="Arial"/>
          <w:sz w:val="20"/>
          <w:szCs w:val="20"/>
        </w:rPr>
        <w:t>reating layers within the network</w:t>
      </w:r>
      <w:r>
        <w:rPr>
          <w:rFonts w:ascii="Arial" w:hAnsi="Arial" w:cs="Arial"/>
          <w:sz w:val="20"/>
          <w:szCs w:val="20"/>
        </w:rPr>
        <w:t>.</w:t>
      </w:r>
      <w:r w:rsidR="002B64FF">
        <w:rPr>
          <w:rFonts w:ascii="Arial" w:hAnsi="Arial" w:cs="Arial"/>
          <w:sz w:val="20"/>
          <w:szCs w:val="20"/>
        </w:rPr>
        <w:t xml:space="preserve"> </w:t>
      </w:r>
    </w:p>
    <w:p w:rsidR="00DE36E5" w:rsidRDefault="00DE36E5" w:rsidP="00902CF8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DE36E5" w:rsidRDefault="00DE36E5" w:rsidP="008864C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the table:</w:t>
      </w:r>
    </w:p>
    <w:p w:rsidR="00971D5A" w:rsidRDefault="00971D5A" w:rsidP="00DE36E5">
      <w:pPr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3547"/>
        <w:gridCol w:w="3941"/>
      </w:tblGrid>
      <w:tr w:rsidR="00902CF8" w:rsidRPr="007C6292" w:rsidTr="00596575">
        <w:trPr>
          <w:trHeight w:val="647"/>
        </w:trPr>
        <w:tc>
          <w:tcPr>
            <w:tcW w:w="1090" w:type="pct"/>
            <w:shd w:val="clear" w:color="auto" w:fill="004B92"/>
            <w:vAlign w:val="center"/>
          </w:tcPr>
          <w:p w:rsidR="00902CF8" w:rsidRPr="007C6292" w:rsidRDefault="00DE36E5" w:rsidP="0059657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Access </w:t>
            </w:r>
            <w:r w:rsidR="00596575"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ontrol </w:t>
            </w:r>
            <w:r w:rsidR="00596575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902CF8">
              <w:rPr>
                <w:rFonts w:ascii="Arial" w:hAnsi="Arial" w:cs="Arial"/>
                <w:b/>
                <w:sz w:val="20"/>
                <w:szCs w:val="20"/>
              </w:rPr>
              <w:t>ethod</w:t>
            </w:r>
          </w:p>
        </w:tc>
        <w:tc>
          <w:tcPr>
            <w:tcW w:w="1852" w:type="pct"/>
            <w:shd w:val="clear" w:color="auto" w:fill="004B92"/>
            <w:vAlign w:val="center"/>
          </w:tcPr>
          <w:p w:rsidR="00902CF8" w:rsidRPr="007C6292" w:rsidRDefault="002B64FF" w:rsidP="0059657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64FF">
              <w:rPr>
                <w:rFonts w:ascii="Arial" w:hAnsi="Arial" w:cs="Arial"/>
                <w:b/>
                <w:sz w:val="20"/>
                <w:szCs w:val="20"/>
              </w:rPr>
              <w:t>Implement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ation </w:t>
            </w:r>
            <w:r w:rsidR="00596575">
              <w:rPr>
                <w:rFonts w:ascii="Arial" w:hAnsi="Arial" w:cs="Arial"/>
                <w:b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</w:rPr>
              <w:t>ethod(s)</w:t>
            </w:r>
          </w:p>
        </w:tc>
        <w:tc>
          <w:tcPr>
            <w:tcW w:w="2058" w:type="pct"/>
            <w:shd w:val="clear" w:color="auto" w:fill="004B92"/>
            <w:vAlign w:val="center"/>
          </w:tcPr>
          <w:p w:rsidR="00902CF8" w:rsidRPr="007C6292" w:rsidRDefault="002B64FF" w:rsidP="0059657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How </w:t>
            </w:r>
            <w:r w:rsidR="00596575">
              <w:rPr>
                <w:rFonts w:ascii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 </w:t>
            </w:r>
            <w:r w:rsidR="00596575">
              <w:rPr>
                <w:rFonts w:ascii="Arial" w:hAnsi="Arial" w:cs="Arial"/>
                <w:b/>
                <w:sz w:val="20"/>
                <w:szCs w:val="20"/>
              </w:rPr>
              <w:t>B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enefits </w:t>
            </w:r>
            <w:r w:rsidR="00596575">
              <w:rPr>
                <w:rFonts w:ascii="Arial" w:hAnsi="Arial" w:cs="Arial"/>
                <w:b/>
                <w:sz w:val="20"/>
                <w:szCs w:val="20"/>
              </w:rPr>
              <w:t>Multilayered</w:t>
            </w:r>
            <w:r w:rsidR="00596575">
              <w:rPr>
                <w:rFonts w:ascii="Arial" w:hAnsi="Arial" w:cs="Arial"/>
                <w:b/>
                <w:sz w:val="20"/>
                <w:szCs w:val="20"/>
              </w:rPr>
              <w:br/>
              <w:t>A</w:t>
            </w:r>
            <w:r w:rsidRPr="002B64FF">
              <w:rPr>
                <w:rFonts w:ascii="Arial" w:hAnsi="Arial" w:cs="Arial"/>
                <w:b/>
                <w:sz w:val="20"/>
                <w:szCs w:val="20"/>
              </w:rPr>
              <w:t xml:space="preserve">ccess </w:t>
            </w:r>
            <w:r w:rsidR="00596575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2B64FF">
              <w:rPr>
                <w:rFonts w:ascii="Arial" w:hAnsi="Arial" w:cs="Arial"/>
                <w:b/>
                <w:sz w:val="20"/>
                <w:szCs w:val="20"/>
              </w:rPr>
              <w:t>ontrol</w:t>
            </w:r>
          </w:p>
        </w:tc>
      </w:tr>
      <w:tr w:rsidR="00902CF8" w:rsidRPr="007C6292" w:rsidTr="00971D5A">
        <w:trPr>
          <w:trHeight w:val="1080"/>
        </w:trPr>
        <w:tc>
          <w:tcPr>
            <w:tcW w:w="1090" w:type="pct"/>
            <w:vAlign w:val="center"/>
          </w:tcPr>
          <w:p w:rsidR="00E37DEA" w:rsidRPr="002B64FF" w:rsidRDefault="004B475E" w:rsidP="00971D5A">
            <w:pPr>
              <w:spacing w:after="0" w:line="240" w:lineRule="auto"/>
              <w:rPr>
                <w:rFonts w:ascii="Frutiger-BlackCn" w:hAnsi="Frutiger-BlackCn" w:cs="Frutiger-BlackCn"/>
                <w:sz w:val="20"/>
                <w:szCs w:val="20"/>
              </w:rPr>
            </w:pPr>
            <w:r w:rsidRPr="00DE36E5">
              <w:rPr>
                <w:rFonts w:ascii="Frutiger-BlackCn" w:hAnsi="Frutiger-BlackCn" w:cs="Frutiger-BlackCn"/>
                <w:sz w:val="20"/>
                <w:szCs w:val="20"/>
              </w:rPr>
              <w:t xml:space="preserve">User Access Control Profiles </w:t>
            </w:r>
          </w:p>
        </w:tc>
        <w:tc>
          <w:tcPr>
            <w:tcW w:w="1852" w:type="pct"/>
            <w:vAlign w:val="center"/>
          </w:tcPr>
          <w:p w:rsidR="00902CF8" w:rsidRPr="007C6292" w:rsidRDefault="00902CF8" w:rsidP="00971D5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8" w:type="pct"/>
            <w:vAlign w:val="center"/>
          </w:tcPr>
          <w:p w:rsidR="00902CF8" w:rsidRPr="007C6292" w:rsidRDefault="00902CF8" w:rsidP="00971D5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2CF8" w:rsidRPr="007C6292" w:rsidTr="00971D5A">
        <w:trPr>
          <w:trHeight w:val="1080"/>
        </w:trPr>
        <w:tc>
          <w:tcPr>
            <w:tcW w:w="1090" w:type="pct"/>
            <w:vAlign w:val="center"/>
          </w:tcPr>
          <w:p w:rsidR="00E37DEA" w:rsidRPr="00971D5A" w:rsidRDefault="00DE36E5" w:rsidP="00971D5A">
            <w:pPr>
              <w:spacing w:after="0" w:line="240" w:lineRule="auto"/>
              <w:rPr>
                <w:rFonts w:ascii="Frutiger-BlackCn" w:hAnsi="Frutiger-BlackCn" w:cs="Frutiger-BlackCn"/>
                <w:sz w:val="20"/>
                <w:szCs w:val="20"/>
              </w:rPr>
            </w:pPr>
            <w:r w:rsidRPr="00DE36E5">
              <w:rPr>
                <w:rFonts w:ascii="Frutiger-BlackCn" w:hAnsi="Frutiger-BlackCn" w:cs="Frutiger-BlackCn"/>
                <w:sz w:val="20"/>
                <w:szCs w:val="20"/>
              </w:rPr>
              <w:t xml:space="preserve">Systems Access </w:t>
            </w:r>
          </w:p>
        </w:tc>
        <w:tc>
          <w:tcPr>
            <w:tcW w:w="1852" w:type="pct"/>
            <w:vAlign w:val="center"/>
          </w:tcPr>
          <w:p w:rsidR="00902CF8" w:rsidRPr="007C6292" w:rsidRDefault="00902CF8" w:rsidP="00971D5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8" w:type="pct"/>
            <w:vAlign w:val="center"/>
          </w:tcPr>
          <w:p w:rsidR="00902CF8" w:rsidRPr="007C6292" w:rsidRDefault="00902CF8" w:rsidP="00971D5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2CF8" w:rsidRPr="007C6292" w:rsidTr="00971D5A">
        <w:trPr>
          <w:trHeight w:val="1080"/>
        </w:trPr>
        <w:tc>
          <w:tcPr>
            <w:tcW w:w="1090" w:type="pct"/>
            <w:vAlign w:val="center"/>
          </w:tcPr>
          <w:p w:rsidR="002B64FF" w:rsidRPr="00971D5A" w:rsidRDefault="00DE36E5" w:rsidP="00971D5A">
            <w:pPr>
              <w:spacing w:after="0" w:line="240" w:lineRule="auto"/>
              <w:rPr>
                <w:rFonts w:ascii="Frutiger-BlackCn" w:hAnsi="Frutiger-BlackCn" w:cs="Frutiger-BlackCn"/>
                <w:sz w:val="20"/>
                <w:szCs w:val="20"/>
              </w:rPr>
            </w:pPr>
            <w:r w:rsidRPr="00DE36E5">
              <w:rPr>
                <w:rFonts w:ascii="Frutiger-BlackCn" w:hAnsi="Frutiger-BlackCn" w:cs="Frutiger-BlackCn"/>
                <w:sz w:val="20"/>
                <w:szCs w:val="20"/>
              </w:rPr>
              <w:t>Applications</w:t>
            </w:r>
            <w:r w:rsidRPr="007C62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6E5">
              <w:rPr>
                <w:rFonts w:ascii="Frutiger-BlackCn" w:hAnsi="Frutiger-BlackCn" w:cs="Frutiger-BlackCn"/>
                <w:sz w:val="20"/>
                <w:szCs w:val="20"/>
              </w:rPr>
              <w:t>Access</w:t>
            </w:r>
          </w:p>
        </w:tc>
        <w:tc>
          <w:tcPr>
            <w:tcW w:w="1852" w:type="pct"/>
            <w:vAlign w:val="center"/>
          </w:tcPr>
          <w:p w:rsidR="00902CF8" w:rsidRPr="007C6292" w:rsidRDefault="00902CF8" w:rsidP="00971D5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8" w:type="pct"/>
            <w:vAlign w:val="center"/>
          </w:tcPr>
          <w:p w:rsidR="00902CF8" w:rsidRPr="007C6292" w:rsidRDefault="00902CF8" w:rsidP="00971D5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2CF8" w:rsidRPr="007C6292" w:rsidTr="00971D5A">
        <w:trPr>
          <w:trHeight w:val="1080"/>
        </w:trPr>
        <w:tc>
          <w:tcPr>
            <w:tcW w:w="1090" w:type="pct"/>
            <w:vAlign w:val="center"/>
          </w:tcPr>
          <w:p w:rsidR="00E37DEA" w:rsidRPr="002B64FF" w:rsidRDefault="00DE36E5" w:rsidP="00971D5A">
            <w:pPr>
              <w:spacing w:after="0" w:line="240" w:lineRule="auto"/>
              <w:rPr>
                <w:rFonts w:ascii="Frutiger-BlackCn" w:hAnsi="Frutiger-BlackCn" w:cs="Frutiger-BlackCn"/>
                <w:sz w:val="20"/>
                <w:szCs w:val="20"/>
              </w:rPr>
            </w:pPr>
            <w:r w:rsidRPr="00DE36E5">
              <w:rPr>
                <w:rFonts w:ascii="Frutiger-BlackCn" w:hAnsi="Frutiger-BlackCn" w:cs="Frutiger-BlackCn"/>
                <w:sz w:val="20"/>
                <w:szCs w:val="20"/>
              </w:rPr>
              <w:t xml:space="preserve">File and Folder Access </w:t>
            </w:r>
          </w:p>
        </w:tc>
        <w:tc>
          <w:tcPr>
            <w:tcW w:w="1852" w:type="pct"/>
            <w:vAlign w:val="center"/>
          </w:tcPr>
          <w:p w:rsidR="00902CF8" w:rsidRPr="007C6292" w:rsidRDefault="00902CF8" w:rsidP="00971D5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8" w:type="pct"/>
            <w:vAlign w:val="center"/>
          </w:tcPr>
          <w:p w:rsidR="00902CF8" w:rsidRPr="007C6292" w:rsidRDefault="00902CF8" w:rsidP="00971D5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2CF8" w:rsidRPr="007C6292" w:rsidTr="00971D5A">
        <w:trPr>
          <w:trHeight w:val="1080"/>
        </w:trPr>
        <w:tc>
          <w:tcPr>
            <w:tcW w:w="1090" w:type="pct"/>
            <w:vAlign w:val="center"/>
          </w:tcPr>
          <w:p w:rsidR="00E37DEA" w:rsidRPr="00971D5A" w:rsidRDefault="00DE36E5" w:rsidP="00971D5A">
            <w:pPr>
              <w:spacing w:after="0" w:line="240" w:lineRule="auto"/>
              <w:rPr>
                <w:rFonts w:ascii="Frutiger-BlackCn" w:hAnsi="Frutiger-BlackCn" w:cs="Frutiger-BlackCn"/>
                <w:sz w:val="20"/>
                <w:szCs w:val="20"/>
              </w:rPr>
            </w:pPr>
            <w:r w:rsidRPr="00DE36E5">
              <w:rPr>
                <w:rFonts w:ascii="Frutiger-BlackCn" w:hAnsi="Frutiger-BlackCn" w:cs="Frutiger-BlackCn"/>
                <w:sz w:val="20"/>
                <w:szCs w:val="20"/>
              </w:rPr>
              <w:t xml:space="preserve">Data Access </w:t>
            </w:r>
          </w:p>
        </w:tc>
        <w:tc>
          <w:tcPr>
            <w:tcW w:w="1852" w:type="pct"/>
            <w:vAlign w:val="center"/>
          </w:tcPr>
          <w:p w:rsidR="00902CF8" w:rsidRPr="007C6292" w:rsidRDefault="00902CF8" w:rsidP="00971D5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8" w:type="pct"/>
            <w:vAlign w:val="center"/>
          </w:tcPr>
          <w:p w:rsidR="00902CF8" w:rsidRPr="007C6292" w:rsidRDefault="00902CF8" w:rsidP="00971D5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2577" w:rsidRDefault="00E52577" w:rsidP="006A0D31">
      <w:pPr>
        <w:spacing w:after="0" w:line="360" w:lineRule="auto"/>
        <w:rPr>
          <w:rFonts w:ascii="Arial" w:hAnsi="Arial" w:cs="Arial"/>
          <w:sz w:val="20"/>
          <w:szCs w:val="20"/>
        </w:rPr>
      </w:pPr>
    </w:p>
    <w:sectPr w:rsidR="00E52577" w:rsidSect="001B4E03">
      <w:headerReference w:type="default" r:id="rId8"/>
      <w:footerReference w:type="default" r:id="rId9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AAA" w:rsidRDefault="00273AAA" w:rsidP="001B4E03">
      <w:pPr>
        <w:spacing w:after="0" w:line="240" w:lineRule="auto"/>
      </w:pPr>
      <w:r>
        <w:separator/>
      </w:r>
    </w:p>
  </w:endnote>
  <w:endnote w:type="continuationSeparator" w:id="0">
    <w:p w:rsidR="00273AAA" w:rsidRDefault="00273AAA" w:rsidP="001B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Black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803" w:rsidRPr="009F6E9C" w:rsidRDefault="00A67803" w:rsidP="00A67803">
    <w:pPr>
      <w:pBdr>
        <w:top w:val="single" w:sz="18" w:space="1" w:color="FFC000"/>
      </w:pBdr>
      <w:spacing w:after="0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>© 201</w:t>
    </w:r>
    <w:r w:rsidR="004745E8">
      <w:rPr>
        <w:rFonts w:ascii="Arial" w:hAnsi="Arial" w:cs="Arial"/>
        <w:color w:val="000000"/>
        <w:sz w:val="18"/>
        <w:szCs w:val="18"/>
      </w:rPr>
      <w:t>4</w:t>
    </w:r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Company. All rights reserved.</w:t>
    </w:r>
  </w:p>
  <w:p w:rsidR="00BC0030" w:rsidRPr="00A67803" w:rsidRDefault="00A67803" w:rsidP="00A67803">
    <w:pPr>
      <w:pStyle w:val="Footer"/>
      <w:spacing w:after="0"/>
      <w:rPr>
        <w:rFonts w:ascii="Cambria" w:hAnsi="Cambria"/>
        <w:color w:val="808080" w:themeColor="background1" w:themeShade="80"/>
        <w:sz w:val="18"/>
      </w:rPr>
    </w:pPr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r>
      <w:rPr>
        <w:rFonts w:ascii="Arial" w:hAnsi="Arial" w:cs="Arial"/>
        <w:i/>
        <w:iCs/>
        <w:sz w:val="18"/>
        <w:szCs w:val="18"/>
      </w:rPr>
      <w:tab/>
    </w:r>
    <w:r w:rsidRPr="00C60244">
      <w:rPr>
        <w:rFonts w:ascii="Arial" w:hAnsi="Arial" w:cs="Arial"/>
        <w:iCs/>
        <w:sz w:val="18"/>
        <w:szCs w:val="18"/>
      </w:rPr>
      <w:t xml:space="preserve">Page </w:t>
    </w:r>
    <w:r w:rsidRPr="00C60244">
      <w:rPr>
        <w:rFonts w:ascii="Arial" w:hAnsi="Arial" w:cs="Arial"/>
        <w:iCs/>
        <w:sz w:val="18"/>
        <w:szCs w:val="18"/>
      </w:rPr>
      <w:fldChar w:fldCharType="begin"/>
    </w:r>
    <w:r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Pr="00C60244">
      <w:rPr>
        <w:rFonts w:ascii="Arial" w:hAnsi="Arial" w:cs="Arial"/>
        <w:iCs/>
        <w:sz w:val="18"/>
        <w:szCs w:val="18"/>
      </w:rPr>
      <w:fldChar w:fldCharType="separate"/>
    </w:r>
    <w:r w:rsidR="000208DD">
      <w:rPr>
        <w:rFonts w:ascii="Arial" w:hAnsi="Arial" w:cs="Arial"/>
        <w:iCs/>
        <w:noProof/>
        <w:sz w:val="18"/>
        <w:szCs w:val="18"/>
      </w:rPr>
      <w:t>1</w:t>
    </w:r>
    <w:r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AAA" w:rsidRDefault="00273AAA" w:rsidP="001B4E03">
      <w:pPr>
        <w:spacing w:after="0" w:line="240" w:lineRule="auto"/>
      </w:pPr>
      <w:r>
        <w:separator/>
      </w:r>
    </w:p>
  </w:footnote>
  <w:footnote w:type="continuationSeparator" w:id="0">
    <w:p w:rsidR="00273AAA" w:rsidRDefault="00273AAA" w:rsidP="001B4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5"/>
      <w:gridCol w:w="7033"/>
    </w:tblGrid>
    <w:tr w:rsidR="00A67803" w:rsidRPr="009158E2" w:rsidTr="00283A6B">
      <w:trPr>
        <w:trHeight w:hRule="exact" w:val="1080"/>
      </w:trPr>
      <w:tc>
        <w:tcPr>
          <w:tcW w:w="2361" w:type="dxa"/>
        </w:tcPr>
        <w:p w:rsidR="00A67803" w:rsidRDefault="00A67803" w:rsidP="00283A6B">
          <w:pPr>
            <w:pStyle w:val="Header"/>
            <w:spacing w:after="120" w:line="240" w:lineRule="auto"/>
            <w:rPr>
              <w:rFonts w:ascii="Cambria" w:hAnsi="Cambria" w:cs="Cambria"/>
              <w:color w:val="000000"/>
              <w:sz w:val="32"/>
              <w:szCs w:val="32"/>
            </w:rPr>
          </w:pPr>
          <w:r w:rsidRPr="002E7FEA">
            <w:rPr>
              <w:i/>
              <w:noProof/>
            </w:rPr>
            <w:drawing>
              <wp:anchor distT="0" distB="0" distL="0" distR="274320" simplePos="0" relativeHeight="251658752" behindDoc="0" locked="0" layoutInCell="1" allowOverlap="1" wp14:anchorId="7B9312B9" wp14:editId="5442334D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:rsidR="00A67803" w:rsidRPr="009158E2" w:rsidRDefault="00A67803" w:rsidP="00283A6B">
          <w:pPr>
            <w:pStyle w:val="Header"/>
            <w:spacing w:after="120" w:line="240" w:lineRule="auto"/>
            <w:rPr>
              <w:rFonts w:ascii="Arial" w:hAnsi="Arial" w:cs="Arial"/>
              <w:color w:val="004B91"/>
              <w:sz w:val="30"/>
              <w:szCs w:val="30"/>
            </w:rPr>
          </w:pPr>
          <w:r w:rsidRPr="00A67803">
            <w:rPr>
              <w:rFonts w:ascii="Arial" w:hAnsi="Arial" w:cs="Arial"/>
              <w:color w:val="004B91"/>
              <w:sz w:val="30"/>
              <w:szCs w:val="30"/>
            </w:rPr>
            <w:t>Multilayer User Access Control</w:t>
          </w:r>
        </w:p>
      </w:tc>
    </w:tr>
  </w:tbl>
  <w:p w:rsidR="00A67803" w:rsidRDefault="00A67803" w:rsidP="00A67803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2122"/>
    <w:multiLevelType w:val="hybridMultilevel"/>
    <w:tmpl w:val="8D8A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E15D4"/>
    <w:multiLevelType w:val="hybridMultilevel"/>
    <w:tmpl w:val="0F3822D2"/>
    <w:lvl w:ilvl="0" w:tplc="3F3A0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EE0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A60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D6B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26B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74D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1C0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4CF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E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645520D"/>
    <w:multiLevelType w:val="hybridMultilevel"/>
    <w:tmpl w:val="07E6613C"/>
    <w:lvl w:ilvl="0" w:tplc="CA92D1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84E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09B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4D5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3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60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A4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C84D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621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7E3DF0"/>
    <w:multiLevelType w:val="hybridMultilevel"/>
    <w:tmpl w:val="ADBA2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04489"/>
    <w:multiLevelType w:val="hybridMultilevel"/>
    <w:tmpl w:val="EB4087FA"/>
    <w:lvl w:ilvl="0" w:tplc="F9527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98F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E0C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503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D80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708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864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ECF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3CA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2D"/>
    <w:rsid w:val="000162ED"/>
    <w:rsid w:val="000208DD"/>
    <w:rsid w:val="000C3508"/>
    <w:rsid w:val="000D53BF"/>
    <w:rsid w:val="001264B9"/>
    <w:rsid w:val="00130B3D"/>
    <w:rsid w:val="001B4E03"/>
    <w:rsid w:val="0020415B"/>
    <w:rsid w:val="00247E26"/>
    <w:rsid w:val="002538C5"/>
    <w:rsid w:val="00273AAA"/>
    <w:rsid w:val="002B426F"/>
    <w:rsid w:val="002B64FF"/>
    <w:rsid w:val="002F63BF"/>
    <w:rsid w:val="00322C89"/>
    <w:rsid w:val="00331A74"/>
    <w:rsid w:val="003438FC"/>
    <w:rsid w:val="00352C25"/>
    <w:rsid w:val="00404C9A"/>
    <w:rsid w:val="00417A8B"/>
    <w:rsid w:val="004745E8"/>
    <w:rsid w:val="004B475E"/>
    <w:rsid w:val="004C25A7"/>
    <w:rsid w:val="004D7BD2"/>
    <w:rsid w:val="00596575"/>
    <w:rsid w:val="005E28E1"/>
    <w:rsid w:val="00615523"/>
    <w:rsid w:val="0061778C"/>
    <w:rsid w:val="00640FA2"/>
    <w:rsid w:val="00664FE3"/>
    <w:rsid w:val="00671AE7"/>
    <w:rsid w:val="006A0D31"/>
    <w:rsid w:val="006D5301"/>
    <w:rsid w:val="006F4016"/>
    <w:rsid w:val="007231D6"/>
    <w:rsid w:val="00752072"/>
    <w:rsid w:val="00767F3D"/>
    <w:rsid w:val="007954A3"/>
    <w:rsid w:val="007C6292"/>
    <w:rsid w:val="007E651E"/>
    <w:rsid w:val="00805FE5"/>
    <w:rsid w:val="008864CD"/>
    <w:rsid w:val="008919EA"/>
    <w:rsid w:val="008A7E9D"/>
    <w:rsid w:val="00900DF3"/>
    <w:rsid w:val="00902CF8"/>
    <w:rsid w:val="00940A0C"/>
    <w:rsid w:val="00971D5A"/>
    <w:rsid w:val="009972C2"/>
    <w:rsid w:val="009D5F43"/>
    <w:rsid w:val="00A6720A"/>
    <w:rsid w:val="00A67803"/>
    <w:rsid w:val="00A84350"/>
    <w:rsid w:val="00A93D6F"/>
    <w:rsid w:val="00AE289F"/>
    <w:rsid w:val="00B23A97"/>
    <w:rsid w:val="00B60909"/>
    <w:rsid w:val="00B70A84"/>
    <w:rsid w:val="00B73A6E"/>
    <w:rsid w:val="00B84CF6"/>
    <w:rsid w:val="00BC0030"/>
    <w:rsid w:val="00BC04B3"/>
    <w:rsid w:val="00BE73AA"/>
    <w:rsid w:val="00BE7D56"/>
    <w:rsid w:val="00C65C2D"/>
    <w:rsid w:val="00C87238"/>
    <w:rsid w:val="00D667DD"/>
    <w:rsid w:val="00DB48EE"/>
    <w:rsid w:val="00DE36E5"/>
    <w:rsid w:val="00DF6D1C"/>
    <w:rsid w:val="00E31EFD"/>
    <w:rsid w:val="00E37DEA"/>
    <w:rsid w:val="00E52577"/>
    <w:rsid w:val="00E60637"/>
    <w:rsid w:val="00E60BE8"/>
    <w:rsid w:val="00E71B50"/>
    <w:rsid w:val="00F27010"/>
    <w:rsid w:val="00F51EF4"/>
    <w:rsid w:val="00FA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544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5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E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E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E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95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950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73A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E525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E36E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544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5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E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E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E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95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950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73A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E525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E36E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2015-04-09T19:08:00Z</dcterms:created>
  <dcterms:modified xsi:type="dcterms:W3CDTF">2015-04-09T19:08:00Z</dcterms:modified>
</cp:coreProperties>
</file>