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9A93" w14:textId="77777777" w:rsidR="00A054D1" w:rsidRPr="00CE174A" w:rsidRDefault="00A054D1" w:rsidP="00A054D1">
      <w:pPr>
        <w:rPr>
          <w:sz w:val="22"/>
          <w:szCs w:val="22"/>
        </w:rPr>
      </w:pPr>
      <w:r w:rsidRPr="00CE174A">
        <w:rPr>
          <w:sz w:val="22"/>
          <w:szCs w:val="22"/>
        </w:rPr>
        <w:t xml:space="preserve">Chad </w:t>
      </w:r>
      <w:proofErr w:type="spellStart"/>
      <w:r w:rsidRPr="00CE174A">
        <w:rPr>
          <w:sz w:val="22"/>
          <w:szCs w:val="22"/>
        </w:rPr>
        <w:t>Ballay</w:t>
      </w:r>
      <w:proofErr w:type="spellEnd"/>
    </w:p>
    <w:p w14:paraId="7AFAD4F6" w14:textId="77777777" w:rsidR="00A054D1" w:rsidRPr="00CE174A" w:rsidRDefault="00A054D1" w:rsidP="00A054D1">
      <w:pPr>
        <w:rPr>
          <w:sz w:val="22"/>
          <w:szCs w:val="22"/>
        </w:rPr>
      </w:pPr>
      <w:r w:rsidRPr="00CE174A">
        <w:rPr>
          <w:sz w:val="22"/>
          <w:szCs w:val="22"/>
        </w:rPr>
        <w:t>CIS411-342N</w:t>
      </w:r>
    </w:p>
    <w:p w14:paraId="03C8E03A" w14:textId="787AEB83" w:rsidR="00A054D1" w:rsidRPr="00CE174A" w:rsidRDefault="00A054D1" w:rsidP="00A054D1">
      <w:pPr>
        <w:rPr>
          <w:sz w:val="22"/>
          <w:szCs w:val="22"/>
        </w:rPr>
      </w:pPr>
      <w:r w:rsidRPr="00CE174A">
        <w:rPr>
          <w:sz w:val="22"/>
          <w:szCs w:val="22"/>
        </w:rPr>
        <w:t>Week Four</w:t>
      </w:r>
      <w:r w:rsidR="00914152" w:rsidRPr="00CE174A">
        <w:rPr>
          <w:sz w:val="22"/>
          <w:szCs w:val="22"/>
        </w:rPr>
        <w:t xml:space="preserve"> Module Two</w:t>
      </w:r>
    </w:p>
    <w:p w14:paraId="1EAA073D" w14:textId="7BE4725E" w:rsidR="00914152" w:rsidRPr="00CE174A" w:rsidRDefault="00914152" w:rsidP="00A054D1"/>
    <w:p w14:paraId="06047DBB" w14:textId="448E87EA" w:rsidR="00914152" w:rsidRPr="00CE174A" w:rsidRDefault="00914152" w:rsidP="00A054D1">
      <w:pPr>
        <w:rPr>
          <w:b/>
          <w:bCs/>
        </w:rPr>
      </w:pPr>
      <w:r w:rsidRPr="00A054D1">
        <w:rPr>
          <w:b/>
          <w:bCs/>
        </w:rPr>
        <w:t>How would you gather and assess vulnerabilities in this case?</w:t>
      </w:r>
    </w:p>
    <w:p w14:paraId="0A0752D4" w14:textId="0228C22C" w:rsidR="00A054D1" w:rsidRPr="00CE174A" w:rsidRDefault="00BA0F78">
      <w:r w:rsidRPr="00CE174A">
        <w:t xml:space="preserve">Establish a baseline of how the systems behave normally.  Classify the system into the taxonomy of NIST, ISO, </w:t>
      </w:r>
      <w:proofErr w:type="spellStart"/>
      <w:r w:rsidRPr="00CE174A">
        <w:t>etc</w:t>
      </w:r>
      <w:proofErr w:type="spellEnd"/>
      <w:r w:rsidRPr="00CE174A">
        <w:t xml:space="preserve">… frameworks.  Depending on the asset class, research best practices by using the systems framework classification to help identify likely needed changes.  </w:t>
      </w:r>
    </w:p>
    <w:p w14:paraId="09956E15" w14:textId="77777777" w:rsidR="00BA0F78" w:rsidRPr="00BA0F78" w:rsidRDefault="00BA0F78" w:rsidP="00BA0F78">
      <w:pPr>
        <w:rPr>
          <w:rFonts w:eastAsia="Times New Roman" w:cs="Times New Roman"/>
        </w:rPr>
      </w:pPr>
      <w:hyperlink r:id="rId5" w:history="1">
        <w:r w:rsidRPr="00BA0F78">
          <w:rPr>
            <w:rFonts w:eastAsia="Times New Roman" w:cs="Times New Roman"/>
            <w:color w:val="0000FF"/>
            <w:u w:val="single"/>
          </w:rPr>
          <w:t>https://cve.m</w:t>
        </w:r>
        <w:r w:rsidRPr="00BA0F78">
          <w:rPr>
            <w:rFonts w:eastAsia="Times New Roman" w:cs="Times New Roman"/>
            <w:color w:val="0000FF"/>
            <w:u w:val="single"/>
          </w:rPr>
          <w:t>i</w:t>
        </w:r>
        <w:r w:rsidRPr="00BA0F78">
          <w:rPr>
            <w:rFonts w:eastAsia="Times New Roman" w:cs="Times New Roman"/>
            <w:color w:val="0000FF"/>
            <w:u w:val="single"/>
          </w:rPr>
          <w:t>tre.org/</w:t>
        </w:r>
      </w:hyperlink>
    </w:p>
    <w:p w14:paraId="71F1363C" w14:textId="77777777" w:rsidR="00BA0F78" w:rsidRPr="00BA0F78" w:rsidRDefault="00BA0F78" w:rsidP="00BA0F78">
      <w:pPr>
        <w:rPr>
          <w:rFonts w:eastAsia="Times New Roman" w:cs="Times New Roman"/>
        </w:rPr>
      </w:pPr>
      <w:hyperlink r:id="rId6" w:history="1">
        <w:r w:rsidRPr="00BA0F78">
          <w:rPr>
            <w:rFonts w:eastAsia="Times New Roman" w:cs="Times New Roman"/>
            <w:color w:val="0000FF"/>
            <w:u w:val="single"/>
          </w:rPr>
          <w:t>https://nvd.nist.gov/</w:t>
        </w:r>
      </w:hyperlink>
    </w:p>
    <w:p w14:paraId="70ADD4BE" w14:textId="77777777" w:rsidR="00BA0F78" w:rsidRPr="00CE174A" w:rsidRDefault="00BA0F78"/>
    <w:p w14:paraId="06E80599" w14:textId="0E2B8279" w:rsidR="00BA0F78" w:rsidRPr="00CE174A" w:rsidRDefault="00BA0F78"/>
    <w:p w14:paraId="363915CB" w14:textId="533BBF4F" w:rsidR="00BA0F78" w:rsidRPr="00CE174A" w:rsidRDefault="00BA0F78">
      <w:pPr>
        <w:rPr>
          <w:b/>
          <w:bCs/>
        </w:rPr>
      </w:pPr>
      <w:r w:rsidRPr="00CE174A">
        <w:rPr>
          <w:b/>
          <w:bCs/>
        </w:rPr>
        <w:t>List at least three vulnerabilities described in the case.</w:t>
      </w:r>
    </w:p>
    <w:p w14:paraId="069B903E" w14:textId="2B71DC79" w:rsidR="00BA0F78" w:rsidRPr="00CE174A" w:rsidRDefault="00C8517D">
      <w:pPr>
        <w:rPr>
          <w:b/>
          <w:bCs/>
          <w:i/>
          <w:iCs/>
          <w:sz w:val="20"/>
          <w:szCs w:val="20"/>
        </w:rPr>
      </w:pPr>
      <w:r w:rsidRPr="00CE174A">
        <w:rPr>
          <w:i/>
          <w:iCs/>
          <w:sz w:val="20"/>
          <w:szCs w:val="20"/>
        </w:rPr>
        <w:t xml:space="preserve">Antivirus is in </w:t>
      </w:r>
      <w:proofErr w:type="gramStart"/>
      <w:r w:rsidRPr="00CE174A">
        <w:rPr>
          <w:i/>
          <w:iCs/>
          <w:sz w:val="20"/>
          <w:szCs w:val="20"/>
        </w:rPr>
        <w:t>use, but</w:t>
      </w:r>
      <w:proofErr w:type="gramEnd"/>
      <w:r w:rsidRPr="00CE174A">
        <w:rPr>
          <w:i/>
          <w:iCs/>
          <w:sz w:val="20"/>
          <w:szCs w:val="20"/>
        </w:rPr>
        <w:t xml:space="preserve"> is not automatically updated across the company.</w:t>
      </w:r>
    </w:p>
    <w:p w14:paraId="493CBDC9" w14:textId="56AA6AF3" w:rsidR="00C8517D" w:rsidRPr="00CE174A" w:rsidRDefault="00C8517D" w:rsidP="00C8517D">
      <w:pPr>
        <w:rPr>
          <w:rFonts w:eastAsia="Times New Roman" w:cs="Times New Roman"/>
        </w:rPr>
      </w:pPr>
      <w:r w:rsidRPr="00CE174A">
        <w:rPr>
          <w:rFonts w:eastAsia="Times New Roman" w:cs="Times New Roman"/>
        </w:rPr>
        <w:t>This falls under two related controls.  Information System Monitoring and Malicious Code Protection.</w:t>
      </w:r>
    </w:p>
    <w:p w14:paraId="0C63293E" w14:textId="2D44BE53" w:rsidR="00C8517D" w:rsidRPr="00CE174A" w:rsidRDefault="00C8517D" w:rsidP="00C8517D">
      <w:pPr>
        <w:rPr>
          <w:rFonts w:eastAsia="Times New Roman" w:cs="Times New Roman"/>
        </w:rPr>
      </w:pPr>
      <w:hyperlink r:id="rId7" w:history="1">
        <w:r w:rsidRPr="00C8517D">
          <w:rPr>
            <w:rFonts w:eastAsia="Times New Roman" w:cs="Times New Roman"/>
            <w:color w:val="0000FF"/>
            <w:u w:val="single"/>
          </w:rPr>
          <w:t>https://nvd.nist.gov/</w:t>
        </w:r>
        <w:r w:rsidRPr="00C8517D">
          <w:rPr>
            <w:rFonts w:eastAsia="Times New Roman" w:cs="Times New Roman"/>
            <w:color w:val="0000FF"/>
            <w:u w:val="single"/>
          </w:rPr>
          <w:t>8</w:t>
        </w:r>
        <w:r w:rsidRPr="00C8517D">
          <w:rPr>
            <w:rFonts w:eastAsia="Times New Roman" w:cs="Times New Roman"/>
            <w:color w:val="0000FF"/>
            <w:u w:val="single"/>
          </w:rPr>
          <w:t>00-53/</w:t>
        </w:r>
        <w:r w:rsidRPr="00C8517D">
          <w:rPr>
            <w:rFonts w:eastAsia="Times New Roman" w:cs="Times New Roman"/>
            <w:color w:val="0000FF"/>
            <w:u w:val="single"/>
          </w:rPr>
          <w:t>R</w:t>
        </w:r>
        <w:r w:rsidRPr="00C8517D">
          <w:rPr>
            <w:rFonts w:eastAsia="Times New Roman" w:cs="Times New Roman"/>
            <w:color w:val="0000FF"/>
            <w:u w:val="single"/>
          </w:rPr>
          <w:t>ev4/control/SI-3</w:t>
        </w:r>
      </w:hyperlink>
    </w:p>
    <w:p w14:paraId="2637E689" w14:textId="4D62041A" w:rsidR="00C8517D" w:rsidRPr="00C8517D" w:rsidRDefault="00C8517D" w:rsidP="00C8517D">
      <w:pPr>
        <w:rPr>
          <w:rFonts w:eastAsia="Times New Roman" w:cs="Times New Roman"/>
        </w:rPr>
      </w:pPr>
      <w:hyperlink r:id="rId8" w:history="1">
        <w:r w:rsidRPr="00C8517D">
          <w:rPr>
            <w:rStyle w:val="Hyperlink"/>
            <w:rFonts w:eastAsia="Times New Roman" w:cs="Times New Roman"/>
          </w:rPr>
          <w:t>https://nvd.nist.gov/800-53/Rev4/control/SI-4</w:t>
        </w:r>
      </w:hyperlink>
    </w:p>
    <w:p w14:paraId="6EF4E7ED" w14:textId="32D9FF2D" w:rsidR="00914152" w:rsidRPr="00CE174A" w:rsidRDefault="00C8517D">
      <w:r w:rsidRPr="00CE174A">
        <w:t>Depending on which antivirus software is in use there could also be CVE’s on the software itself.</w:t>
      </w:r>
    </w:p>
    <w:p w14:paraId="3C0B721C" w14:textId="77777777" w:rsidR="00C8517D" w:rsidRPr="00C8517D" w:rsidRDefault="00C8517D" w:rsidP="00C8517D">
      <w:pPr>
        <w:rPr>
          <w:rFonts w:eastAsia="Times New Roman" w:cs="Times New Roman"/>
        </w:rPr>
      </w:pPr>
      <w:hyperlink r:id="rId9" w:history="1">
        <w:r w:rsidRPr="00C8517D">
          <w:rPr>
            <w:rFonts w:eastAsia="Times New Roman" w:cs="Times New Roman"/>
            <w:color w:val="0000FF"/>
            <w:u w:val="single"/>
          </w:rPr>
          <w:t>https://cve.mitre.org/cve/search_cve_list.html</w:t>
        </w:r>
      </w:hyperlink>
    </w:p>
    <w:p w14:paraId="701F24DB" w14:textId="740563BF" w:rsidR="00C8517D" w:rsidRPr="00CE174A" w:rsidRDefault="00C8517D"/>
    <w:p w14:paraId="11B35150" w14:textId="77777777" w:rsidR="00C8517D" w:rsidRPr="00CE174A" w:rsidRDefault="00C8517D" w:rsidP="00C8517D">
      <w:pPr>
        <w:autoSpaceDE w:val="0"/>
        <w:autoSpaceDN w:val="0"/>
        <w:adjustRightInd w:val="0"/>
        <w:rPr>
          <w:i/>
          <w:iCs/>
          <w:sz w:val="20"/>
          <w:szCs w:val="20"/>
        </w:rPr>
      </w:pPr>
      <w:r w:rsidRPr="00CE174A">
        <w:rPr>
          <w:i/>
          <w:iCs/>
          <w:sz w:val="20"/>
          <w:szCs w:val="20"/>
        </w:rPr>
        <w:t>Vendors are allowed access to the site and computers without authorization or supervision.</w:t>
      </w:r>
    </w:p>
    <w:p w14:paraId="0DD07EB1" w14:textId="7D40C4DC" w:rsidR="00C8517D" w:rsidRPr="00CE174A" w:rsidRDefault="00CE174A">
      <w:r w:rsidRPr="00CE174A">
        <w:t>The gate seems to be wide open.  Remote Access, Third-Party Personnel Security, and Account Management.</w:t>
      </w:r>
    </w:p>
    <w:p w14:paraId="5CCF0E3E" w14:textId="77777777" w:rsidR="00CE174A" w:rsidRPr="00CE174A" w:rsidRDefault="00CE174A" w:rsidP="00CE174A">
      <w:pPr>
        <w:rPr>
          <w:rFonts w:eastAsia="Times New Roman" w:cs="Times New Roman"/>
        </w:rPr>
      </w:pPr>
      <w:hyperlink r:id="rId10" w:history="1">
        <w:r w:rsidRPr="00CE174A">
          <w:rPr>
            <w:rFonts w:eastAsia="Times New Roman" w:cs="Times New Roman"/>
            <w:color w:val="0000FF"/>
            <w:u w:val="single"/>
          </w:rPr>
          <w:t>https://nvd.nist.gov/800-53/Rev4/control</w:t>
        </w:r>
        <w:r w:rsidRPr="00CE174A">
          <w:rPr>
            <w:rFonts w:eastAsia="Times New Roman" w:cs="Times New Roman"/>
            <w:color w:val="0000FF"/>
            <w:u w:val="single"/>
          </w:rPr>
          <w:t>/</w:t>
        </w:r>
        <w:r w:rsidRPr="00CE174A">
          <w:rPr>
            <w:rFonts w:eastAsia="Times New Roman" w:cs="Times New Roman"/>
            <w:color w:val="0000FF"/>
            <w:u w:val="single"/>
          </w:rPr>
          <w:t>AC-17</w:t>
        </w:r>
      </w:hyperlink>
    </w:p>
    <w:p w14:paraId="77C53D79" w14:textId="0AC3718D" w:rsidR="00CE174A" w:rsidRPr="00CE174A" w:rsidRDefault="00CE174A" w:rsidP="00CE174A">
      <w:pPr>
        <w:rPr>
          <w:rFonts w:eastAsia="Times New Roman" w:cs="Times New Roman"/>
        </w:rPr>
      </w:pPr>
      <w:hyperlink r:id="rId11" w:history="1">
        <w:r w:rsidRPr="00CE174A">
          <w:rPr>
            <w:rFonts w:eastAsia="Times New Roman" w:cs="Times New Roman"/>
            <w:color w:val="0000FF"/>
            <w:u w:val="single"/>
          </w:rPr>
          <w:t>https://nvd.nist.gov/800-53/Rev4/contro</w:t>
        </w:r>
        <w:r w:rsidRPr="00CE174A">
          <w:rPr>
            <w:rFonts w:eastAsia="Times New Roman" w:cs="Times New Roman"/>
            <w:color w:val="0000FF"/>
            <w:u w:val="single"/>
          </w:rPr>
          <w:t>l</w:t>
        </w:r>
        <w:r w:rsidRPr="00CE174A">
          <w:rPr>
            <w:rFonts w:eastAsia="Times New Roman" w:cs="Times New Roman"/>
            <w:color w:val="0000FF"/>
            <w:u w:val="single"/>
          </w:rPr>
          <w:t>/PS-7</w:t>
        </w:r>
      </w:hyperlink>
    </w:p>
    <w:p w14:paraId="17A05746" w14:textId="77777777" w:rsidR="00CE174A" w:rsidRPr="00CE174A" w:rsidRDefault="00CE174A" w:rsidP="00CE174A">
      <w:pPr>
        <w:rPr>
          <w:rFonts w:eastAsia="Times New Roman" w:cs="Times New Roman"/>
        </w:rPr>
      </w:pPr>
      <w:hyperlink r:id="rId12" w:history="1">
        <w:r w:rsidRPr="00CE174A">
          <w:rPr>
            <w:rFonts w:eastAsia="Times New Roman" w:cs="Times New Roman"/>
            <w:color w:val="0000FF"/>
            <w:u w:val="single"/>
          </w:rPr>
          <w:t>https://nvd.nist.gov/800-53/Rev4/control/AC</w:t>
        </w:r>
        <w:r w:rsidRPr="00CE174A">
          <w:rPr>
            <w:rFonts w:eastAsia="Times New Roman" w:cs="Times New Roman"/>
            <w:color w:val="0000FF"/>
            <w:u w:val="single"/>
          </w:rPr>
          <w:t>-</w:t>
        </w:r>
        <w:r w:rsidRPr="00CE174A">
          <w:rPr>
            <w:rFonts w:eastAsia="Times New Roman" w:cs="Times New Roman"/>
            <w:color w:val="0000FF"/>
            <w:u w:val="single"/>
          </w:rPr>
          <w:t>2</w:t>
        </w:r>
      </w:hyperlink>
    </w:p>
    <w:p w14:paraId="55FC122E" w14:textId="6D0DBC16" w:rsidR="00CE174A" w:rsidRPr="00CE174A" w:rsidRDefault="00CE174A"/>
    <w:p w14:paraId="42F59712" w14:textId="62B169C6" w:rsidR="00CE174A" w:rsidRPr="00CE174A" w:rsidRDefault="00CE174A">
      <w:pPr>
        <w:rPr>
          <w:i/>
          <w:iCs/>
          <w:sz w:val="20"/>
          <w:szCs w:val="20"/>
        </w:rPr>
      </w:pPr>
      <w:r w:rsidRPr="00CE174A">
        <w:rPr>
          <w:i/>
          <w:iCs/>
          <w:sz w:val="20"/>
          <w:szCs w:val="20"/>
        </w:rPr>
        <w:t>Password resets are done by giving out a generic password</w:t>
      </w:r>
    </w:p>
    <w:p w14:paraId="1D4B7CF4" w14:textId="6B977F3A" w:rsidR="00C8517D" w:rsidRPr="00CE174A" w:rsidRDefault="00CE174A">
      <w:r w:rsidRPr="00CE174A">
        <w:t xml:space="preserve">If a </w:t>
      </w:r>
      <w:proofErr w:type="spellStart"/>
      <w:r w:rsidRPr="00CE174A">
        <w:t>malicous</w:t>
      </w:r>
      <w:proofErr w:type="spellEnd"/>
      <w:r w:rsidRPr="00CE174A">
        <w:t xml:space="preserve"> actor can trigger a password </w:t>
      </w:r>
      <w:proofErr w:type="gramStart"/>
      <w:r w:rsidRPr="00CE174A">
        <w:t>reset</w:t>
      </w:r>
      <w:proofErr w:type="gramEnd"/>
      <w:r w:rsidRPr="00CE174A">
        <w:t xml:space="preserve"> then they can use the generic password to set the account’s new password to whatever they chose.</w:t>
      </w:r>
    </w:p>
    <w:p w14:paraId="1A848DE1" w14:textId="77777777" w:rsidR="00CE174A" w:rsidRPr="00CE174A" w:rsidRDefault="00CE174A" w:rsidP="00CE174A">
      <w:pPr>
        <w:rPr>
          <w:rFonts w:eastAsia="Times New Roman" w:cs="Times New Roman"/>
        </w:rPr>
      </w:pPr>
      <w:hyperlink r:id="rId13" w:history="1">
        <w:r w:rsidRPr="00CE174A">
          <w:rPr>
            <w:rFonts w:eastAsia="Times New Roman" w:cs="Times New Roman"/>
            <w:color w:val="0000FF"/>
            <w:u w:val="single"/>
          </w:rPr>
          <w:t>https://nvd.nist.gov/800-53/R</w:t>
        </w:r>
        <w:r w:rsidRPr="00CE174A">
          <w:rPr>
            <w:rFonts w:eastAsia="Times New Roman" w:cs="Times New Roman"/>
            <w:color w:val="0000FF"/>
            <w:u w:val="single"/>
          </w:rPr>
          <w:t>e</w:t>
        </w:r>
        <w:r w:rsidRPr="00CE174A">
          <w:rPr>
            <w:rFonts w:eastAsia="Times New Roman" w:cs="Times New Roman"/>
            <w:color w:val="0000FF"/>
            <w:u w:val="single"/>
          </w:rPr>
          <w:t>v4/control/IA-5</w:t>
        </w:r>
      </w:hyperlink>
    </w:p>
    <w:p w14:paraId="2DF8B4CE" w14:textId="6A43B585" w:rsidR="00CE174A" w:rsidRPr="00CE174A" w:rsidRDefault="00CE174A">
      <w:pPr>
        <w:rPr>
          <w:rFonts w:cs="Arial"/>
        </w:rPr>
      </w:pPr>
    </w:p>
    <w:p w14:paraId="28FBC784" w14:textId="77777777" w:rsidR="00CE174A" w:rsidRPr="00A054D1" w:rsidRDefault="00CE174A" w:rsidP="00CE174A">
      <w:pPr>
        <w:shd w:val="clear" w:color="auto" w:fill="FFFFFF"/>
        <w:rPr>
          <w:rFonts w:eastAsia="Times New Roman" w:cs="Arial"/>
          <w:b/>
          <w:bCs/>
          <w:color w:val="000000"/>
        </w:rPr>
      </w:pPr>
      <w:r w:rsidRPr="00A054D1">
        <w:rPr>
          <w:rFonts w:eastAsia="Times New Roman" w:cs="Arial"/>
          <w:b/>
          <w:bCs/>
          <w:color w:val="000000"/>
        </w:rPr>
        <w:t>Include the severity and likelihood of compromise for each vulnerability identified.</w:t>
      </w:r>
    </w:p>
    <w:p w14:paraId="4297A5C7" w14:textId="7105C7BB" w:rsidR="00CE174A" w:rsidRDefault="00CE17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Antivirus – Severity and likelihood are both extremely high.  </w:t>
      </w:r>
    </w:p>
    <w:p w14:paraId="05CC34F7" w14:textId="621AB2AD" w:rsidR="00CE174A" w:rsidRDefault="00CE17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Vendor access – Severity </w:t>
      </w:r>
      <w:r w:rsidR="00A46E0F">
        <w:rPr>
          <w:rFonts w:ascii="Arial" w:hAnsi="Arial" w:cs="Arial"/>
        </w:rPr>
        <w:t xml:space="preserve">and likelihood are both high.  </w:t>
      </w:r>
    </w:p>
    <w:p w14:paraId="7B79BACA" w14:textId="35458824" w:rsidR="00A46E0F" w:rsidRDefault="00A46E0F">
      <w:pPr>
        <w:rPr>
          <w:rFonts w:ascii="Arial" w:hAnsi="Arial" w:cs="Arial"/>
        </w:rPr>
      </w:pPr>
      <w:r>
        <w:rPr>
          <w:rFonts w:ascii="Arial" w:hAnsi="Arial" w:cs="Arial"/>
        </w:rPr>
        <w:t>Password resets – Severity and likelihood are both high.</w:t>
      </w:r>
    </w:p>
    <w:p w14:paraId="47849921" w14:textId="44F36ED7" w:rsidR="00A46E0F" w:rsidRDefault="00A46E0F">
      <w:pPr>
        <w:rPr>
          <w:rFonts w:ascii="Arial" w:hAnsi="Arial" w:cs="Arial"/>
        </w:rPr>
      </w:pPr>
    </w:p>
    <w:p w14:paraId="49EFFE81" w14:textId="170370E2" w:rsidR="00A46E0F" w:rsidRDefault="00A46E0F">
      <w:pPr>
        <w:rPr>
          <w:rFonts w:ascii="Arial" w:hAnsi="Arial" w:cs="Arial"/>
        </w:rPr>
      </w:pPr>
    </w:p>
    <w:p w14:paraId="7A0E55A8" w14:textId="749328EC" w:rsidR="00A46E0F" w:rsidRDefault="00A46E0F">
      <w:pPr>
        <w:rPr>
          <w:rFonts w:eastAsia="Times New Roman" w:cs="Arial"/>
          <w:b/>
          <w:bCs/>
          <w:color w:val="000000"/>
        </w:rPr>
      </w:pPr>
      <w:r w:rsidRPr="00A054D1">
        <w:rPr>
          <w:rFonts w:eastAsia="Times New Roman" w:cs="Arial"/>
          <w:b/>
          <w:bCs/>
          <w:color w:val="000000"/>
        </w:rPr>
        <w:t>List known or assumed safeguards in place that reduce the vulnerability's impact or likelihood</w:t>
      </w:r>
    </w:p>
    <w:p w14:paraId="4C95D993" w14:textId="4E0365EF" w:rsidR="00A46E0F" w:rsidRPr="009076F1" w:rsidRDefault="00A51984" w:rsidP="009076F1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 w:rsidRPr="009076F1">
        <w:rPr>
          <w:rFonts w:eastAsia="Times New Roman" w:cs="Arial"/>
          <w:color w:val="000000"/>
        </w:rPr>
        <w:t xml:space="preserve">Weak antivirus is starting to become </w:t>
      </w:r>
      <w:proofErr w:type="spellStart"/>
      <w:r w:rsidRPr="009076F1">
        <w:rPr>
          <w:rFonts w:eastAsia="Times New Roman" w:cs="Arial"/>
          <w:color w:val="000000"/>
        </w:rPr>
        <w:t>d</w:t>
      </w:r>
      <w:r w:rsidR="009076F1" w:rsidRPr="009076F1">
        <w:rPr>
          <w:rFonts w:eastAsia="Times New Roman" w:cs="Arial"/>
          <w:color w:val="000000"/>
        </w:rPr>
        <w:t>efacto</w:t>
      </w:r>
      <w:proofErr w:type="spellEnd"/>
      <w:r w:rsidR="009076F1" w:rsidRPr="009076F1">
        <w:rPr>
          <w:rFonts w:eastAsia="Times New Roman" w:cs="Arial"/>
          <w:color w:val="000000"/>
        </w:rPr>
        <w:t xml:space="preserve"> enabled on modern OS’s.  This is leading to a default posture of auto patching.</w:t>
      </w:r>
    </w:p>
    <w:p w14:paraId="3F6372BD" w14:textId="68ADB460" w:rsidR="009076F1" w:rsidRPr="009076F1" w:rsidRDefault="009076F1" w:rsidP="009076F1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 w:rsidRPr="009076F1">
        <w:rPr>
          <w:rFonts w:eastAsia="Times New Roman" w:cs="Arial"/>
          <w:color w:val="000000"/>
        </w:rPr>
        <w:t>This company being a highly specialized company in a smaller regional market probably means that the vendors it uses have long term relationships.  The lack of turnover may lead to personal connection over security concerns.</w:t>
      </w:r>
    </w:p>
    <w:p w14:paraId="79F50A91" w14:textId="77777777" w:rsidR="009076F1" w:rsidRDefault="009076F1" w:rsidP="009076F1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 w:rsidRPr="009076F1">
        <w:rPr>
          <w:rFonts w:eastAsia="Times New Roman" w:cs="Arial"/>
          <w:color w:val="000000"/>
        </w:rPr>
        <w:lastRenderedPageBreak/>
        <w:t xml:space="preserve">Accounts who have their password reset and then set to a chosen password of the attacker also mean that the existing workflows around them fail at that point.  Users will not be able to login.  </w:t>
      </w:r>
    </w:p>
    <w:p w14:paraId="6AEDC37A" w14:textId="298F4FCC" w:rsidR="009076F1" w:rsidRPr="009076F1" w:rsidRDefault="009076F1" w:rsidP="009076F1">
      <w:pPr>
        <w:pStyle w:val="ListParagraph"/>
        <w:ind w:left="360"/>
        <w:rPr>
          <w:rFonts w:eastAsia="Times New Roman" w:cs="Arial"/>
          <w:color w:val="000000"/>
        </w:rPr>
      </w:pPr>
      <w:r w:rsidRPr="009076F1">
        <w:rPr>
          <w:rFonts w:eastAsia="Times New Roman" w:cs="Arial"/>
          <w:color w:val="000000"/>
        </w:rPr>
        <w:t>Automatic processes will begin failing.  Discovery of the breach could be very timely.</w:t>
      </w:r>
    </w:p>
    <w:p w14:paraId="3A9FBE8F" w14:textId="1D5E36F0" w:rsidR="009076F1" w:rsidRDefault="009076F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26E5780" w14:textId="77777777" w:rsidR="009076F1" w:rsidRPr="009076F1" w:rsidRDefault="009076F1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9E2B103" w14:textId="48A34520" w:rsidR="009076F1" w:rsidRDefault="009076F1">
      <w:pPr>
        <w:rPr>
          <w:rFonts w:ascii="Arial" w:eastAsia="Times New Roman" w:hAnsi="Arial" w:cs="Arial"/>
          <w:b/>
          <w:bCs/>
          <w:color w:val="000000"/>
        </w:rPr>
      </w:pPr>
      <w:r w:rsidRPr="00A054D1">
        <w:rPr>
          <w:rFonts w:ascii="Arial" w:eastAsia="Times New Roman" w:hAnsi="Arial" w:cs="Arial"/>
          <w:b/>
          <w:bCs/>
          <w:color w:val="000000"/>
        </w:rPr>
        <w:t>Include a list of any assumptions you are making.</w:t>
      </w:r>
    </w:p>
    <w:p w14:paraId="742573AD" w14:textId="345C95F4" w:rsidR="009076F1" w:rsidRPr="009076F1" w:rsidRDefault="009076F1" w:rsidP="009076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The workplace culture is healthy enough to address employee retention and disgruntled employees are handled early.</w:t>
      </w:r>
    </w:p>
    <w:p w14:paraId="5EF171C7" w14:textId="26551F09" w:rsidR="009076F1" w:rsidRPr="009076F1" w:rsidRDefault="009076F1" w:rsidP="009076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That this really is a niche sector.  (I don’t know what an architecture firm does beyond that they deal with building design.)</w:t>
      </w:r>
    </w:p>
    <w:p w14:paraId="040FB58C" w14:textId="77777777" w:rsidR="009076F1" w:rsidRPr="009076F1" w:rsidRDefault="009076F1" w:rsidP="009076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That Kansas City as a region helps further refine this company’s role as niche player in the sector.  (Maybe due to some oddities in the sector Kansas City is just awash in architecture firms.)</w:t>
      </w:r>
    </w:p>
    <w:p w14:paraId="282272E2" w14:textId="77777777" w:rsidR="0051073D" w:rsidRPr="0051073D" w:rsidRDefault="009076F1" w:rsidP="009076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That </w:t>
      </w:r>
      <w:r w:rsidR="0051073D">
        <w:rPr>
          <w:rFonts w:ascii="Arial" w:eastAsia="Times New Roman" w:hAnsi="Arial" w:cs="Arial"/>
          <w:color w:val="000000"/>
        </w:rPr>
        <w:t xml:space="preserve">users aren’t able to disable </w:t>
      </w:r>
      <w:proofErr w:type="spellStart"/>
      <w:r w:rsidR="0051073D">
        <w:rPr>
          <w:rFonts w:ascii="Arial" w:eastAsia="Times New Roman" w:hAnsi="Arial" w:cs="Arial"/>
          <w:color w:val="000000"/>
        </w:rPr>
        <w:t>autopatching</w:t>
      </w:r>
      <w:proofErr w:type="spellEnd"/>
      <w:r w:rsidR="0051073D">
        <w:rPr>
          <w:rFonts w:ascii="Arial" w:eastAsia="Times New Roman" w:hAnsi="Arial" w:cs="Arial"/>
          <w:color w:val="000000"/>
        </w:rPr>
        <w:t xml:space="preserve"> features around default AV features of the OS.</w:t>
      </w:r>
    </w:p>
    <w:p w14:paraId="2A946E78" w14:textId="77E4B417" w:rsidR="009076F1" w:rsidRPr="009076F1" w:rsidRDefault="0051073D" w:rsidP="009076F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That password resets are only done by the user requesting them as a normal process.  (Maybe on the first of the month everyone’s password is </w:t>
      </w:r>
      <w:proofErr w:type="gramStart"/>
      <w:r>
        <w:rPr>
          <w:rFonts w:ascii="Arial" w:eastAsia="Times New Roman" w:hAnsi="Arial" w:cs="Arial"/>
          <w:color w:val="000000"/>
        </w:rPr>
        <w:t>reset</w:t>
      </w:r>
      <w:proofErr w:type="gramEnd"/>
      <w:r>
        <w:rPr>
          <w:rFonts w:ascii="Arial" w:eastAsia="Times New Roman" w:hAnsi="Arial" w:cs="Arial"/>
          <w:color w:val="000000"/>
        </w:rPr>
        <w:t xml:space="preserve"> and they have to pick a new one.  Dumber processes have been implemented before.)</w:t>
      </w:r>
      <w:r w:rsidR="009076F1">
        <w:rPr>
          <w:rFonts w:ascii="Arial" w:eastAsia="Times New Roman" w:hAnsi="Arial" w:cs="Arial"/>
          <w:color w:val="000000"/>
        </w:rPr>
        <w:t xml:space="preserve"> </w:t>
      </w:r>
    </w:p>
    <w:sectPr w:rsidR="009076F1" w:rsidRPr="009076F1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7E7E"/>
    <w:multiLevelType w:val="hybridMultilevel"/>
    <w:tmpl w:val="08482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372A"/>
    <w:multiLevelType w:val="hybridMultilevel"/>
    <w:tmpl w:val="FBDA9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B606E3"/>
    <w:multiLevelType w:val="hybridMultilevel"/>
    <w:tmpl w:val="BCFE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26335"/>
    <w:multiLevelType w:val="hybridMultilevel"/>
    <w:tmpl w:val="7444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164E29"/>
    <w:multiLevelType w:val="multilevel"/>
    <w:tmpl w:val="A0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D1"/>
    <w:rsid w:val="0051073D"/>
    <w:rsid w:val="006A21A2"/>
    <w:rsid w:val="009076F1"/>
    <w:rsid w:val="00914152"/>
    <w:rsid w:val="00A054D1"/>
    <w:rsid w:val="00A46E0F"/>
    <w:rsid w:val="00A51984"/>
    <w:rsid w:val="00A94FBF"/>
    <w:rsid w:val="00BA0F78"/>
    <w:rsid w:val="00C8517D"/>
    <w:rsid w:val="00C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B3D5"/>
  <w15:chartTrackingRefBased/>
  <w15:docId w15:val="{4C723BAC-86AB-D647-8295-8D35550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F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800-53/Rev4/control/SI-4" TargetMode="External"/><Relationship Id="rId13" Type="http://schemas.openxmlformats.org/officeDocument/2006/relationships/hyperlink" Target="https://nvd.nist.gov/800-53/Rev4/control/IA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d.nist.gov/800-53/Rev4/control/SI-3" TargetMode="External"/><Relationship Id="rId12" Type="http://schemas.openxmlformats.org/officeDocument/2006/relationships/hyperlink" Target="https://nvd.nist.gov/800-53/Rev4/control/AC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" TargetMode="External"/><Relationship Id="rId11" Type="http://schemas.openxmlformats.org/officeDocument/2006/relationships/hyperlink" Target="https://nvd.nist.gov/800-53/Rev4/control/PS-7" TargetMode="External"/><Relationship Id="rId5" Type="http://schemas.openxmlformats.org/officeDocument/2006/relationships/hyperlink" Target="https://cve.mitr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vd.nist.gov/800-53/Rev4/control/AC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cve/search_cve_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2020-05-25T20:01:00Z</dcterms:created>
  <dcterms:modified xsi:type="dcterms:W3CDTF">2020-05-26T01:55:00Z</dcterms:modified>
</cp:coreProperties>
</file>