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5F186" w14:textId="5AB57AA5" w:rsidR="00400086" w:rsidRPr="001E339C" w:rsidRDefault="00400086">
      <w:pPr>
        <w:rPr>
          <w:sz w:val="25"/>
          <w:szCs w:val="25"/>
        </w:rPr>
      </w:pPr>
      <w:r w:rsidRPr="001E339C">
        <w:rPr>
          <w:sz w:val="25"/>
          <w:szCs w:val="25"/>
        </w:rPr>
        <w:t xml:space="preserve">Chad </w:t>
      </w:r>
      <w:proofErr w:type="spellStart"/>
      <w:r w:rsidRPr="001E339C">
        <w:rPr>
          <w:sz w:val="25"/>
          <w:szCs w:val="25"/>
        </w:rPr>
        <w:t>Ballay</w:t>
      </w:r>
      <w:proofErr w:type="spellEnd"/>
    </w:p>
    <w:p w14:paraId="7EAFF622" w14:textId="3C7E4AF6" w:rsidR="00400086" w:rsidRPr="001E339C" w:rsidRDefault="00400086" w:rsidP="00400086">
      <w:pPr>
        <w:rPr>
          <w:sz w:val="25"/>
          <w:szCs w:val="25"/>
        </w:rPr>
      </w:pPr>
      <w:hyperlink r:id="rId6" w:tooltip="CIS411-342N Assessments and Audits (2207-DD)" w:history="1">
        <w:r w:rsidRPr="001E339C">
          <w:rPr>
            <w:sz w:val="25"/>
            <w:szCs w:val="25"/>
          </w:rPr>
          <w:t>CIS411-342N</w:t>
        </w:r>
      </w:hyperlink>
    </w:p>
    <w:p w14:paraId="4EF2F99B" w14:textId="6AEE13E7" w:rsidR="00400086" w:rsidRPr="001E339C" w:rsidRDefault="00400086">
      <w:pPr>
        <w:rPr>
          <w:sz w:val="25"/>
          <w:szCs w:val="25"/>
        </w:rPr>
      </w:pPr>
      <w:r w:rsidRPr="001E339C">
        <w:rPr>
          <w:sz w:val="25"/>
          <w:szCs w:val="25"/>
        </w:rPr>
        <w:t>Week 5 Written Assignment</w:t>
      </w:r>
    </w:p>
    <w:p w14:paraId="4A7E73E3" w14:textId="17B80C42" w:rsidR="00400086" w:rsidRPr="001E339C" w:rsidRDefault="00400086">
      <w:pPr>
        <w:rPr>
          <w:sz w:val="25"/>
          <w:szCs w:val="25"/>
        </w:rPr>
      </w:pPr>
    </w:p>
    <w:p w14:paraId="0ABB0DE8" w14:textId="1A0F4AC7" w:rsidR="005B3D37" w:rsidRPr="001E339C" w:rsidRDefault="005B3D37">
      <w:pPr>
        <w:rPr>
          <w:sz w:val="25"/>
          <w:szCs w:val="25"/>
        </w:rPr>
      </w:pPr>
      <w:r w:rsidRPr="001E339C">
        <w:rPr>
          <w:sz w:val="25"/>
          <w:szCs w:val="25"/>
        </w:rPr>
        <w:t>In my audit universe there are several stipulations that I will have:</w:t>
      </w:r>
    </w:p>
    <w:p w14:paraId="57B4819E" w14:textId="1F933070" w:rsidR="005B3D37" w:rsidRPr="001E339C" w:rsidRDefault="005B3D37" w:rsidP="005B3D37">
      <w:pPr>
        <w:pStyle w:val="ListParagraph"/>
        <w:numPr>
          <w:ilvl w:val="0"/>
          <w:numId w:val="4"/>
        </w:numPr>
        <w:rPr>
          <w:sz w:val="25"/>
          <w:szCs w:val="25"/>
        </w:rPr>
      </w:pPr>
      <w:r w:rsidRPr="001E339C">
        <w:rPr>
          <w:sz w:val="25"/>
          <w:szCs w:val="25"/>
        </w:rPr>
        <w:t>No previous audits have been done or those that have been done are of little value due to age and quality.</w:t>
      </w:r>
    </w:p>
    <w:p w14:paraId="6CB5FAD9" w14:textId="73B177F8" w:rsidR="005B3D37" w:rsidRPr="001E339C" w:rsidRDefault="005B3D37" w:rsidP="005B3D37">
      <w:pPr>
        <w:pStyle w:val="ListParagraph"/>
        <w:numPr>
          <w:ilvl w:val="0"/>
          <w:numId w:val="4"/>
        </w:numPr>
        <w:rPr>
          <w:sz w:val="25"/>
          <w:szCs w:val="25"/>
        </w:rPr>
      </w:pPr>
      <w:r w:rsidRPr="001E339C">
        <w:rPr>
          <w:sz w:val="25"/>
          <w:szCs w:val="25"/>
        </w:rPr>
        <w:t xml:space="preserve">I am able to use externally created artifacts and best practices so as to accomplish the audit quicker and cheaper. </w:t>
      </w:r>
    </w:p>
    <w:p w14:paraId="7A545EED" w14:textId="066BDD02" w:rsidR="003D7675" w:rsidRPr="001E339C" w:rsidRDefault="003D7675" w:rsidP="005B3D37">
      <w:pPr>
        <w:pStyle w:val="ListParagraph"/>
        <w:numPr>
          <w:ilvl w:val="0"/>
          <w:numId w:val="4"/>
        </w:numPr>
        <w:rPr>
          <w:sz w:val="25"/>
          <w:szCs w:val="25"/>
        </w:rPr>
      </w:pPr>
      <w:r w:rsidRPr="001E339C">
        <w:rPr>
          <w:sz w:val="25"/>
          <w:szCs w:val="25"/>
        </w:rPr>
        <w:t>This is an internally motivated audit</w:t>
      </w:r>
      <w:r w:rsidR="001C1BD8" w:rsidRPr="001E339C">
        <w:rPr>
          <w:sz w:val="25"/>
          <w:szCs w:val="25"/>
        </w:rPr>
        <w:t>.  The</w:t>
      </w:r>
      <w:r w:rsidR="001E339C">
        <w:rPr>
          <w:sz w:val="25"/>
          <w:szCs w:val="25"/>
        </w:rPr>
        <w:t>re</w:t>
      </w:r>
      <w:r w:rsidR="001C1BD8" w:rsidRPr="001E339C">
        <w:rPr>
          <w:sz w:val="25"/>
          <w:szCs w:val="25"/>
        </w:rPr>
        <w:t xml:space="preserve"> already is a realization that things aren’t </w:t>
      </w:r>
      <w:proofErr w:type="gramStart"/>
      <w:r w:rsidR="001C1BD8" w:rsidRPr="001E339C">
        <w:rPr>
          <w:sz w:val="25"/>
          <w:szCs w:val="25"/>
        </w:rPr>
        <w:t>suboptimal</w:t>
      </w:r>
      <w:proofErr w:type="gramEnd"/>
      <w:r w:rsidR="001C1BD8" w:rsidRPr="001E339C">
        <w:rPr>
          <w:sz w:val="25"/>
          <w:szCs w:val="25"/>
        </w:rPr>
        <w:t xml:space="preserve"> so the focus is on making things better rather than on strict separation of roles.</w:t>
      </w:r>
    </w:p>
    <w:p w14:paraId="22FE343F" w14:textId="730A4E25" w:rsidR="001C1BD8" w:rsidRDefault="001C1BD8" w:rsidP="005B3D37">
      <w:pPr>
        <w:pStyle w:val="ListParagraph"/>
        <w:numPr>
          <w:ilvl w:val="0"/>
          <w:numId w:val="4"/>
        </w:numPr>
        <w:rPr>
          <w:sz w:val="25"/>
          <w:szCs w:val="25"/>
        </w:rPr>
      </w:pPr>
      <w:r w:rsidRPr="001E339C">
        <w:rPr>
          <w:sz w:val="25"/>
          <w:szCs w:val="25"/>
        </w:rPr>
        <w:t xml:space="preserve">The people issues are being reviewed by HR/Legal and those are out of focus at this point.  </w:t>
      </w:r>
    </w:p>
    <w:p w14:paraId="6D64D906" w14:textId="63EFD511" w:rsidR="001E339C" w:rsidRPr="001E339C" w:rsidRDefault="001E339C" w:rsidP="005B3D37">
      <w:pPr>
        <w:pStyle w:val="ListParagraph"/>
        <w:numPr>
          <w:ilvl w:val="0"/>
          <w:numId w:val="4"/>
        </w:numPr>
        <w:rPr>
          <w:sz w:val="25"/>
          <w:szCs w:val="25"/>
        </w:rPr>
      </w:pPr>
      <w:r>
        <w:rPr>
          <w:sz w:val="25"/>
          <w:szCs w:val="25"/>
        </w:rPr>
        <w:t>A suboptimal CMDB already is existence or if there isn’t one then my team has the ability to create an enterprise ready one from some template.</w:t>
      </w:r>
    </w:p>
    <w:p w14:paraId="1B08D491" w14:textId="77777777" w:rsidR="005B3D37" w:rsidRPr="001E339C" w:rsidRDefault="005B3D37" w:rsidP="005B3D37">
      <w:pPr>
        <w:pStyle w:val="ListParagraph"/>
        <w:rPr>
          <w:sz w:val="25"/>
          <w:szCs w:val="25"/>
        </w:rPr>
      </w:pPr>
    </w:p>
    <w:p w14:paraId="3783115F" w14:textId="5908A3D3" w:rsidR="00A94FBF" w:rsidRPr="001E339C" w:rsidRDefault="00400086">
      <w:pPr>
        <w:rPr>
          <w:b/>
          <w:bCs/>
          <w:sz w:val="25"/>
          <w:szCs w:val="25"/>
        </w:rPr>
      </w:pPr>
      <w:r w:rsidRPr="001E339C">
        <w:rPr>
          <w:b/>
          <w:bCs/>
          <w:sz w:val="25"/>
          <w:szCs w:val="25"/>
        </w:rPr>
        <w:t>Planning</w:t>
      </w:r>
    </w:p>
    <w:p w14:paraId="2D77D06E" w14:textId="2AA0C66A" w:rsidR="004A1BC5" w:rsidRPr="001E339C" w:rsidRDefault="005B3D37">
      <w:pPr>
        <w:rPr>
          <w:sz w:val="25"/>
          <w:szCs w:val="25"/>
        </w:rPr>
      </w:pPr>
      <w:r w:rsidRPr="001E339C">
        <w:rPr>
          <w:sz w:val="25"/>
          <w:szCs w:val="25"/>
        </w:rPr>
        <w:t>Dalton, Walton, &amp; Carlton Inc do not appear to have a mature IT</w:t>
      </w:r>
      <w:r w:rsidR="001875A0" w:rsidRPr="001E339C">
        <w:rPr>
          <w:sz w:val="25"/>
          <w:szCs w:val="25"/>
        </w:rPr>
        <w:t xml:space="preserve"> lifecycle </w:t>
      </w:r>
      <w:r w:rsidRPr="001E339C">
        <w:rPr>
          <w:sz w:val="25"/>
          <w:szCs w:val="25"/>
        </w:rPr>
        <w:t xml:space="preserve">in place.  </w:t>
      </w:r>
      <w:r w:rsidR="001875A0" w:rsidRPr="001E339C">
        <w:rPr>
          <w:sz w:val="25"/>
          <w:szCs w:val="25"/>
        </w:rPr>
        <w:t xml:space="preserve">The example document communicates a haphazard approach to acquisition, management, accounting, and end of life disposal.  </w:t>
      </w:r>
      <w:r w:rsidR="006F24B0" w:rsidRPr="001E339C">
        <w:rPr>
          <w:sz w:val="25"/>
          <w:szCs w:val="25"/>
        </w:rPr>
        <w:t>I’ll plan to use the NIST SP 800-53 rev 4</w:t>
      </w:r>
      <w:r w:rsidR="00BD36A1" w:rsidRPr="001E339C">
        <w:rPr>
          <w:sz w:val="25"/>
          <w:szCs w:val="25"/>
        </w:rPr>
        <w:t xml:space="preserve"> as the framework for alignment.</w:t>
      </w:r>
      <w:sdt>
        <w:sdtPr>
          <w:rPr>
            <w:sz w:val="25"/>
            <w:szCs w:val="25"/>
          </w:rPr>
          <w:id w:val="-1010675255"/>
          <w:citation/>
        </w:sdtPr>
        <w:sdtContent>
          <w:r w:rsidR="00BD36A1" w:rsidRPr="001E339C">
            <w:rPr>
              <w:sz w:val="25"/>
              <w:szCs w:val="25"/>
            </w:rPr>
            <w:fldChar w:fldCharType="begin"/>
          </w:r>
          <w:r w:rsidR="00BD36A1" w:rsidRPr="001E339C">
            <w:rPr>
              <w:sz w:val="25"/>
              <w:szCs w:val="25"/>
            </w:rPr>
            <w:instrText xml:space="preserve"> CITATION NIS \l 1033 </w:instrText>
          </w:r>
          <w:r w:rsidR="00BD36A1" w:rsidRPr="001E339C">
            <w:rPr>
              <w:sz w:val="25"/>
              <w:szCs w:val="25"/>
            </w:rPr>
            <w:fldChar w:fldCharType="separate"/>
          </w:r>
          <w:r w:rsidR="00BD36A1" w:rsidRPr="001E339C">
            <w:rPr>
              <w:noProof/>
              <w:sz w:val="25"/>
              <w:szCs w:val="25"/>
            </w:rPr>
            <w:t xml:space="preserve"> (NIST, n.d.)</w:t>
          </w:r>
          <w:r w:rsidR="00BD36A1" w:rsidRPr="001E339C">
            <w:rPr>
              <w:sz w:val="25"/>
              <w:szCs w:val="25"/>
            </w:rPr>
            <w:fldChar w:fldCharType="end"/>
          </w:r>
        </w:sdtContent>
      </w:sdt>
      <w:r w:rsidR="00802D71" w:rsidRPr="001E339C">
        <w:rPr>
          <w:sz w:val="25"/>
          <w:szCs w:val="25"/>
        </w:rPr>
        <w:t xml:space="preserve">  The target date will be 6 months so as it can be reviewed and presented before the annual board meeting</w:t>
      </w:r>
      <w:r w:rsidR="001C1BD8" w:rsidRPr="001E339C">
        <w:rPr>
          <w:sz w:val="25"/>
          <w:szCs w:val="25"/>
        </w:rPr>
        <w:t xml:space="preserve"> to guide project and budget allocations</w:t>
      </w:r>
      <w:r w:rsidR="00802D71" w:rsidRPr="001E339C">
        <w:rPr>
          <w:sz w:val="25"/>
          <w:szCs w:val="25"/>
        </w:rPr>
        <w:t xml:space="preserve">. </w:t>
      </w:r>
      <w:r w:rsidR="001C1BD8" w:rsidRPr="001E339C">
        <w:rPr>
          <w:sz w:val="25"/>
          <w:szCs w:val="25"/>
        </w:rPr>
        <w:t xml:space="preserve"> The existing case study document will be treated as the initial survey.</w:t>
      </w:r>
    </w:p>
    <w:p w14:paraId="6A759E0C" w14:textId="77777777" w:rsidR="006516BF" w:rsidRPr="001E339C" w:rsidRDefault="006516BF">
      <w:pPr>
        <w:rPr>
          <w:sz w:val="25"/>
          <w:szCs w:val="25"/>
        </w:rPr>
      </w:pPr>
    </w:p>
    <w:p w14:paraId="3F17D431" w14:textId="128E8307" w:rsidR="00400086" w:rsidRPr="001E339C" w:rsidRDefault="00400086">
      <w:pPr>
        <w:rPr>
          <w:b/>
          <w:bCs/>
          <w:sz w:val="25"/>
          <w:szCs w:val="25"/>
        </w:rPr>
      </w:pPr>
      <w:r w:rsidRPr="001E339C">
        <w:rPr>
          <w:b/>
          <w:bCs/>
          <w:sz w:val="25"/>
          <w:szCs w:val="25"/>
        </w:rPr>
        <w:t>Fieldwork and Documentation</w:t>
      </w:r>
    </w:p>
    <w:p w14:paraId="14C5B801" w14:textId="1904B9F3" w:rsidR="00802D71" w:rsidRPr="001E339C" w:rsidRDefault="00802D71">
      <w:pPr>
        <w:rPr>
          <w:sz w:val="25"/>
          <w:szCs w:val="25"/>
        </w:rPr>
      </w:pPr>
      <w:r w:rsidRPr="001E339C">
        <w:rPr>
          <w:sz w:val="25"/>
          <w:szCs w:val="25"/>
        </w:rPr>
        <w:t xml:space="preserve">Gathering of the data will take the bulk of the time.  </w:t>
      </w:r>
      <w:r w:rsidR="00C26EDF" w:rsidRPr="001E339C">
        <w:rPr>
          <w:sz w:val="25"/>
          <w:szCs w:val="25"/>
        </w:rPr>
        <w:t xml:space="preserve">There are 4 regional locations with the largest being in Kansas City at the main office.  Much of the research will be tracking, identifying, and data entry into the CMDB in parallel with the research as to how the asset came into the system.  This will be done so as existing lifecycles can be captured to highlight gaps.  </w:t>
      </w:r>
      <w:sdt>
        <w:sdtPr>
          <w:rPr>
            <w:sz w:val="25"/>
            <w:szCs w:val="25"/>
          </w:rPr>
          <w:id w:val="211078736"/>
          <w:citation/>
        </w:sdtPr>
        <w:sdtContent>
          <w:r w:rsidR="001C1BD8" w:rsidRPr="001E339C">
            <w:rPr>
              <w:sz w:val="25"/>
              <w:szCs w:val="25"/>
            </w:rPr>
            <w:fldChar w:fldCharType="begin"/>
          </w:r>
          <w:r w:rsidR="001C1BD8" w:rsidRPr="001E339C">
            <w:rPr>
              <w:sz w:val="25"/>
              <w:szCs w:val="25"/>
            </w:rPr>
            <w:instrText xml:space="preserve"> CITATION Ali \l 1033 </w:instrText>
          </w:r>
          <w:r w:rsidR="001C1BD8" w:rsidRPr="001E339C">
            <w:rPr>
              <w:sz w:val="25"/>
              <w:szCs w:val="25"/>
            </w:rPr>
            <w:fldChar w:fldCharType="separate"/>
          </w:r>
          <w:r w:rsidR="001C1BD8" w:rsidRPr="001E339C">
            <w:rPr>
              <w:noProof/>
              <w:sz w:val="25"/>
              <w:szCs w:val="25"/>
            </w:rPr>
            <w:t>(Align, n.d.)</w:t>
          </w:r>
          <w:r w:rsidR="001C1BD8" w:rsidRPr="001E339C">
            <w:rPr>
              <w:sz w:val="25"/>
              <w:szCs w:val="25"/>
            </w:rPr>
            <w:fldChar w:fldCharType="end"/>
          </w:r>
        </w:sdtContent>
      </w:sdt>
    </w:p>
    <w:p w14:paraId="66294207" w14:textId="77777777" w:rsidR="00802D71" w:rsidRPr="001E339C" w:rsidRDefault="00802D71">
      <w:pPr>
        <w:rPr>
          <w:sz w:val="25"/>
          <w:szCs w:val="25"/>
        </w:rPr>
      </w:pPr>
    </w:p>
    <w:p w14:paraId="00454D22" w14:textId="2859B6C7" w:rsidR="00400086" w:rsidRPr="001E339C" w:rsidRDefault="00400086">
      <w:pPr>
        <w:rPr>
          <w:b/>
          <w:bCs/>
          <w:sz w:val="25"/>
          <w:szCs w:val="25"/>
        </w:rPr>
      </w:pPr>
      <w:r w:rsidRPr="001E339C">
        <w:rPr>
          <w:b/>
          <w:bCs/>
          <w:sz w:val="25"/>
          <w:szCs w:val="25"/>
        </w:rPr>
        <w:t>Issue Discovery and Validation</w:t>
      </w:r>
    </w:p>
    <w:p w14:paraId="494184B6" w14:textId="0FACE876" w:rsidR="00C26EDF" w:rsidRPr="001E339C" w:rsidRDefault="00C26EDF">
      <w:pPr>
        <w:rPr>
          <w:sz w:val="25"/>
          <w:szCs w:val="25"/>
        </w:rPr>
      </w:pPr>
      <w:r w:rsidRPr="001E339C">
        <w:rPr>
          <w:sz w:val="25"/>
          <w:szCs w:val="25"/>
        </w:rPr>
        <w:t>Assets whose providence cannot be identified will be captured here.</w:t>
      </w:r>
      <w:sdt>
        <w:sdtPr>
          <w:rPr>
            <w:sz w:val="25"/>
            <w:szCs w:val="25"/>
          </w:rPr>
          <w:id w:val="191035879"/>
          <w:citation/>
        </w:sdtPr>
        <w:sdtContent>
          <w:r w:rsidR="001C1BD8" w:rsidRPr="001E339C">
            <w:rPr>
              <w:sz w:val="25"/>
              <w:szCs w:val="25"/>
            </w:rPr>
            <w:fldChar w:fldCharType="begin"/>
          </w:r>
          <w:r w:rsidR="001C1BD8" w:rsidRPr="001E339C">
            <w:rPr>
              <w:sz w:val="25"/>
              <w:szCs w:val="25"/>
            </w:rPr>
            <w:instrText xml:space="preserve"> CITATION Ste1 \l 1033 </w:instrText>
          </w:r>
          <w:r w:rsidR="001C1BD8" w:rsidRPr="001E339C">
            <w:rPr>
              <w:sz w:val="25"/>
              <w:szCs w:val="25"/>
            </w:rPr>
            <w:fldChar w:fldCharType="separate"/>
          </w:r>
          <w:r w:rsidR="001C1BD8" w:rsidRPr="001E339C">
            <w:rPr>
              <w:noProof/>
              <w:sz w:val="25"/>
              <w:szCs w:val="25"/>
            </w:rPr>
            <w:t xml:space="preserve"> (Kempter, n.d.)</w:t>
          </w:r>
          <w:r w:rsidR="001C1BD8" w:rsidRPr="001E339C">
            <w:rPr>
              <w:sz w:val="25"/>
              <w:szCs w:val="25"/>
            </w:rPr>
            <w:fldChar w:fldCharType="end"/>
          </w:r>
        </w:sdtContent>
      </w:sdt>
      <w:r w:rsidRPr="001E339C">
        <w:rPr>
          <w:sz w:val="25"/>
          <w:szCs w:val="25"/>
        </w:rPr>
        <w:t xml:space="preserve">  I plan to use the CMDB to help create a reverse image of the things that we do know versus the things we do not know.  This way the known unknowns will establish a population of asset classes that are currently not captured.</w:t>
      </w:r>
      <w:sdt>
        <w:sdtPr>
          <w:rPr>
            <w:sz w:val="25"/>
            <w:szCs w:val="25"/>
          </w:rPr>
          <w:id w:val="176548749"/>
          <w:citation/>
        </w:sdtPr>
        <w:sdtContent>
          <w:r w:rsidR="001C1BD8" w:rsidRPr="001E339C">
            <w:rPr>
              <w:sz w:val="25"/>
              <w:szCs w:val="25"/>
            </w:rPr>
            <w:fldChar w:fldCharType="begin"/>
          </w:r>
          <w:r w:rsidR="001C1BD8" w:rsidRPr="001E339C">
            <w:rPr>
              <w:sz w:val="25"/>
              <w:szCs w:val="25"/>
            </w:rPr>
            <w:instrText xml:space="preserve"> CITATION UCS \l 1033 </w:instrText>
          </w:r>
          <w:r w:rsidR="001C1BD8" w:rsidRPr="001E339C">
            <w:rPr>
              <w:sz w:val="25"/>
              <w:szCs w:val="25"/>
            </w:rPr>
            <w:fldChar w:fldCharType="separate"/>
          </w:r>
          <w:r w:rsidR="001C1BD8" w:rsidRPr="001E339C">
            <w:rPr>
              <w:noProof/>
              <w:sz w:val="25"/>
              <w:szCs w:val="25"/>
            </w:rPr>
            <w:t xml:space="preserve"> (UCSF IT Service Management, n.d.)</w:t>
          </w:r>
          <w:r w:rsidR="001C1BD8" w:rsidRPr="001E339C">
            <w:rPr>
              <w:sz w:val="25"/>
              <w:szCs w:val="25"/>
            </w:rPr>
            <w:fldChar w:fldCharType="end"/>
          </w:r>
        </w:sdtContent>
      </w:sdt>
      <w:r w:rsidRPr="001E339C">
        <w:rPr>
          <w:sz w:val="25"/>
          <w:szCs w:val="25"/>
        </w:rPr>
        <w:t xml:space="preserve">  These categories that are underserved by the existing </w:t>
      </w:r>
      <w:r w:rsidR="001C1BD8" w:rsidRPr="001E339C">
        <w:rPr>
          <w:sz w:val="25"/>
          <w:szCs w:val="25"/>
        </w:rPr>
        <w:t>processes</w:t>
      </w:r>
      <w:r w:rsidRPr="001E339C">
        <w:rPr>
          <w:sz w:val="25"/>
          <w:szCs w:val="25"/>
        </w:rPr>
        <w:t xml:space="preserve"> will be the target for additional scrutiny.</w:t>
      </w:r>
      <w:r w:rsidR="001C1BD8" w:rsidRPr="001E339C">
        <w:rPr>
          <w:sz w:val="25"/>
          <w:szCs w:val="25"/>
        </w:rPr>
        <w:t xml:space="preserve">  </w:t>
      </w:r>
    </w:p>
    <w:p w14:paraId="2277152C" w14:textId="77777777" w:rsidR="00C26EDF" w:rsidRPr="001E339C" w:rsidRDefault="00C26EDF">
      <w:pPr>
        <w:rPr>
          <w:sz w:val="25"/>
          <w:szCs w:val="25"/>
        </w:rPr>
      </w:pPr>
    </w:p>
    <w:p w14:paraId="05BB9AE5" w14:textId="3D42DDBE" w:rsidR="00400086" w:rsidRPr="001E339C" w:rsidRDefault="00400086">
      <w:pPr>
        <w:rPr>
          <w:b/>
          <w:bCs/>
          <w:sz w:val="25"/>
          <w:szCs w:val="25"/>
        </w:rPr>
      </w:pPr>
      <w:r w:rsidRPr="001E339C">
        <w:rPr>
          <w:b/>
          <w:bCs/>
          <w:sz w:val="25"/>
          <w:szCs w:val="25"/>
        </w:rPr>
        <w:t>Solution Development</w:t>
      </w:r>
    </w:p>
    <w:p w14:paraId="73B6375D" w14:textId="2249C0EB" w:rsidR="00C26EDF" w:rsidRPr="001E339C" w:rsidRDefault="00C26EDF">
      <w:pPr>
        <w:rPr>
          <w:sz w:val="25"/>
          <w:szCs w:val="25"/>
        </w:rPr>
      </w:pPr>
      <w:r w:rsidRPr="001E339C">
        <w:rPr>
          <w:sz w:val="25"/>
          <w:szCs w:val="25"/>
        </w:rPr>
        <w:lastRenderedPageBreak/>
        <w:t xml:space="preserve">The identified untracked/unhandled categories of assets will be varied.  The plan is to </w:t>
      </w:r>
      <w:r w:rsidR="003D7675" w:rsidRPr="001E339C">
        <w:rPr>
          <w:sz w:val="25"/>
          <w:szCs w:val="25"/>
        </w:rPr>
        <w:t xml:space="preserve">align these assets to best practices identified in other </w:t>
      </w:r>
      <w:proofErr w:type="spellStart"/>
      <w:r w:rsidR="003D7675" w:rsidRPr="001E339C">
        <w:rPr>
          <w:sz w:val="25"/>
          <w:szCs w:val="25"/>
        </w:rPr>
        <w:t>publically</w:t>
      </w:r>
      <w:proofErr w:type="spellEnd"/>
      <w:r w:rsidR="003D7675" w:rsidRPr="001E339C">
        <w:rPr>
          <w:sz w:val="25"/>
          <w:szCs w:val="25"/>
        </w:rPr>
        <w:t xml:space="preserve"> available NIST audit examples.  This is to help ensure alignment to the standard and reduce cost/duration of the audit.  Asset tags, process changes to adopt CMDB data entry, explicit asset ownership, these are some general solutions that are needed.</w:t>
      </w:r>
    </w:p>
    <w:p w14:paraId="5B5B9217" w14:textId="77777777" w:rsidR="00C26EDF" w:rsidRPr="001E339C" w:rsidRDefault="00C26EDF">
      <w:pPr>
        <w:rPr>
          <w:sz w:val="25"/>
          <w:szCs w:val="25"/>
        </w:rPr>
      </w:pPr>
    </w:p>
    <w:p w14:paraId="0F47C567" w14:textId="4D73EF75" w:rsidR="00400086" w:rsidRPr="001E339C" w:rsidRDefault="00400086">
      <w:pPr>
        <w:rPr>
          <w:b/>
          <w:bCs/>
          <w:sz w:val="25"/>
          <w:szCs w:val="25"/>
        </w:rPr>
      </w:pPr>
      <w:r w:rsidRPr="001E339C">
        <w:rPr>
          <w:b/>
          <w:bCs/>
          <w:sz w:val="25"/>
          <w:szCs w:val="25"/>
        </w:rPr>
        <w:t>Report Drafting and Issuance</w:t>
      </w:r>
    </w:p>
    <w:p w14:paraId="38A2855D" w14:textId="1A14AF3A" w:rsidR="003D7675" w:rsidRPr="001E339C" w:rsidRDefault="003D7675">
      <w:pPr>
        <w:rPr>
          <w:sz w:val="25"/>
          <w:szCs w:val="25"/>
        </w:rPr>
      </w:pPr>
      <w:r w:rsidRPr="001E339C">
        <w:rPr>
          <w:sz w:val="25"/>
          <w:szCs w:val="25"/>
        </w:rPr>
        <w:t xml:space="preserve">The report creation will focus on the target audience of the board of directors and future resource allocations for implementation.  The generated </w:t>
      </w:r>
      <w:proofErr w:type="spellStart"/>
      <w:r w:rsidRPr="001E339C">
        <w:rPr>
          <w:sz w:val="25"/>
          <w:szCs w:val="25"/>
        </w:rPr>
        <w:t>workproduct</w:t>
      </w:r>
      <w:proofErr w:type="spellEnd"/>
      <w:r w:rsidRPr="001E339C">
        <w:rPr>
          <w:sz w:val="25"/>
          <w:szCs w:val="25"/>
        </w:rPr>
        <w:t xml:space="preserve"> of the initial creation and populating of the CMDB will be used at this point to highlight the value of the assets that are missing.  This is pushing the </w:t>
      </w:r>
      <w:proofErr w:type="spellStart"/>
      <w:r w:rsidRPr="001E339C">
        <w:rPr>
          <w:sz w:val="25"/>
          <w:szCs w:val="25"/>
        </w:rPr>
        <w:t>boundray</w:t>
      </w:r>
      <w:proofErr w:type="spellEnd"/>
      <w:r w:rsidRPr="001E339C">
        <w:rPr>
          <w:sz w:val="25"/>
          <w:szCs w:val="25"/>
        </w:rPr>
        <w:t xml:space="preserve"> between implementation and audit but without the CMDB much of the research around identifying where the emptiness is in the ecosystem would have been impossible.  </w:t>
      </w:r>
    </w:p>
    <w:p w14:paraId="1D058EDA" w14:textId="77777777" w:rsidR="003D7675" w:rsidRPr="001E339C" w:rsidRDefault="003D7675">
      <w:pPr>
        <w:rPr>
          <w:sz w:val="25"/>
          <w:szCs w:val="25"/>
        </w:rPr>
      </w:pPr>
    </w:p>
    <w:p w14:paraId="66F515D4" w14:textId="027AB5F1" w:rsidR="00400086" w:rsidRPr="001E339C" w:rsidRDefault="00400086">
      <w:pPr>
        <w:rPr>
          <w:b/>
          <w:bCs/>
          <w:sz w:val="25"/>
          <w:szCs w:val="25"/>
        </w:rPr>
      </w:pPr>
      <w:r w:rsidRPr="001E339C">
        <w:rPr>
          <w:b/>
          <w:bCs/>
          <w:sz w:val="25"/>
          <w:szCs w:val="25"/>
        </w:rPr>
        <w:t>Issue Tracking</w:t>
      </w:r>
    </w:p>
    <w:p w14:paraId="7B65436D" w14:textId="1EF09DAE" w:rsidR="00400086" w:rsidRPr="001E339C" w:rsidRDefault="003D7675">
      <w:pPr>
        <w:rPr>
          <w:sz w:val="25"/>
          <w:szCs w:val="25"/>
        </w:rPr>
      </w:pPr>
      <w:r w:rsidRPr="001E339C">
        <w:rPr>
          <w:sz w:val="25"/>
          <w:szCs w:val="25"/>
        </w:rPr>
        <w:t xml:space="preserve">An established cycle of working through each location and performing an inventory would be the best course for establishing progress and adherence.  Asset discovery during these audits should trigger a lifecycle review of how the asset was acquired and what controls were not followed or what additional controls need to be created to prevent future similar assets from not being captured.  </w:t>
      </w:r>
    </w:p>
    <w:p w14:paraId="0FDDEF89" w14:textId="503B0DA5" w:rsidR="001E339C" w:rsidRPr="001E339C" w:rsidRDefault="001E339C">
      <w:pPr>
        <w:rPr>
          <w:sz w:val="25"/>
          <w:szCs w:val="25"/>
        </w:rPr>
      </w:pPr>
    </w:p>
    <w:sdt>
      <w:sdtPr>
        <w:rPr>
          <w:rFonts w:asciiTheme="minorHAnsi" w:hAnsiTheme="minorHAnsi"/>
          <w:sz w:val="25"/>
          <w:szCs w:val="25"/>
        </w:rPr>
        <w:id w:val="1797951472"/>
        <w:docPartObj>
          <w:docPartGallery w:val="Bibliographies"/>
          <w:docPartUnique/>
        </w:docPartObj>
      </w:sdtPr>
      <w:sdtEndPr>
        <w:rPr>
          <w:rFonts w:eastAsiaTheme="minorHAnsi" w:cstheme="minorBidi"/>
          <w:color w:val="auto"/>
          <w:lang w:bidi="ar-SA"/>
        </w:rPr>
      </w:sdtEndPr>
      <w:sdtContent>
        <w:p w14:paraId="352FD0B9" w14:textId="6AF78AD3" w:rsidR="001E339C" w:rsidRPr="001E339C" w:rsidRDefault="001E339C">
          <w:pPr>
            <w:pStyle w:val="Heading1"/>
            <w:rPr>
              <w:rFonts w:asciiTheme="minorHAnsi" w:hAnsiTheme="minorHAnsi"/>
              <w:sz w:val="25"/>
              <w:szCs w:val="25"/>
            </w:rPr>
          </w:pPr>
          <w:r w:rsidRPr="001E339C">
            <w:rPr>
              <w:rFonts w:asciiTheme="minorHAnsi" w:hAnsiTheme="minorHAnsi"/>
              <w:sz w:val="25"/>
              <w:szCs w:val="25"/>
            </w:rPr>
            <w:t>Works Cited</w:t>
          </w:r>
        </w:p>
        <w:p w14:paraId="0B3E6CCB" w14:textId="77777777" w:rsidR="001E339C" w:rsidRPr="001E339C" w:rsidRDefault="001E339C" w:rsidP="001E339C">
          <w:pPr>
            <w:pStyle w:val="Bibliography"/>
            <w:ind w:left="720" w:hanging="720"/>
            <w:rPr>
              <w:noProof/>
              <w:sz w:val="25"/>
              <w:szCs w:val="25"/>
            </w:rPr>
          </w:pPr>
          <w:r w:rsidRPr="001E339C">
            <w:rPr>
              <w:sz w:val="25"/>
              <w:szCs w:val="25"/>
            </w:rPr>
            <w:fldChar w:fldCharType="begin"/>
          </w:r>
          <w:r w:rsidRPr="001E339C">
            <w:rPr>
              <w:sz w:val="25"/>
              <w:szCs w:val="25"/>
            </w:rPr>
            <w:instrText xml:space="preserve"> BIBLIOGRAPHY </w:instrText>
          </w:r>
          <w:r w:rsidRPr="001E339C">
            <w:rPr>
              <w:sz w:val="25"/>
              <w:szCs w:val="25"/>
            </w:rPr>
            <w:fldChar w:fldCharType="separate"/>
          </w:r>
          <w:r w:rsidRPr="001E339C">
            <w:rPr>
              <w:noProof/>
              <w:sz w:val="25"/>
              <w:szCs w:val="25"/>
            </w:rPr>
            <w:t xml:space="preserve">Align. (n.d.). </w:t>
          </w:r>
          <w:r w:rsidRPr="001E339C">
            <w:rPr>
              <w:i/>
              <w:iCs/>
              <w:noProof/>
              <w:sz w:val="25"/>
              <w:szCs w:val="25"/>
            </w:rPr>
            <w:t>The Criticality of Configuration Management Database (CMDB) Accuracy</w:t>
          </w:r>
          <w:r w:rsidRPr="001E339C">
            <w:rPr>
              <w:noProof/>
              <w:sz w:val="25"/>
              <w:szCs w:val="25"/>
            </w:rPr>
            <w:t>. Retrieved from Align: https://www.align.com/blog/criticality-of-configuration-management-database-accuracy</w:t>
          </w:r>
        </w:p>
        <w:p w14:paraId="74E05094" w14:textId="77777777" w:rsidR="001E339C" w:rsidRPr="001E339C" w:rsidRDefault="001E339C" w:rsidP="001E339C">
          <w:pPr>
            <w:pStyle w:val="Bibliography"/>
            <w:ind w:left="720" w:hanging="720"/>
            <w:rPr>
              <w:noProof/>
              <w:sz w:val="25"/>
              <w:szCs w:val="25"/>
            </w:rPr>
          </w:pPr>
          <w:r w:rsidRPr="001E339C">
            <w:rPr>
              <w:noProof/>
              <w:sz w:val="25"/>
              <w:szCs w:val="25"/>
            </w:rPr>
            <w:t xml:space="preserve">Kempter, S. (n.d.). </w:t>
          </w:r>
          <w:r w:rsidRPr="001E339C">
            <w:rPr>
              <w:i/>
              <w:iCs/>
              <w:noProof/>
              <w:sz w:val="25"/>
              <w:szCs w:val="25"/>
            </w:rPr>
            <w:t>Checklist CMDB Audit Protocol</w:t>
          </w:r>
          <w:r w:rsidRPr="001E339C">
            <w:rPr>
              <w:noProof/>
              <w:sz w:val="25"/>
              <w:szCs w:val="25"/>
            </w:rPr>
            <w:t>. Retrieved from IT Process Maps: https://wiki.en.it-processmaps.com/index.php/Checklist_CMDB_Audit_Protocol</w:t>
          </w:r>
        </w:p>
        <w:p w14:paraId="5C803DBE" w14:textId="77777777" w:rsidR="001E339C" w:rsidRPr="001E339C" w:rsidRDefault="001E339C" w:rsidP="001E339C">
          <w:pPr>
            <w:pStyle w:val="Bibliography"/>
            <w:ind w:left="720" w:hanging="720"/>
            <w:rPr>
              <w:noProof/>
              <w:sz w:val="25"/>
              <w:szCs w:val="25"/>
            </w:rPr>
          </w:pPr>
          <w:r w:rsidRPr="001E339C">
            <w:rPr>
              <w:noProof/>
              <w:sz w:val="25"/>
              <w:szCs w:val="25"/>
            </w:rPr>
            <w:t xml:space="preserve">NIST. (n.d.). </w:t>
          </w:r>
          <w:r w:rsidRPr="001E339C">
            <w:rPr>
              <w:i/>
              <w:iCs/>
              <w:noProof/>
              <w:sz w:val="25"/>
              <w:szCs w:val="25"/>
            </w:rPr>
            <w:t>Security and Privacy Controls for Federal Information Systems and Organizations</w:t>
          </w:r>
          <w:r w:rsidRPr="001E339C">
            <w:rPr>
              <w:noProof/>
              <w:sz w:val="25"/>
              <w:szCs w:val="25"/>
            </w:rPr>
            <w:t>. Retrieved from COMPUTER SECURITY RESOURCE CENTER: https://csrc.nist.gov/publications/detail/sp/800-53/rev-4/final</w:t>
          </w:r>
        </w:p>
        <w:p w14:paraId="3ECD8527" w14:textId="77777777" w:rsidR="001E339C" w:rsidRPr="001E339C" w:rsidRDefault="001E339C" w:rsidP="001E339C">
          <w:pPr>
            <w:pStyle w:val="Bibliography"/>
            <w:ind w:left="720" w:hanging="720"/>
            <w:rPr>
              <w:noProof/>
              <w:sz w:val="25"/>
              <w:szCs w:val="25"/>
            </w:rPr>
          </w:pPr>
          <w:r w:rsidRPr="001E339C">
            <w:rPr>
              <w:noProof/>
              <w:sz w:val="25"/>
              <w:szCs w:val="25"/>
            </w:rPr>
            <w:t xml:space="preserve">UCSF IT Service Management. (n.d.). </w:t>
          </w:r>
          <w:r w:rsidRPr="001E339C">
            <w:rPr>
              <w:i/>
              <w:iCs/>
              <w:noProof/>
              <w:sz w:val="25"/>
              <w:szCs w:val="25"/>
            </w:rPr>
            <w:t>SERVICE ASSET AND CONFIGURATION MANAGEMENT PROCESS</w:t>
          </w:r>
          <w:r w:rsidRPr="001E339C">
            <w:rPr>
              <w:noProof/>
              <w:sz w:val="25"/>
              <w:szCs w:val="25"/>
            </w:rPr>
            <w:t>. Retrieved from UCSF: https://itsm.ucsf.edu/sites/itsm.ucsf.edu/files/Service%20Asset%20and%20Configuration%20Management%20Process.pdf</w:t>
          </w:r>
        </w:p>
        <w:p w14:paraId="06670C1F" w14:textId="25132823" w:rsidR="001E339C" w:rsidRPr="001E339C" w:rsidRDefault="001E339C" w:rsidP="001E339C">
          <w:pPr>
            <w:rPr>
              <w:sz w:val="25"/>
              <w:szCs w:val="25"/>
            </w:rPr>
          </w:pPr>
          <w:r w:rsidRPr="001E339C">
            <w:rPr>
              <w:b/>
              <w:bCs/>
              <w:sz w:val="25"/>
              <w:szCs w:val="25"/>
            </w:rPr>
            <w:fldChar w:fldCharType="end"/>
          </w:r>
        </w:p>
      </w:sdtContent>
    </w:sdt>
    <w:p w14:paraId="04875999" w14:textId="77777777" w:rsidR="001E339C" w:rsidRPr="001E339C" w:rsidRDefault="001E339C">
      <w:pPr>
        <w:rPr>
          <w:sz w:val="25"/>
          <w:szCs w:val="25"/>
        </w:rPr>
      </w:pPr>
    </w:p>
    <w:sectPr w:rsidR="001E339C" w:rsidRPr="001E339C"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4784D"/>
    <w:multiLevelType w:val="multilevel"/>
    <w:tmpl w:val="08C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75803"/>
    <w:multiLevelType w:val="multilevel"/>
    <w:tmpl w:val="6DD0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A64C3C"/>
    <w:multiLevelType w:val="multilevel"/>
    <w:tmpl w:val="C8EED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C44F5"/>
    <w:multiLevelType w:val="hybridMultilevel"/>
    <w:tmpl w:val="65F6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86"/>
    <w:rsid w:val="001875A0"/>
    <w:rsid w:val="001C1BD8"/>
    <w:rsid w:val="001E339C"/>
    <w:rsid w:val="003D7675"/>
    <w:rsid w:val="00400086"/>
    <w:rsid w:val="004A1BC5"/>
    <w:rsid w:val="005659E9"/>
    <w:rsid w:val="005B3D37"/>
    <w:rsid w:val="006516BF"/>
    <w:rsid w:val="006A21A2"/>
    <w:rsid w:val="006F24B0"/>
    <w:rsid w:val="00802D71"/>
    <w:rsid w:val="00A94FBF"/>
    <w:rsid w:val="00BD36A1"/>
    <w:rsid w:val="00C26EDF"/>
    <w:rsid w:val="00D655BB"/>
    <w:rsid w:val="00E80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D1EF"/>
  <w15:chartTrackingRefBased/>
  <w15:docId w15:val="{E1C64750-2141-CF4C-90BE-F5F43EA5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39C"/>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
    <w:name w:val="root"/>
    <w:basedOn w:val="Normal"/>
    <w:rsid w:val="0040008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00086"/>
    <w:rPr>
      <w:color w:val="0000FF"/>
      <w:u w:val="single"/>
    </w:rPr>
  </w:style>
  <w:style w:type="paragraph" w:styleId="NormalWeb">
    <w:name w:val="Normal (Web)"/>
    <w:basedOn w:val="Normal"/>
    <w:uiPriority w:val="99"/>
    <w:semiHidden/>
    <w:unhideWhenUsed/>
    <w:rsid w:val="00E80359"/>
    <w:pPr>
      <w:spacing w:before="100" w:beforeAutospacing="1" w:after="100" w:afterAutospacing="1"/>
    </w:pPr>
    <w:rPr>
      <w:rFonts w:ascii="Times New Roman" w:eastAsia="Times New Roman" w:hAnsi="Times New Roman" w:cs="Times New Roman"/>
    </w:rPr>
  </w:style>
  <w:style w:type="character" w:customStyle="1" w:styleId="fnt0">
    <w:name w:val="fnt0"/>
    <w:basedOn w:val="DefaultParagraphFont"/>
    <w:rsid w:val="00E80359"/>
  </w:style>
  <w:style w:type="character" w:styleId="Emphasis">
    <w:name w:val="Emphasis"/>
    <w:basedOn w:val="DefaultParagraphFont"/>
    <w:uiPriority w:val="20"/>
    <w:qFormat/>
    <w:rsid w:val="00E80359"/>
    <w:rPr>
      <w:i/>
      <w:iCs/>
    </w:rPr>
  </w:style>
  <w:style w:type="paragraph" w:styleId="ListParagraph">
    <w:name w:val="List Paragraph"/>
    <w:basedOn w:val="Normal"/>
    <w:uiPriority w:val="34"/>
    <w:qFormat/>
    <w:rsid w:val="005B3D37"/>
    <w:pPr>
      <w:ind w:left="720"/>
      <w:contextualSpacing/>
    </w:pPr>
  </w:style>
  <w:style w:type="character" w:customStyle="1" w:styleId="Heading1Char">
    <w:name w:val="Heading 1 Char"/>
    <w:basedOn w:val="DefaultParagraphFont"/>
    <w:link w:val="Heading1"/>
    <w:uiPriority w:val="9"/>
    <w:rsid w:val="001E339C"/>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1E3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1861">
      <w:bodyDiv w:val="1"/>
      <w:marLeft w:val="0"/>
      <w:marRight w:val="0"/>
      <w:marTop w:val="0"/>
      <w:marBottom w:val="0"/>
      <w:divBdr>
        <w:top w:val="none" w:sz="0" w:space="0" w:color="auto"/>
        <w:left w:val="none" w:sz="0" w:space="0" w:color="auto"/>
        <w:bottom w:val="none" w:sz="0" w:space="0" w:color="auto"/>
        <w:right w:val="none" w:sz="0" w:space="0" w:color="auto"/>
      </w:divBdr>
    </w:div>
    <w:div w:id="98567859">
      <w:bodyDiv w:val="1"/>
      <w:marLeft w:val="0"/>
      <w:marRight w:val="0"/>
      <w:marTop w:val="0"/>
      <w:marBottom w:val="0"/>
      <w:divBdr>
        <w:top w:val="none" w:sz="0" w:space="0" w:color="auto"/>
        <w:left w:val="none" w:sz="0" w:space="0" w:color="auto"/>
        <w:bottom w:val="none" w:sz="0" w:space="0" w:color="auto"/>
        <w:right w:val="none" w:sz="0" w:space="0" w:color="auto"/>
      </w:divBdr>
    </w:div>
    <w:div w:id="437718235">
      <w:bodyDiv w:val="1"/>
      <w:marLeft w:val="0"/>
      <w:marRight w:val="0"/>
      <w:marTop w:val="0"/>
      <w:marBottom w:val="0"/>
      <w:divBdr>
        <w:top w:val="none" w:sz="0" w:space="0" w:color="auto"/>
        <w:left w:val="none" w:sz="0" w:space="0" w:color="auto"/>
        <w:bottom w:val="none" w:sz="0" w:space="0" w:color="auto"/>
        <w:right w:val="none" w:sz="0" w:space="0" w:color="auto"/>
      </w:divBdr>
    </w:div>
    <w:div w:id="550265088">
      <w:bodyDiv w:val="1"/>
      <w:marLeft w:val="0"/>
      <w:marRight w:val="0"/>
      <w:marTop w:val="0"/>
      <w:marBottom w:val="0"/>
      <w:divBdr>
        <w:top w:val="none" w:sz="0" w:space="0" w:color="auto"/>
        <w:left w:val="none" w:sz="0" w:space="0" w:color="auto"/>
        <w:bottom w:val="none" w:sz="0" w:space="0" w:color="auto"/>
        <w:right w:val="none" w:sz="0" w:space="0" w:color="auto"/>
      </w:divBdr>
    </w:div>
    <w:div w:id="762729833">
      <w:bodyDiv w:val="1"/>
      <w:marLeft w:val="0"/>
      <w:marRight w:val="0"/>
      <w:marTop w:val="0"/>
      <w:marBottom w:val="0"/>
      <w:divBdr>
        <w:top w:val="none" w:sz="0" w:space="0" w:color="auto"/>
        <w:left w:val="none" w:sz="0" w:space="0" w:color="auto"/>
        <w:bottom w:val="none" w:sz="0" w:space="0" w:color="auto"/>
        <w:right w:val="none" w:sz="0" w:space="0" w:color="auto"/>
      </w:divBdr>
    </w:div>
    <w:div w:id="924532584">
      <w:bodyDiv w:val="1"/>
      <w:marLeft w:val="0"/>
      <w:marRight w:val="0"/>
      <w:marTop w:val="0"/>
      <w:marBottom w:val="0"/>
      <w:divBdr>
        <w:top w:val="none" w:sz="0" w:space="0" w:color="auto"/>
        <w:left w:val="none" w:sz="0" w:space="0" w:color="auto"/>
        <w:bottom w:val="none" w:sz="0" w:space="0" w:color="auto"/>
        <w:right w:val="none" w:sz="0" w:space="0" w:color="auto"/>
      </w:divBdr>
    </w:div>
    <w:div w:id="977802105">
      <w:bodyDiv w:val="1"/>
      <w:marLeft w:val="0"/>
      <w:marRight w:val="0"/>
      <w:marTop w:val="0"/>
      <w:marBottom w:val="0"/>
      <w:divBdr>
        <w:top w:val="none" w:sz="0" w:space="0" w:color="auto"/>
        <w:left w:val="none" w:sz="0" w:space="0" w:color="auto"/>
        <w:bottom w:val="none" w:sz="0" w:space="0" w:color="auto"/>
        <w:right w:val="none" w:sz="0" w:space="0" w:color="auto"/>
      </w:divBdr>
    </w:div>
    <w:div w:id="1249390170">
      <w:bodyDiv w:val="1"/>
      <w:marLeft w:val="0"/>
      <w:marRight w:val="0"/>
      <w:marTop w:val="0"/>
      <w:marBottom w:val="0"/>
      <w:divBdr>
        <w:top w:val="none" w:sz="0" w:space="0" w:color="auto"/>
        <w:left w:val="none" w:sz="0" w:space="0" w:color="auto"/>
        <w:bottom w:val="none" w:sz="0" w:space="0" w:color="auto"/>
        <w:right w:val="none" w:sz="0" w:space="0" w:color="auto"/>
      </w:divBdr>
    </w:div>
    <w:div w:id="162780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yberactive.bellevue.edu/webapps/blackboard/execute/courseMain?course_id=_493170_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NIS</b:Tag>
    <b:SourceType>InternetSite</b:SourceType>
    <b:Guid>{2991E3A0-C77E-A546-9149-4AA36329E79D}</b:Guid>
    <b:Author>
      <b:Author>
        <b:Corporate>NIST</b:Corporate>
      </b:Author>
    </b:Author>
    <b:Title>Security and Privacy Controls for Federal Information Systems and Organizations</b:Title>
    <b:InternetSiteTitle>COMPUTER SECURITY RESOURCE CENTER</b:InternetSiteTitle>
    <b:URL>https://csrc.nist.gov/publications/detail/sp/800-53/rev-4/final</b:URL>
    <b:RefOrder>1</b:RefOrder>
  </b:Source>
  <b:Source>
    <b:Tag>Ali</b:Tag>
    <b:SourceType>InternetSite</b:SourceType>
    <b:Guid>{7F91B489-DF98-A249-BEEA-CB1B9D1E71E3}</b:Guid>
    <b:Author>
      <b:Author>
        <b:Corporate>Align</b:Corporate>
      </b:Author>
    </b:Author>
    <b:Title>The Criticality of Configuration Management Database (CMDB) Accuracy</b:Title>
    <b:InternetSiteTitle>Align</b:InternetSiteTitle>
    <b:URL>https://www.align.com/blog/criticality-of-configuration-management-database-accuracy</b:URL>
    <b:RefOrder>2</b:RefOrder>
  </b:Source>
  <b:Source>
    <b:Tag>Ste1</b:Tag>
    <b:SourceType>InternetSite</b:SourceType>
    <b:Guid>{E6FA21DB-6805-3C45-94A6-2047AE4D1589}</b:Guid>
    <b:Author>
      <b:Author>
        <b:NameList>
          <b:Person>
            <b:Last>Kempter</b:Last>
            <b:First>Stefan</b:First>
          </b:Person>
        </b:NameList>
      </b:Author>
    </b:Author>
    <b:Title>Checklist CMDB Audit Protocol</b:Title>
    <b:InternetSiteTitle>IT Process Maps</b:InternetSiteTitle>
    <b:URL>https://wiki.en.it-processmaps.com/index.php/Checklist_CMDB_Audit_Protocol</b:URL>
    <b:RefOrder>3</b:RefOrder>
  </b:Source>
  <b:Source>
    <b:Tag>UCS</b:Tag>
    <b:SourceType>InternetSite</b:SourceType>
    <b:Guid>{2B686748-F590-BB49-A7C7-ABEA21059423}</b:Guid>
    <b:Author>
      <b:Author>
        <b:Corporate>UCSF IT Service Management</b:Corporate>
      </b:Author>
    </b:Author>
    <b:Title>SERVICE ASSET AND CONFIGURATION MANAGEMENT PROCESS</b:Title>
    <b:InternetSiteTitle>UCSF</b:InternetSiteTitle>
    <b:URL>https://itsm.ucsf.edu/sites/itsm.ucsf.edu/files/Service%20Asset%20and%20Configuration%20Management%20Process.pdf</b:URL>
    <b:RefOrder>4</b:RefOrder>
  </b:Source>
</b:Sources>
</file>

<file path=customXml/itemProps1.xml><?xml version="1.0" encoding="utf-8"?>
<ds:datastoreItem xmlns:ds="http://schemas.openxmlformats.org/officeDocument/2006/customXml" ds:itemID="{DFB20687-02A0-A346-9F71-1A7B76FE3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2</cp:revision>
  <dcterms:created xsi:type="dcterms:W3CDTF">2020-05-24T02:08:00Z</dcterms:created>
  <dcterms:modified xsi:type="dcterms:W3CDTF">2020-05-24T05:47:00Z</dcterms:modified>
</cp:coreProperties>
</file>