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44"/>
          <w:szCs w:val="44"/>
        </w:rPr>
        <w:t xml:space="preserve">ArcVault AI-Powered Intake &amp; Triage Pipeline</w:t>
      </w:r>
    </w:p>
    <w:p>
      <w:pPr>
        <w:spacing w:before="200"/>
        <w:jc w:val="center"/>
      </w:pPr>
      <w:r>
        <w:rPr>
          <w:rFonts w:ascii="Arial" w:cs="Arial" w:eastAsia="Arial" w:hAnsi="Arial"/>
          <w:color w:val="555555"/>
          <w:sz w:val="28"/>
          <w:szCs w:val="28"/>
        </w:rPr>
        <w:t xml:space="preserve">Architecture Write-Up &amp; Prompt Documentation</w:t>
      </w:r>
    </w:p>
    <w:p>
      <w:pPr>
        <w:spacing w:before="400"/>
        <w:jc w:val="center"/>
      </w:pPr>
      <w:r>
        <w:rPr>
          <w:rFonts w:ascii="Arial" w:cs="Arial" w:eastAsia="Arial" w:hAnsi="Arial"/>
          <w:color w:val="777777"/>
          <w:sz w:val="24"/>
          <w:szCs w:val="24"/>
        </w:rPr>
        <w:t xml:space="preserve">Valsoft AI Engineer Technical Assessment</w:t>
      </w:r>
    </w:p>
    <w:p>
      <w:pPr>
        <w:spacing w:before="200"/>
        <w:jc w:val="center"/>
      </w:pPr>
      <w:r>
        <w:rPr>
          <w:rFonts w:ascii="Arial" w:cs="Arial" w:eastAsia="Arial" w:hAnsi="Arial"/>
          <w:color w:val="777777"/>
          <w:sz w:val="22"/>
          <w:szCs w:val="22"/>
        </w:rPr>
        <w:t xml:space="preserve">March 2026</w:t>
      </w:r>
    </w:p>
    <w:p>
      <w:pPr>
        <w:pBdr>
          <w:bottom w:val="single" w:color="1A1A2E" w:sz="6" w:space="1"/>
        </w:pBdr>
        <w:spacing w:before="600"/>
        <w:jc w:val="center"/>
      </w:pPr>
    </w:p>
    <w:p>
      <w:pPr>
        <w:pStyle w:val="Heading1"/>
        <w:spacing w:before="600"/>
      </w:pPr>
      <w:r>
        <w:t xml:space="preserve">1. System Design</w:t>
      </w:r>
    </w:p>
    <w:p>
      <w:pPr>
        <w:pStyle w:val="Heading2"/>
      </w:pPr>
      <w:r>
        <w:t xml:space="preserve">1.1 Overview</w:t>
      </w:r>
    </w:p>
    <w:p>
      <w:pPr>
        <w:spacing w:after="120"/>
      </w:pPr>
      <w:r>
        <w:t xml:space="preserve">The ArcVault Intake &amp; Triage Pipeline is a 6-step agentic workflow built on n8n (self-hosted) with Groq as the LLM provider. The system processes unstructured customer requests and produces classified, enriched, and routed structured records with escalation handling.</w:t>
      </w:r>
    </w:p>
    <w:p>
      <w:pPr>
        <w:pStyle w:val="Heading2"/>
      </w:pPr>
      <w:r>
        <w:t xml:space="preserve">1.2 Architecture Flow</w:t>
      </w:r>
    </w:p>
    <w:p>
      <w:pPr>
        <w:spacing w:after="120"/>
      </w:pPr>
      <w:r>
        <w:t xml:space="preserve">The pipeline follows a linear flow with a conditional branch at the end:</w:t>
      </w:r>
    </w:p>
    <w:p>
      <w:pPr>
        <w:pStyle w:val="ListParagraph"/>
        <w:numPr>
          <w:ilvl w:val="0"/>
          <w:numId w:val="2"/>
        </w:numPr>
      </w:pPr>
      <w:r>
        <w:rPr>
          <w:b/>
          <w:bCs/>
        </w:rPr>
        <w:t xml:space="preserve">Webhook Ingestion</w:t>
      </w:r>
      <w:r>
        <w:t xml:space="preserve"> — A POST webhook endpoint receives raw JSON payloads containing the request source and message body. This simulates real-world ingestion from email, web forms, or support portals.</w:t>
      </w:r>
    </w:p>
    <w:p>
      <w:pPr>
        <w:pStyle w:val="ListParagraph"/>
        <w:numPr>
          <w:ilvl w:val="0"/>
          <w:numId w:val="2"/>
        </w:numPr>
      </w:pPr>
      <w:r>
        <w:rPr>
          <w:b/>
          <w:bCs/>
        </w:rPr>
        <w:t xml:space="preserve">Classification (LLM)</w:t>
      </w:r>
      <w:r>
        <w:t xml:space="preserve"> — The message is sent to Groq’s llama-3.3-70b-versatile model with a system prompt that enforces structured JSON output. The model returns a category, priority, and confidence score.</w:t>
      </w:r>
    </w:p>
    <w:p>
      <w:pPr>
        <w:pStyle w:val="ListParagraph"/>
        <w:numPr>
          <w:ilvl w:val="0"/>
          <w:numId w:val="2"/>
        </w:numPr>
      </w:pPr>
      <w:r>
        <w:rPr>
          <w:b/>
          <w:bCs/>
        </w:rPr>
        <w:t xml:space="preserve">Parse Classification</w:t>
      </w:r>
      <w:r>
        <w:t xml:space="preserve"> — A Code node parses the LLM’s JSON response, strips any markdown fences, and passes the structured data downstream alongside the original request.</w:t>
      </w:r>
    </w:p>
    <w:p>
      <w:pPr>
        <w:pStyle w:val="ListParagraph"/>
        <w:numPr>
          <w:ilvl w:val="0"/>
          <w:numId w:val="2"/>
        </w:numPr>
      </w:pPr>
      <w:r>
        <w:rPr>
          <w:b/>
          <w:bCs/>
        </w:rPr>
        <w:t xml:space="preserve">Enrichment (LLM)</w:t>
      </w:r>
      <w:r>
        <w:t xml:space="preserve"> — A second LLM call extracts the core issue summary, relevant identifiers (account IDs, invoice numbers, error codes), urgency signal, and a human-readable summary for the receiving team.</w:t>
      </w:r>
    </w:p>
    <w:p>
      <w:pPr>
        <w:pStyle w:val="ListParagraph"/>
        <w:numPr>
          <w:ilvl w:val="0"/>
          <w:numId w:val="2"/>
        </w:numPr>
      </w:pPr>
      <w:r>
        <w:rPr>
          <w:b/>
          <w:bCs/>
        </w:rPr>
        <w:t xml:space="preserve">Routing &amp; Escalation (Code)</w:t>
      </w:r>
      <w:r>
        <w:t xml:space="preserve"> — A Code node applies deterministic routing logic (category → queue mapping) and checks escalation criteria. This is intentionally not LLM-driven — routing and escalation rules should be predictable and auditable.</w:t>
      </w:r>
    </w:p>
    <w:p>
      <w:pPr>
        <w:pStyle w:val="ListParagraph"/>
        <w:numPr>
          <w:ilvl w:val="0"/>
          <w:numId w:val="2"/>
        </w:numPr>
      </w:pPr>
      <w:r>
        <w:rPr>
          <w:b/>
          <w:bCs/>
        </w:rPr>
        <w:t xml:space="preserve">Output (Conditional)</w:t>
      </w:r>
      <w:r>
        <w:t xml:space="preserve"> — An IF node splits output: escalated records go to an Escalation Queue webhook; standard records go to a Standard Queue webhook. Both also send a response back to the original caller.</w:t>
      </w:r>
    </w:p>
    <w:p>
      <w:pPr>
        <w:pStyle w:val="Heading2"/>
      </w:pPr>
      <w:r>
        <w:t xml:space="preserve">1.3 State Management</w:t>
      </w:r>
    </w:p>
    <w:p>
      <w:pPr>
        <w:spacing w:after="120"/>
      </w:pPr>
      <w:r>
        <w:t xml:space="preserve">State is passed linearly through the n8n execution context. Each node can access the output of any previous node via n8n’s expression system (e.g., $('Parse Classification').first().json). There is no external state store — the workflow is stateless and idempotent. Each incoming request is processed independently.</w:t>
      </w:r>
    </w:p>
    <w:p>
      <w:pPr>
        <w:pStyle w:val="Heading2"/>
      </w:pPr>
      <w:r>
        <w:t xml:space="preserve">1.4 Tool Choices &amp; Rationale</w:t>
      </w:r>
    </w:p>
    <w:p>
      <w:pPr>
        <w:pStyle w:val="ListParagraph"/>
        <w:numPr>
          <w:ilvl w:val="0"/>
          <w:numId w:val="3"/>
        </w:numPr>
      </w:pPr>
      <w:r>
        <w:rPr>
          <w:b/>
          <w:bCs/>
        </w:rPr>
        <w:t xml:space="preserve">n8n (self-hosted):</w:t>
      </w:r>
      <w:r>
        <w:t xml:space="preserve"> Chosen for visual workflow design, built-in webhook support, and easy demonstration. The visual canvas makes the architecture immediately understandable to reviewers.</w:t>
      </w:r>
    </w:p>
    <w:p>
      <w:pPr>
        <w:pStyle w:val="ListParagraph"/>
        <w:numPr>
          <w:ilvl w:val="0"/>
          <w:numId w:val="3"/>
        </w:numPr>
      </w:pPr>
      <w:r>
        <w:rPr>
          <w:b/>
          <w:bCs/>
        </w:rPr>
        <w:t xml:space="preserve">Groq (llama-3.3-70b-versatile):</w:t>
      </w:r>
      <w:r>
        <w:t xml:space="preserve"> Free tier, extremely fast inference (~60ms completion time), and strong instruction-following for structured JSON output. The 70B parameter model provides high classification accuracy without cost.</w:t>
      </w:r>
    </w:p>
    <w:p>
      <w:pPr>
        <w:pStyle w:val="ListParagraph"/>
        <w:numPr>
          <w:ilvl w:val="0"/>
          <w:numId w:val="3"/>
        </w:numPr>
      </w:pPr>
      <w:r>
        <w:rPr>
          <w:b/>
          <w:bCs/>
        </w:rPr>
        <w:t xml:space="preserve">Webhook.site:</w:t>
      </w:r>
      <w:r>
        <w:t xml:space="preserve"> Used as the output destination to simulate downstream system endpoints. Provides a visible, shareable record of all output payloads.</w:t>
      </w:r>
    </w:p>
    <w:p>
      <w:pPr>
        <w:pStyle w:val="Heading1"/>
      </w:pPr>
      <w:r>
        <w:t xml:space="preserve">2. Routing Logic</w:t>
      </w:r>
    </w:p>
    <w:p>
      <w:pPr>
        <w:pStyle w:val="Heading2"/>
      </w:pPr>
      <w:r>
        <w:t xml:space="preserve">2.1 Category-to-Queue Mapping</w:t>
      </w:r>
    </w:p>
    <w:p>
      <w:pPr>
        <w:spacing w:after="120"/>
      </w:pPr>
      <w:r>
        <w:t xml:space="preserve">The routing map is defined as a deterministic lookup table in the Code node. This was an intentional design choice — routing should be predictable, auditable, and not subject to LLM variability:</w:t>
      </w:r>
    </w:p>
    <w:p>
      <w:pPr>
        <w:pStyle w:val="ListParagraph"/>
        <w:numPr>
          <w:ilvl w:val="0"/>
          <w:numId w:val="3"/>
        </w:numPr>
      </w:pPr>
      <w:r>
        <w:t xml:space="preserve">Bug Report → Engineering</w:t>
      </w:r>
    </w:p>
    <w:p>
      <w:pPr>
        <w:pStyle w:val="ListParagraph"/>
        <w:numPr>
          <w:ilvl w:val="0"/>
          <w:numId w:val="3"/>
        </w:numPr>
      </w:pPr>
      <w:r>
        <w:t xml:space="preserve">Feature Request → Product</w:t>
      </w:r>
    </w:p>
    <w:p>
      <w:pPr>
        <w:pStyle w:val="ListParagraph"/>
        <w:numPr>
          <w:ilvl w:val="0"/>
          <w:numId w:val="3"/>
        </w:numPr>
      </w:pPr>
      <w:r>
        <w:t xml:space="preserve">Billing Issue → Billing</w:t>
      </w:r>
    </w:p>
    <w:p>
      <w:pPr>
        <w:pStyle w:val="ListParagraph"/>
        <w:numPr>
          <w:ilvl w:val="0"/>
          <w:numId w:val="3"/>
        </w:numPr>
      </w:pPr>
      <w:r>
        <w:t xml:space="preserve">Technical Question → Engineering</w:t>
      </w:r>
    </w:p>
    <w:p>
      <w:pPr>
        <w:pStyle w:val="ListParagraph"/>
        <w:numPr>
          <w:ilvl w:val="0"/>
          <w:numId w:val="3"/>
        </w:numPr>
      </w:pPr>
      <w:r>
        <w:t xml:space="preserve">Incident/Outage → IT/Security</w:t>
      </w:r>
    </w:p>
    <w:p>
      <w:pPr>
        <w:pStyle w:val="Heading2"/>
      </w:pPr>
      <w:r>
        <w:t xml:space="preserve">2.2 Fallback Handling</w:t>
      </w:r>
    </w:p>
    <w:p>
      <w:pPr>
        <w:spacing w:after="120"/>
      </w:pPr>
      <w:r>
        <w:t xml:space="preserve">If the LLM returns a confidence score below 70%, or if the category does not match any known mapping, the request is routed to a General/Triage queue for human sorting. This prevents misrouted requests from reaching the wrong team.</w:t>
      </w:r>
    </w:p>
    <w:p>
      <w:pPr>
        <w:pStyle w:val="Heading1"/>
      </w:pPr>
      <w:r>
        <w:t xml:space="preserve">3. Escalation Logic</w:t>
      </w:r>
    </w:p>
    <w:p>
      <w:pPr>
        <w:pStyle w:val="Heading2"/>
      </w:pPr>
      <w:r>
        <w:t xml:space="preserve">3.1 Escalation Criteria</w:t>
      </w:r>
    </w:p>
    <w:p>
      <w:pPr>
        <w:spacing w:after="120"/>
      </w:pPr>
      <w:r>
        <w:t xml:space="preserve">A request is escalated to a separate Human Review / Escalation Queue if any of the following conditions are met:</w:t>
      </w:r>
    </w:p>
    <w:p>
      <w:pPr>
        <w:pStyle w:val="ListParagraph"/>
        <w:numPr>
          <w:ilvl w:val="0"/>
          <w:numId w:val="2"/>
        </w:numPr>
      </w:pPr>
      <w:r>
        <w:rPr>
          <w:b/>
          <w:bCs/>
        </w:rPr>
        <w:t xml:space="preserve">Low Confidence: </w:t>
      </w:r>
      <w:r>
        <w:t xml:space="preserve">The LLM’s confidence score is below 70%. This catches ambiguous or multi-category messages that the model is unsure about.</w:t>
      </w:r>
    </w:p>
    <w:p>
      <w:pPr>
        <w:pStyle w:val="ListParagraph"/>
        <w:numPr>
          <w:ilvl w:val="0"/>
          <w:numId w:val="2"/>
        </w:numPr>
      </w:pPr>
      <w:r>
        <w:rPr>
          <w:b/>
          <w:bCs/>
        </w:rPr>
        <w:t xml:space="preserve">Escalation Keywords: </w:t>
      </w:r>
      <w:r>
        <w:t xml:space="preserve">The original message contains any of the following keywords (case-insensitive): “outage”, “down for all users”, “billing error”, “critical”, “emergency”, “security breach”, “stopped loading”, “multiple users affected”, “down for”, “not working for everyone”.</w:t>
      </w:r>
    </w:p>
    <w:p>
      <w:pPr>
        <w:pStyle w:val="ListParagraph"/>
        <w:numPr>
          <w:ilvl w:val="0"/>
          <w:numId w:val="2"/>
        </w:numPr>
      </w:pPr>
      <w:r>
        <w:rPr>
          <w:b/>
          <w:bCs/>
        </w:rPr>
        <w:t xml:space="preserve">Billing Discrepancy &gt; $500: </w:t>
      </w:r>
      <w:r>
        <w:t xml:space="preserve">If the message is classified as a Billing Issue and contains two or more dollar amounts with a discrepancy exceeding $500, it is automatically escalated.</w:t>
      </w:r>
    </w:p>
    <w:p>
      <w:pPr>
        <w:pStyle w:val="Heading2"/>
      </w:pPr>
      <w:r>
        <w:t xml:space="preserve">3.2 Why These Criteria</w:t>
      </w:r>
    </w:p>
    <w:p>
      <w:pPr>
        <w:spacing w:after="120"/>
      </w:pPr>
      <w:r>
        <w:t xml:space="preserve">The escalation logic uses a belt-and-suspenders approach: the confidence threshold catches cases where the LLM is uncertain, while keyword matching catches high-severity situations regardless of confidence. The billing threshold was set at $500 as a reasonable materiality threshold for B2B billing disputes. In production, this would be configurable per customer tier.</w:t>
      </w:r>
    </w:p>
    <w:p>
      <w:pPr>
        <w:pStyle w:val="Heading1"/>
      </w:pPr>
      <w:r>
        <w:t xml:space="preserve">4. Production Scale Considerations</w:t>
      </w:r>
    </w:p>
    <w:p>
      <w:pPr>
        <w:spacing w:after="120"/>
      </w:pPr>
      <w:r>
        <w:t xml:space="preserve">If deploying this pipeline at production scale, the following changes would be necessary:</w:t>
      </w:r>
    </w:p>
    <w:p>
      <w:pPr>
        <w:pStyle w:val="ListParagraph"/>
        <w:numPr>
          <w:ilvl w:val="0"/>
          <w:numId w:val="3"/>
        </w:numPr>
      </w:pPr>
      <w:r>
        <w:rPr>
          <w:b/>
          <w:bCs/>
        </w:rPr>
        <w:t xml:space="preserve">Reliability: </w:t>
      </w:r>
      <w:r>
        <w:t xml:space="preserve">Add retry logic with exponential backoff on LLM API calls. Implement dead-letter queues for requests that fail processing after N retries. Add health checks and alerting on pipeline failures.</w:t>
      </w:r>
    </w:p>
    <w:p>
      <w:pPr>
        <w:pStyle w:val="ListParagraph"/>
        <w:numPr>
          <w:ilvl w:val="0"/>
          <w:numId w:val="3"/>
        </w:numPr>
      </w:pPr>
      <w:r>
        <w:rPr>
          <w:b/>
          <w:bCs/>
        </w:rPr>
        <w:t xml:space="preserve">Cost: </w:t>
      </w:r>
      <w:r>
        <w:t xml:space="preserve">Consolidate the two LLM calls (classification + enrichment) into a single call to halve API costs. Consider using a smaller/cheaper model for high-confidence, straightforward requests and reserving the 70B model for edge cases.</w:t>
      </w:r>
    </w:p>
    <w:p>
      <w:pPr>
        <w:pStyle w:val="ListParagraph"/>
        <w:numPr>
          <w:ilvl w:val="0"/>
          <w:numId w:val="3"/>
        </w:numPr>
      </w:pPr>
      <w:r>
        <w:rPr>
          <w:b/>
          <w:bCs/>
        </w:rPr>
        <w:t xml:space="preserve">Latency: </w:t>
      </w:r>
      <w:r>
        <w:t xml:space="preserve">Current pipeline makes 2 sequential LLM calls (~120ms total on Groq). At scale, batch processing or parallel execution would reduce end-to-end latency. Caching repeated/similar messages could also help.</w:t>
      </w:r>
    </w:p>
    <w:p>
      <w:pPr>
        <w:pStyle w:val="ListParagraph"/>
        <w:numPr>
          <w:ilvl w:val="0"/>
          <w:numId w:val="3"/>
        </w:numPr>
      </w:pPr>
      <w:r>
        <w:rPr>
          <w:b/>
          <w:bCs/>
        </w:rPr>
        <w:t xml:space="preserve">Observability: </w:t>
      </w:r>
      <w:r>
        <w:t xml:space="preserve">Add structured logging for every pipeline step. Track classification distribution, confidence score histograms, and escalation rates over time to detect model drift.</w:t>
      </w:r>
    </w:p>
    <w:p>
      <w:pPr>
        <w:pStyle w:val="ListParagraph"/>
        <w:numPr>
          <w:ilvl w:val="0"/>
          <w:numId w:val="3"/>
        </w:numPr>
      </w:pPr>
      <w:r>
        <w:rPr>
          <w:b/>
          <w:bCs/>
        </w:rPr>
        <w:t xml:space="preserve">Data Persistence: </w:t>
      </w:r>
      <w:r>
        <w:t xml:space="preserve">Replace Webhook.site with a proper database (PostgreSQL) or data warehouse. Maintain an audit trail of all classification decisions for compliance.</w:t>
      </w:r>
    </w:p>
    <w:p>
      <w:pPr>
        <w:pStyle w:val="Heading1"/>
      </w:pPr>
      <w:r>
        <w:t xml:space="preserve">5. Phase 2 Roadmap (If Given Another Week)</w:t>
      </w:r>
    </w:p>
    <w:p>
      <w:pPr>
        <w:pStyle w:val="ListParagraph"/>
        <w:numPr>
          <w:ilvl w:val="0"/>
          <w:numId w:val="2"/>
        </w:numPr>
      </w:pPr>
      <w:r>
        <w:rPr>
          <w:b/>
          <w:bCs/>
        </w:rPr>
        <w:t xml:space="preserve">Feedback Loop: </w:t>
      </w:r>
      <w:r>
        <w:t xml:space="preserve">When a human reviews an escalated request and reassigns it, feed that correction back to improve future classifications. This creates a self-improving system.</w:t>
      </w:r>
    </w:p>
    <w:p>
      <w:pPr>
        <w:pStyle w:val="ListParagraph"/>
        <w:numPr>
          <w:ilvl w:val="0"/>
          <w:numId w:val="2"/>
        </w:numPr>
      </w:pPr>
      <w:r>
        <w:rPr>
          <w:b/>
          <w:bCs/>
        </w:rPr>
        <w:t xml:space="preserve">Duplicate Detection: </w:t>
      </w:r>
      <w:r>
        <w:t xml:space="preserve">Use embedding similarity to detect when multiple customers report the same issue. If 5 users report “dashboard down,” that should create one incident, not five separate tickets.</w:t>
      </w:r>
    </w:p>
    <w:p>
      <w:pPr>
        <w:pStyle w:val="ListParagraph"/>
        <w:numPr>
          <w:ilvl w:val="0"/>
          <w:numId w:val="2"/>
        </w:numPr>
      </w:pPr>
      <w:r>
        <w:rPr>
          <w:b/>
          <w:bCs/>
        </w:rPr>
        <w:t xml:space="preserve">Auto-Response Drafting: </w:t>
      </w:r>
      <w:r>
        <w:t xml:space="preserve">For high-confidence, well-understood request types (e.g., password resets, SSO documentation questions), generate a draft response for human approval before sending.</w:t>
      </w:r>
    </w:p>
    <w:p>
      <w:pPr>
        <w:pStyle w:val="ListParagraph"/>
        <w:numPr>
          <w:ilvl w:val="0"/>
          <w:numId w:val="2"/>
        </w:numPr>
      </w:pPr>
      <w:r>
        <w:rPr>
          <w:b/>
          <w:bCs/>
        </w:rPr>
        <w:t xml:space="preserve">Customer Context Enrichment: </w:t>
      </w:r>
      <w:r>
        <w:t xml:space="preserve">Pull customer metadata from CRM (tier, contract value, open tickets) to inform priority. A $50K/year customer reporting a bug should outrank a free-tier user reporting the same issue.</w:t>
      </w:r>
    </w:p>
    <w:p>
      <w:pPr>
        <w:pStyle w:val="ListParagraph"/>
        <w:numPr>
          <w:ilvl w:val="0"/>
          <w:numId w:val="2"/>
        </w:numPr>
      </w:pPr>
      <w:r>
        <w:rPr>
          <w:b/>
          <w:bCs/>
        </w:rPr>
        <w:t xml:space="preserve">SLA Tracking: </w:t>
      </w:r>
      <w:r>
        <w:t xml:space="preserve">Attach SLA timers to each routed ticket based on priority and customer tier. Alert if a ticket approaches its SLA deadline without a response.</w:t>
      </w:r>
    </w:p>
    <w:p>
      <w:r>
        <w:br w:type="page"/>
      </w:r>
    </w:p>
    <w:p>
      <w:pPr>
        <w:pStyle w:val="Heading1"/>
      </w:pPr>
      <w:r>
        <w:t xml:space="preserve">6. Prompt Documentation</w:t>
      </w:r>
    </w:p>
    <w:p>
      <w:pPr>
        <w:pStyle w:val="Heading2"/>
      </w:pPr>
      <w:r>
        <w:t xml:space="preserve">6.1 Classification Prompt</w:t>
      </w:r>
    </w:p>
    <w:p>
      <w:pPr>
        <w:pStyle w:val="Heading3"/>
      </w:pPr>
      <w:r>
        <w:t xml:space="preserve">The Prompt</w:t>
      </w:r>
    </w:p>
    <w:p>
      <w:pPr>
        <w:pBdr>
          <w:left w:val="single" w:color="CCCCCC" w:sz="6" w:space="8"/>
        </w:pBdr>
        <w:spacing w:after="80"/>
      </w:pPr>
      <w:r>
        <w:rPr>
          <w:rFonts w:ascii="Consolas" w:cs="Consolas" w:eastAsia="Consolas" w:hAnsi="Consolas"/>
          <w:i/>
          <w:iCs/>
          <w:sz w:val="20"/>
          <w:szCs w:val="20"/>
        </w:rPr>
        <w:t xml:space="preserve">You are an AI classifier for ArcVault, a B2B software company. Classify incoming customer requests. Return ONLY a valid JSON object with these fields:</w:t>
      </w:r>
    </w:p>
    <w:p>
      <w:pPr>
        <w:pBdr>
          <w:left w:val="single" w:color="CCCCCC" w:sz="6" w:space="8"/>
        </w:pBdr>
        <w:spacing w:after="80"/>
      </w:pPr>
      <w:r>
        <w:rPr>
          <w:rFonts w:ascii="Consolas" w:cs="Consolas" w:eastAsia="Consolas" w:hAnsi="Consolas"/>
          <w:i/>
          <w:iCs/>
          <w:sz w:val="20"/>
          <w:szCs w:val="20"/>
        </w:rPr>
        <w:t xml:space="preserve">- category: one of [Bug Report, Feature Request, Billing Issue, Technical Question, Incident/Outage]</w:t>
      </w:r>
    </w:p>
    <w:p>
      <w:pPr>
        <w:pBdr>
          <w:left w:val="single" w:color="CCCCCC" w:sz="6" w:space="8"/>
        </w:pBdr>
        <w:spacing w:after="80"/>
      </w:pPr>
      <w:r>
        <w:rPr>
          <w:rFonts w:ascii="Consolas" w:cs="Consolas" w:eastAsia="Consolas" w:hAnsi="Consolas"/>
          <w:i/>
          <w:iCs/>
          <w:sz w:val="20"/>
          <w:szCs w:val="20"/>
        </w:rPr>
        <w:t xml:space="preserve">- priority: one of [Low, Medium, High]</w:t>
      </w:r>
    </w:p>
    <w:p>
      <w:pPr>
        <w:pBdr>
          <w:left w:val="single" w:color="CCCCCC" w:sz="6" w:space="8"/>
        </w:pBdr>
        <w:spacing w:after="80"/>
      </w:pPr>
      <w:r>
        <w:rPr>
          <w:rFonts w:ascii="Consolas" w:cs="Consolas" w:eastAsia="Consolas" w:hAnsi="Consolas"/>
          <w:i/>
          <w:iCs/>
          <w:sz w:val="20"/>
          <w:szCs w:val="20"/>
        </w:rPr>
        <w:t xml:space="preserve">- confidence_score: integer 0-100</w:t>
      </w:r>
    </w:p>
    <w:p>
      <w:pPr>
        <w:pBdr>
          <w:left w:val="single" w:color="CCCCCC" w:sz="6" w:space="8"/>
        </w:pBdr>
        <w:spacing w:after="80"/>
      </w:pPr>
      <w:r>
        <w:rPr>
          <w:rFonts w:ascii="Consolas" w:cs="Consolas" w:eastAsia="Consolas" w:hAnsi="Consolas"/>
          <w:i/>
          <w:iCs/>
          <w:sz w:val="20"/>
          <w:szCs w:val="20"/>
        </w:rPr>
        <w:t xml:space="preserve">[Followed by detailed rules for priority levels and confidence calibration]</w:t>
      </w:r>
    </w:p>
    <w:p>
      <w:pPr>
        <w:pStyle w:val="Heading3"/>
      </w:pPr>
      <w:r>
        <w:t xml:space="preserve">Design Rationale</w:t>
      </w:r>
    </w:p>
    <w:p>
      <w:pPr>
        <w:spacing w:after="120"/>
      </w:pPr>
      <w:r>
        <w:t xml:space="preserve">The classification prompt uses a system-role message to establish the model’s identity and task context. The output is constrained to a strict JSON schema with enumerated values for category and priority — this prevents free-text drift and makes downstream parsing reliable. Explicit rules for priority assignment (High/Medium/Low) reduce subjectivity and improve consistency across requests. The confidence score calibration guidelines (90–100 for clear matches, below 70 for ambiguous) were designed to align with the escalation threshold, ensuring that uncertain classifications are flagged rather than silently misrouted. Temperature is set to 0.1 for maximum consistency. The tradeoff is that the prompt is somewhat rigid — with more time, I would add few-shot examples to improve edge-case handling.</w:t>
      </w:r>
    </w:p>
    <w:p>
      <w:pPr>
        <w:pStyle w:val="Heading2"/>
      </w:pPr>
      <w:r>
        <w:t xml:space="preserve">6.2 Enrichment Prompt</w:t>
      </w:r>
    </w:p>
    <w:p>
      <w:pPr>
        <w:pStyle w:val="Heading3"/>
      </w:pPr>
      <w:r>
        <w:t xml:space="preserve">The Prompt</w:t>
      </w:r>
    </w:p>
    <w:p>
      <w:pPr>
        <w:pBdr>
          <w:left w:val="single" w:color="CCCCCC" w:sz="6" w:space="8"/>
        </w:pBdr>
        <w:spacing w:after="80"/>
      </w:pPr>
      <w:r>
        <w:rPr>
          <w:rFonts w:ascii="Consolas" w:cs="Consolas" w:eastAsia="Consolas" w:hAnsi="Consolas"/>
          <w:i/>
          <w:iCs/>
          <w:sz w:val="20"/>
          <w:szCs w:val="20"/>
        </w:rPr>
        <w:t xml:space="preserve">You are an AI enrichment engine for ArcVault, a B2B software company. Analyze the following customer message and extract structured information. Return ONLY a valid JSON object with:</w:t>
      </w:r>
    </w:p>
    <w:p>
      <w:pPr>
        <w:pBdr>
          <w:left w:val="single" w:color="CCCCCC" w:sz="6" w:space="8"/>
        </w:pBdr>
        <w:spacing w:after="80"/>
      </w:pPr>
      <w:r>
        <w:rPr>
          <w:rFonts w:ascii="Consolas" w:cs="Consolas" w:eastAsia="Consolas" w:hAnsi="Consolas"/>
          <w:i/>
          <w:iCs/>
          <w:sz w:val="20"/>
          <w:szCs w:val="20"/>
        </w:rPr>
        <w:t xml:space="preserve">- core_issue: one-sentence summary</w:t>
      </w:r>
    </w:p>
    <w:p>
      <w:pPr>
        <w:pBdr>
          <w:left w:val="single" w:color="CCCCCC" w:sz="6" w:space="8"/>
        </w:pBdr>
        <w:spacing w:after="80"/>
      </w:pPr>
      <w:r>
        <w:rPr>
          <w:rFonts w:ascii="Consolas" w:cs="Consolas" w:eastAsia="Consolas" w:hAnsi="Consolas"/>
          <w:i/>
          <w:iCs/>
          <w:sz w:val="20"/>
          <w:szCs w:val="20"/>
        </w:rPr>
        <w:t xml:space="preserve">- identifiers: list of IDs, invoice numbers, error codes, URLs</w:t>
      </w:r>
    </w:p>
    <w:p>
      <w:pPr>
        <w:pBdr>
          <w:left w:val="single" w:color="CCCCCC" w:sz="6" w:space="8"/>
        </w:pBdr>
        <w:spacing w:after="80"/>
      </w:pPr>
      <w:r>
        <w:rPr>
          <w:rFonts w:ascii="Consolas" w:cs="Consolas" w:eastAsia="Consolas" w:hAnsi="Consolas"/>
          <w:i/>
          <w:iCs/>
          <w:sz w:val="20"/>
          <w:szCs w:val="20"/>
        </w:rPr>
        <w:t xml:space="preserve">- urgency_signal: one of [Critical, Urgent, Normal, Low]</w:t>
      </w:r>
    </w:p>
    <w:p>
      <w:pPr>
        <w:pBdr>
          <w:left w:val="single" w:color="CCCCCC" w:sz="6" w:space="8"/>
        </w:pBdr>
        <w:spacing w:after="80"/>
      </w:pPr>
      <w:r>
        <w:rPr>
          <w:rFonts w:ascii="Consolas" w:cs="Consolas" w:eastAsia="Consolas" w:hAnsi="Consolas"/>
          <w:i/>
          <w:iCs/>
          <w:sz w:val="20"/>
          <w:szCs w:val="20"/>
        </w:rPr>
        <w:t xml:space="preserve">- summary: 2-3 sentence actionable summary for the receiving team</w:t>
      </w:r>
    </w:p>
    <w:p>
      <w:pPr>
        <w:pBdr>
          <w:left w:val="single" w:color="CCCCCC" w:sz="6" w:space="8"/>
        </w:pBdr>
        <w:spacing w:after="80"/>
      </w:pPr>
      <w:r>
        <w:rPr>
          <w:rFonts w:ascii="Consolas" w:cs="Consolas" w:eastAsia="Consolas" w:hAnsi="Consolas"/>
          <w:i/>
          <w:iCs/>
          <w:sz w:val="20"/>
          <w:szCs w:val="20"/>
        </w:rPr>
        <w:t xml:space="preserve">[Followed by urgency signal calibration rules]</w:t>
      </w:r>
    </w:p>
    <w:p>
      <w:pPr>
        <w:pStyle w:val="Heading3"/>
      </w:pPr>
      <w:r>
        <w:t xml:space="preserve">Design Rationale</w:t>
      </w:r>
    </w:p>
    <w:p>
      <w:pPr>
        <w:spacing w:after="120"/>
      </w:pPr>
      <w:r>
        <w:t xml:space="preserve">The enrichment prompt is separated from classification intentionally. While combining both into one call would be more cost-efficient, separating them provides better reliability: if enrichment fails, we still have a valid classification and can route the request. The core_issue field is constrained to one sentence to force the model to distill the request rather than paraphrase it. The identifiers field uses an explicit list of examples (account IDs, invoice numbers, error codes) to guide the model on what to extract. The urgency_signal uses a 4-level scale (Critical/Urgent/Normal/Low) that provides more granularity than the 3-level priority in classification — this gives the receiving team additional context. The summary field was added to the enrichment call rather than as a third LLM call to reduce latency. With more time, I would add few-shot examples for each urgency level and test whether combining classification and enrichment into one call degrades accuracy.</w:t>
      </w:r>
    </w:p>
    <w:p>
      <w:pPr>
        <w:pStyle w:val="Heading1"/>
      </w:pPr>
      <w:r>
        <w:t xml:space="preserve">7. What AI Got Wrong &amp; What I Fixed</w:t>
      </w:r>
    </w:p>
    <w:p>
      <w:pPr>
        <w:spacing w:after="120"/>
      </w:pPr>
      <w:r>
        <w:t xml:space="preserve">During development, I used AI assistants to help build the n8n workflow and write the pipeline code. Key issues I had to fix:</w:t>
      </w:r>
    </w:p>
    <w:p>
      <w:pPr>
        <w:pStyle w:val="ListParagraph"/>
        <w:numPr>
          <w:ilvl w:val="0"/>
          <w:numId w:val="3"/>
        </w:numPr>
      </w:pPr>
      <w:r>
        <w:rPr>
          <w:b/>
          <w:bCs/>
        </w:rPr>
        <w:t xml:space="preserve">HTTP Method: </w:t>
      </w:r>
      <w:r>
        <w:t xml:space="preserve">The generated workflow JSON defaulted HTTP Request nodes to GET instead of POST for the Groq API calls. Had to manually change both to POST.</w:t>
      </w:r>
    </w:p>
    <w:p>
      <w:pPr>
        <w:pStyle w:val="ListParagraph"/>
        <w:numPr>
          <w:ilvl w:val="0"/>
          <w:numId w:val="3"/>
        </w:numPr>
      </w:pPr>
      <w:r>
        <w:rPr>
          <w:b/>
          <w:bCs/>
        </w:rPr>
        <w:t xml:space="preserve">Credential Expressions: </w:t>
      </w:r>
      <w:r>
        <w:t xml:space="preserve">The AI generated n8n credential expressions ({{ $credentials.groqApi.apiKey }}) that don’t work unless a credential type is formally configured. Had to replace with direct API key injection in headers.</w:t>
      </w:r>
    </w:p>
    <w:p>
      <w:pPr>
        <w:pStyle w:val="ListParagraph"/>
        <w:numPr>
          <w:ilvl w:val="0"/>
          <w:numId w:val="3"/>
        </w:numPr>
      </w:pPr>
      <w:r>
        <w:rPr>
          <w:b/>
          <w:bCs/>
        </w:rPr>
        <w:t xml:space="preserve">Webhook.site URL Expression: </w:t>
      </w:r>
      <w:r>
        <w:t xml:space="preserve">Output nodes had {{ getUrl() }} placeholder expressions that caused 404 errors. Replaced with the actual Webhook.site URL in fixed-text mode.</w:t>
      </w:r>
    </w:p>
    <w:p>
      <w:pPr>
        <w:pStyle w:val="ListParagraph"/>
        <w:numPr>
          <w:ilvl w:val="0"/>
          <w:numId w:val="3"/>
        </w:numPr>
      </w:pPr>
      <w:r>
        <w:rPr>
          <w:b/>
          <w:bCs/>
        </w:rPr>
        <w:t xml:space="preserve">Escalation Keywords: </w:t>
      </w:r>
      <w:r>
        <w:t xml:space="preserve">The initial keyword list was too narrow (“outage”, “down for all users”) and missed the phrasing in sample Request #5 (“stopped loading”, “multiple users affected”). I expanded the keyword list after testing to catch realistic variations.</w:t>
      </w:r>
    </w:p>
    <w:p>
      <w:pPr>
        <w:pBdr>
          <w:bottom w:val="single" w:color="1A1A2E" w:sz="6" w:space="1"/>
        </w:pBdr>
        <w:spacing w:before="400"/>
      </w:pPr>
    </w:p>
    <w:p>
      <w:pPr>
        <w:spacing w:before="200"/>
        <w:jc w:val="center"/>
      </w:pPr>
      <w:r>
        <w:rPr>
          <w:i/>
          <w:iCs/>
          <w:color w:val="999999"/>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2026-03-13T21:43:14.544Z</dcterms:created>
  <dcterms:modified xsi:type="dcterms:W3CDTF">2026-03-13T21:43:14.545Z</dcterms:modified>
</cp:coreProperties>
</file>

<file path=docProps/custom.xml><?xml version="1.0" encoding="utf-8"?>
<Properties xmlns="http://schemas.openxmlformats.org/officeDocument/2006/custom-properties" xmlns:vt="http://schemas.openxmlformats.org/officeDocument/2006/docPropsVTypes"/>
</file>