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396EF2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6EF2">
        <w:rPr>
          <w:rFonts w:ascii="Times New Roman" w:hAnsi="Times New Roman" w:cs="Times New Roman"/>
          <w:b/>
          <w:sz w:val="24"/>
          <w:szCs w:val="24"/>
        </w:rPr>
        <w:t>Практическая работа № 2. Приведение отно</w:t>
      </w:r>
      <w:r>
        <w:rPr>
          <w:rFonts w:ascii="Times New Roman" w:hAnsi="Times New Roman" w:cs="Times New Roman"/>
          <w:b/>
          <w:sz w:val="24"/>
          <w:szCs w:val="24"/>
        </w:rPr>
        <w:t>шений к 1 и 2 нормальным формам</w:t>
      </w:r>
      <w:r w:rsidR="00B03540" w:rsidRPr="00B03540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6315" w:rsidRPr="008963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315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6315" w:rsidRPr="008963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315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896315" w:rsidRPr="008963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6315"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  <w:r w:rsidR="00896315" w:rsidRPr="00896315">
        <w:rPr>
          <w:rFonts w:ascii="Times New Roman" w:hAnsi="Times New Roman" w:cs="Times New Roman"/>
          <w:b/>
          <w:sz w:val="24"/>
          <w:szCs w:val="24"/>
        </w:rPr>
        <w:t xml:space="preserve"> 2016 </w:t>
      </w:r>
      <w:r w:rsidR="00896315">
        <w:rPr>
          <w:rFonts w:ascii="Times New Roman" w:hAnsi="Times New Roman" w:cs="Times New Roman"/>
          <w:b/>
          <w:sz w:val="24"/>
          <w:szCs w:val="24"/>
        </w:rPr>
        <w:t>и выше.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Получение навыков</w:t>
      </w:r>
      <w:r w:rsidR="00396EF2">
        <w:rPr>
          <w:rFonts w:ascii="Times New Roman" w:hAnsi="Times New Roman" w:cs="Times New Roman"/>
          <w:b/>
          <w:sz w:val="24"/>
          <w:szCs w:val="24"/>
        </w:rPr>
        <w:t>, на основании проведённого анализа предметной области, в приведении не нормализованной формы отношений к 1 и 2 нормальным формам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56C">
        <w:rPr>
          <w:rFonts w:ascii="Times New Roman" w:hAnsi="Times New Roman" w:cs="Times New Roman"/>
          <w:sz w:val="24"/>
          <w:szCs w:val="24"/>
        </w:rPr>
        <w:t>2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896315" w:rsidRDefault="0089631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Проведении нормализации;</w:t>
      </w:r>
    </w:p>
    <w:p w:rsidR="00896315" w:rsidRDefault="0089631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Приведение ненормализованной формы к 1НФ;</w:t>
      </w:r>
    </w:p>
    <w:p w:rsidR="00896315" w:rsidRDefault="0089631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Приведение 1 НФ к 2НФ;</w:t>
      </w:r>
    </w:p>
    <w:p w:rsidR="006B20CD" w:rsidRDefault="0089631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Применение свойств данных, которые подлежат хранению в базе данных к нормализации отношений;</w:t>
      </w:r>
    </w:p>
    <w:p w:rsidR="00896315" w:rsidRDefault="0089631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Приведении отношений к структурированному виду.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896315" w:rsidRDefault="00896315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БД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совокупность взаимосвязанных данных, предусматривающие общие принципы описания, хранения и манипулирование данными, вне зависимости от прикладных программ.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 xml:space="preserve">Под </w:t>
      </w:r>
      <w:r w:rsidRPr="00896315">
        <w:rPr>
          <w:rFonts w:ascii="Times New Roman" w:hAnsi="Times New Roman" w:cs="Times New Roman"/>
          <w:b/>
          <w:bCs/>
          <w:sz w:val="24"/>
          <w:szCs w:val="24"/>
        </w:rPr>
        <w:t>не структурированными данными</w:t>
      </w:r>
      <w:r w:rsidRPr="00896315">
        <w:rPr>
          <w:rFonts w:ascii="Times New Roman" w:hAnsi="Times New Roman" w:cs="Times New Roman"/>
          <w:sz w:val="24"/>
          <w:szCs w:val="24"/>
        </w:rPr>
        <w:t>, понимается любой набор данных который отличается от табличного вида (набора столбцов, строк).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Пример: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1. Чек;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2. Билет;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3. Заключение;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4. Справка и т.д.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 xml:space="preserve">Под </w:t>
      </w:r>
      <w:r w:rsidRPr="00896315">
        <w:rPr>
          <w:rFonts w:ascii="Times New Roman" w:hAnsi="Times New Roman" w:cs="Times New Roman"/>
          <w:b/>
          <w:bCs/>
          <w:sz w:val="24"/>
          <w:szCs w:val="24"/>
        </w:rPr>
        <w:t>структурированными данными</w:t>
      </w:r>
      <w:r w:rsidRPr="00896315">
        <w:rPr>
          <w:rFonts w:ascii="Times New Roman" w:hAnsi="Times New Roman" w:cs="Times New Roman"/>
          <w:sz w:val="24"/>
          <w:szCs w:val="24"/>
        </w:rPr>
        <w:t xml:space="preserve"> принято понимать, данные которые имеют структуру и табличный вид, где определены строки и столбцы с названием свойств.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В теории баз данных различают следующие основные свойства данных, которые подлежат хранению в базе данных: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Не избыточность данных;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Непротиворечивость данных;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Адекватность данных;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 Достоверность данных;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Целостность данных.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Каждое из данных свойств, на том или ином этапе жизненного цикла, разработки и эксплуатации базы данных, позволяет обеспечивает высококачественную работу с данными.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Не избыточность данных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упразднение, потенциально повторяющийся информации в отдельные сущности, в которых данная информации будет указываться в единичном (уникальном) экземпляре.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Данное свойство реализуется, разработчиком БД, на этапе проектирования базы данных.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F441EF" wp14:editId="782C5DB9">
            <wp:extent cx="2774950" cy="1598993"/>
            <wp:effectExtent l="0" t="0" r="6350" b="1270"/>
            <wp:docPr id="4098" name="Picture 2" descr="d5d96a8a-35ae-464c-8452-933d9765d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d5d96a8a-35ae-464c-8452-933d9765d7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03" cy="161152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Непротиворечивость данных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достигается за счёт того, что данные о том или ином факте, в разных частях базы данных, должны храниться в одном виде.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lastRenderedPageBreak/>
        <w:t>Данное свойство реализуется, разработчиком БД, на этапе проектирования и реализации базы данных.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D2597" wp14:editId="68DDAACC">
            <wp:extent cx="2647950" cy="1711798"/>
            <wp:effectExtent l="0" t="0" r="0" b="3175"/>
            <wp:docPr id="5122" name="Picture 2" descr="682d2952-708b-4b31-81df-6324deb3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682d2952-708b-4b31-81df-6324deb312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06" cy="17290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 xml:space="preserve">Адекватность данных </w:t>
      </w:r>
      <w:r w:rsidRPr="00896315">
        <w:rPr>
          <w:rFonts w:ascii="Times New Roman" w:hAnsi="Times New Roman" w:cs="Times New Roman"/>
          <w:sz w:val="24"/>
          <w:szCs w:val="24"/>
        </w:rPr>
        <w:t>- определяется тем, что данные могут не соответствовать реальности предметной области, но должны чётко отображать свойство, в котором данные находятся.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Данное свойство реализуется, разработчиком БД, на этапе реализации и тестирования базы данных.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781EC" wp14:editId="51E00224">
            <wp:extent cx="2781300" cy="1491448"/>
            <wp:effectExtent l="0" t="0" r="0" b="0"/>
            <wp:docPr id="6146" name="Picture 2" descr="f4b62188-1033-4e90-8c47-1b0bea3c8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f4b62188-1033-4e90-8c47-1b0bea3c82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23" cy="14981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Нормализация отношений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процесс приведения не нормализованного формы, к "идеальному виду", за счёт применения правил нормализации.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Не нормализованная форма (ННФ)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структурированные данные, которые не соответствуют ни одному правилу нормализации.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sz w:val="24"/>
          <w:szCs w:val="24"/>
        </w:rPr>
        <w:t>Нормальная форма (НФ)</w:t>
      </w:r>
      <w:r w:rsidRPr="00896315">
        <w:rPr>
          <w:rFonts w:ascii="Times New Roman" w:hAnsi="Times New Roman" w:cs="Times New Roman"/>
          <w:sz w:val="24"/>
          <w:szCs w:val="24"/>
        </w:rPr>
        <w:t xml:space="preserve"> - соответствие отношения, правилам соответствующей нормальной формы.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Выделяют 8 стадий нормализации отношений: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1.Первая нормальная форма (1НФ);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2.Вторая нормальная форма (2НФ);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3.Третья нормальная форма (3НФ);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4.Нормальная форма Бойса-Кодда (НФБК);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5.Четвёртая нормальная форма (4НФ);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6.Пятая нормальная форма (5НФ);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7.Доменно-ключевая нормальная форма (ДКНФ);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8.Шестая нормальная форма (6НФ).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Все нормальные формы после 3НФ, это усиление 3НФ, разработчика баз данных, чаще всего прибегают только к 3НФ.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первой нормальной формы.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Отношение находится в первой нормальной форме, когда: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1. Все поля приведены к неделимому значению;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56431F" wp14:editId="1A574D9C">
            <wp:extent cx="4559300" cy="1446654"/>
            <wp:effectExtent l="0" t="0" r="0" b="1270"/>
            <wp:docPr id="1026" name="Picture 2" descr="78b44210-875b-4364-b06f-86355d6ca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78b44210-875b-4364-b06f-86355d6ca3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73" cy="14491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2. Ни одно ключевое поле не пусто;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D62145" wp14:editId="7E2E6BC3">
            <wp:extent cx="3854450" cy="1697705"/>
            <wp:effectExtent l="0" t="0" r="0" b="0"/>
            <wp:docPr id="2050" name="Picture 2" descr="af0b4693-f5e0-42f4-9e64-50cde3e5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f0b4693-f5e0-42f4-9e64-50cde3e5e0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62" cy="17044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3. Отсутствуют повторяющиеся поля и группы полей;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C5FDB5" wp14:editId="3FD51F35">
            <wp:extent cx="4064000" cy="1825628"/>
            <wp:effectExtent l="0" t="0" r="0" b="3175"/>
            <wp:docPr id="3074" name="Picture 2" descr="6bc09e65-e113-4973-99a0-6c6fab8b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6bc09e65-e113-4973-99a0-6c6fab8b45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73" cy="183132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4. Значения одного поля приведены к одному виду.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EBD0A1" wp14:editId="5A69EE99">
            <wp:extent cx="1812907" cy="2063750"/>
            <wp:effectExtent l="0" t="0" r="0" b="0"/>
            <wp:docPr id="4" name="Picture 2" descr="4ead59d8-758a-4e19-a74f-62a70bd1c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4ead59d8-758a-4e19-a74f-62a70bd1c9e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200" cy="2069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Правила второй нормальной формы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Отношение находится во второй нормальной форме, когда:</w:t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1. Выполняются правила 1НФ;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2. В отношени</w:t>
      </w:r>
      <w:r>
        <w:rPr>
          <w:rFonts w:ascii="Times New Roman" w:hAnsi="Times New Roman" w:cs="Times New Roman"/>
          <w:sz w:val="24"/>
          <w:szCs w:val="24"/>
        </w:rPr>
        <w:t>и, есть ключевой элемент данных;</w:t>
      </w:r>
    </w:p>
    <w:p w:rsidR="00896315" w:rsidRDefault="00896315" w:rsidP="00896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6A72ED" wp14:editId="77B26B94">
            <wp:extent cx="3390900" cy="1659199"/>
            <wp:effectExtent l="0" t="0" r="0" b="0"/>
            <wp:docPr id="5" name="Picture 2" descr="4399f20e-81ad-4b12-b7d2-f40d8a95c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4399f20e-81ad-4b12-b7d2-f40d8a95c08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225" cy="16671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6315" w:rsidRP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3. Ключевой элемент данных однозначно определяет запись;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315">
        <w:rPr>
          <w:rFonts w:ascii="Times New Roman" w:hAnsi="Times New Roman" w:cs="Times New Roman"/>
          <w:sz w:val="24"/>
          <w:szCs w:val="24"/>
        </w:rPr>
        <w:t>4. Все не ключевые поля, зависят от значения ключевого элемента данных.</w:t>
      </w:r>
    </w:p>
    <w:p w:rsidR="00896315" w:rsidRDefault="00896315" w:rsidP="008963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03540" w:rsidRDefault="00896315" w:rsidP="00B035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данной практической работы, часть этапов будет реализована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96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896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«Приложение 1. Практическая работа 2. 1 и 2 НФ</w:t>
      </w:r>
      <w:r>
        <w:rPr>
          <w:rFonts w:ascii="Times New Roman" w:hAnsi="Times New Roman" w:cs="Times New Roman"/>
          <w:sz w:val="24"/>
          <w:szCs w:val="24"/>
          <w:lang w:val="en-US"/>
        </w:rPr>
        <w:t>.xlsx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6315" w:rsidRPr="00451D5A" w:rsidRDefault="00896315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сущностей и атрибутов</w:t>
      </w:r>
      <w:r w:rsidR="00451D5A">
        <w:rPr>
          <w:rFonts w:ascii="Times New Roman" w:hAnsi="Times New Roman" w:cs="Times New Roman"/>
          <w:sz w:val="24"/>
          <w:szCs w:val="24"/>
        </w:rPr>
        <w:t xml:space="preserve"> (Берутся из первой практической работы, этап № 7, без ключевых элементов данных)</w:t>
      </w:r>
      <w:r w:rsidR="002522F1">
        <w:rPr>
          <w:rFonts w:ascii="Times New Roman" w:hAnsi="Times New Roman" w:cs="Times New Roman"/>
          <w:sz w:val="24"/>
          <w:szCs w:val="24"/>
        </w:rPr>
        <w:t>. Красным цветом выделены, те атрибуты, которые повторяются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</w:tblGrid>
      <w:tr w:rsidR="00451D5A" w:rsidTr="00451D5A">
        <w:trPr>
          <w:tblHeader/>
          <w:jc w:val="center"/>
        </w:trPr>
        <w:tc>
          <w:tcPr>
            <w:tcW w:w="3114" w:type="dxa"/>
            <w:vAlign w:val="center"/>
          </w:tcPr>
          <w:p w:rsidR="00451D5A" w:rsidRDefault="00451D5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115" w:type="dxa"/>
            <w:vAlign w:val="center"/>
          </w:tcPr>
          <w:p w:rsidR="00451D5A" w:rsidRDefault="00451D5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Default="00451D5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Сумма;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Название;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Состав;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годности;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Артикул товара;</w:t>
            </w:r>
          </w:p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Вид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Default="00451D5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ФИО;</w:t>
            </w:r>
          </w:p>
          <w:p w:rsidR="00451D5A" w:rsidRPr="009C1EBE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Default="00451D5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3115" w:type="dxa"/>
            <w:vAlign w:val="center"/>
          </w:tcPr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Default="00451D5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3115" w:type="dxa"/>
            <w:vAlign w:val="center"/>
          </w:tcPr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F0835" w:rsidRDefault="00451D5A" w:rsidP="007978C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08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Фирма</w:t>
            </w:r>
            <w:r w:rsidR="00DF08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(Лишняя сущность</w:t>
            </w:r>
            <w:r w:rsidR="002960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т.к. Производитель есть</w:t>
            </w:r>
            <w:r w:rsidR="00DF08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3115" w:type="dxa"/>
            <w:vAlign w:val="center"/>
          </w:tcPr>
          <w:p w:rsidR="00451D5A" w:rsidRPr="00DF0835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08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Название.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Default="00451D5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  <w:tc>
          <w:tcPr>
            <w:tcW w:w="3115" w:type="dxa"/>
            <w:vAlign w:val="center"/>
          </w:tcPr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формирования;</w:t>
            </w:r>
          </w:p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Целостность;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поставки;</w:t>
            </w:r>
          </w:p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Ключ;</w:t>
            </w:r>
          </w:p>
          <w:p w:rsidR="00451D5A" w:rsidRPr="009C1EBE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3115" w:type="dxa"/>
            <w:vAlign w:val="center"/>
          </w:tcPr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 склада.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Договор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Срочный;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Срок;</w:t>
            </w:r>
          </w:p>
          <w:p w:rsidR="00451D5A" w:rsidRPr="00DD3EF6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70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Номер договора;</w:t>
            </w:r>
          </w:p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формирования договора.</w:t>
            </w:r>
          </w:p>
        </w:tc>
      </w:tr>
      <w:tr w:rsidR="00451D5A" w:rsidRPr="00DD3EF6" w:rsidTr="00451D5A">
        <w:trPr>
          <w:jc w:val="center"/>
        </w:trPr>
        <w:tc>
          <w:tcPr>
            <w:tcW w:w="3114" w:type="dxa"/>
            <w:vAlign w:val="center"/>
          </w:tcPr>
          <w:p w:rsidR="00451D5A" w:rsidRDefault="00451D5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Полное и сокращённое название;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Юридический и физический адрес;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 и телефон;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БИК;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ОКПО;</w:t>
            </w:r>
          </w:p>
          <w:p w:rsidR="00451D5A" w:rsidRPr="00DD3EF6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ИНН.</w:t>
            </w:r>
          </w:p>
        </w:tc>
      </w:tr>
      <w:tr w:rsidR="00451D5A" w:rsidRPr="00DD3EF6" w:rsidTr="00451D5A">
        <w:trPr>
          <w:jc w:val="center"/>
        </w:trPr>
        <w:tc>
          <w:tcPr>
            <w:tcW w:w="3114" w:type="dxa"/>
            <w:vAlign w:val="center"/>
          </w:tcPr>
          <w:p w:rsidR="00451D5A" w:rsidRDefault="00451D5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Представитель</w:t>
            </w:r>
          </w:p>
        </w:tc>
        <w:tc>
          <w:tcPr>
            <w:tcW w:w="3115" w:type="dxa"/>
            <w:vAlign w:val="center"/>
          </w:tcPr>
          <w:p w:rsidR="00451D5A" w:rsidRPr="00DD3EF6" w:rsidRDefault="00451D5A" w:rsidP="00BE21D1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Отмена приёма товара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формирования;</w:t>
            </w:r>
          </w:p>
          <w:p w:rsidR="006F24DD" w:rsidRPr="007E019A" w:rsidRDefault="006F24DD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Номер товарной сметы.</w:t>
            </w:r>
            <w:r w:rsidRPr="007E0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Карта клиента магазина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карты;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действия карты;</w:t>
            </w:r>
          </w:p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Имя владельца карты.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Кассовый аппарат</w:t>
            </w:r>
          </w:p>
        </w:tc>
        <w:tc>
          <w:tcPr>
            <w:tcW w:w="3115" w:type="dxa"/>
            <w:vAlign w:val="center"/>
          </w:tcPr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чека;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и время;</w:t>
            </w:r>
          </w:p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Внесённая сумма;</w:t>
            </w:r>
          </w:p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Итоговая сумма с и без НДС.</w:t>
            </w:r>
          </w:p>
        </w:tc>
      </w:tr>
      <w:tr w:rsidR="00451D5A" w:rsidRPr="007E019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Смена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51D5A" w:rsidRPr="007E019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время.</w:t>
            </w:r>
          </w:p>
        </w:tc>
      </w:tr>
      <w:tr w:rsidR="00451D5A" w:rsidTr="00451D5A">
        <w:trPr>
          <w:jc w:val="center"/>
        </w:trPr>
        <w:tc>
          <w:tcPr>
            <w:tcW w:w="3114" w:type="dxa"/>
            <w:vAlign w:val="center"/>
          </w:tcPr>
          <w:p w:rsidR="00451D5A" w:rsidRPr="00DD3EF6" w:rsidRDefault="00451D5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расчёта</w:t>
            </w:r>
          </w:p>
        </w:tc>
        <w:tc>
          <w:tcPr>
            <w:tcW w:w="3115" w:type="dxa"/>
            <w:vAlign w:val="center"/>
          </w:tcPr>
          <w:p w:rsidR="00451D5A" w:rsidRDefault="00451D5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</w:tr>
    </w:tbl>
    <w:p w:rsidR="00896315" w:rsidRPr="00896315" w:rsidRDefault="00896315" w:rsidP="00451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6315" w:rsidRPr="00451D5A" w:rsidRDefault="00896315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ННФ. Описание атрибутов</w:t>
      </w:r>
      <w:r w:rsidR="00451D5A">
        <w:rPr>
          <w:rFonts w:ascii="Times New Roman" w:hAnsi="Times New Roman" w:cs="Times New Roman"/>
          <w:sz w:val="24"/>
          <w:szCs w:val="24"/>
        </w:rPr>
        <w:t>, на основании списка атрибутов (При этом, повторяющиеся атрибуты, которые относятся к одной и той же сущности упраздняются)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96315" w:rsidRPr="00451D5A" w:rsidRDefault="00AB674A" w:rsidP="0089631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</w:t>
      </w:r>
      <w:r w:rsidRPr="00AB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. Лист «Этап 2». </w:t>
      </w:r>
    </w:p>
    <w:p w:rsidR="00896315" w:rsidRPr="00451D5A" w:rsidRDefault="00896315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ННФ, минимум 5 записями;</w:t>
      </w:r>
    </w:p>
    <w:p w:rsidR="00896315" w:rsidRPr="00AB674A" w:rsidRDefault="00AB674A" w:rsidP="0020437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</w:t>
      </w:r>
      <w:r w:rsidRPr="00AB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>. Лист «</w:t>
      </w:r>
      <w:r>
        <w:rPr>
          <w:rFonts w:ascii="Times New Roman" w:hAnsi="Times New Roman" w:cs="Times New Roman"/>
          <w:sz w:val="24"/>
          <w:szCs w:val="24"/>
        </w:rPr>
        <w:t>Этап 3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896315" w:rsidRDefault="00896315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1НФ. Применение правил 1НФ;</w:t>
      </w:r>
    </w:p>
    <w:p w:rsidR="00896315" w:rsidRPr="00AB674A" w:rsidRDefault="00AB674A" w:rsidP="0020437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</w:t>
      </w:r>
      <w:r w:rsidRPr="00AB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>. Лист «</w:t>
      </w:r>
      <w:r w:rsidR="00204373">
        <w:rPr>
          <w:rFonts w:ascii="Times New Roman" w:hAnsi="Times New Roman" w:cs="Times New Roman"/>
          <w:sz w:val="24"/>
          <w:szCs w:val="24"/>
        </w:rPr>
        <w:t>Этап 4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896315" w:rsidRDefault="00896315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2 НФ.</w:t>
      </w:r>
      <w:r w:rsidR="00AB674A">
        <w:rPr>
          <w:rFonts w:ascii="Times New Roman" w:hAnsi="Times New Roman" w:cs="Times New Roman"/>
          <w:sz w:val="24"/>
          <w:szCs w:val="24"/>
        </w:rPr>
        <w:t xml:space="preserve"> Выписка сущностей и атрибутов в соответствии с практической работой № 1, этап 7. Берётся целиком вся таблица;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B674A" w:rsidTr="007978C8">
        <w:trPr>
          <w:tblHeader/>
        </w:trPr>
        <w:tc>
          <w:tcPr>
            <w:tcW w:w="3114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Ключевой элемент данных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Сумма;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Название;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Состав;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годности;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Артикул товара;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Вид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Артикул товара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Покупатель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ФИО;</w:t>
            </w:r>
          </w:p>
          <w:p w:rsidR="00AB674A" w:rsidRPr="009C1EBE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3115" w:type="dxa"/>
            <w:vAlign w:val="center"/>
          </w:tcPr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3115" w:type="dxa"/>
            <w:vAlign w:val="center"/>
          </w:tcPr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F0835" w:rsidRDefault="00AB674A" w:rsidP="007978C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08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Фирма</w:t>
            </w:r>
          </w:p>
        </w:tc>
        <w:tc>
          <w:tcPr>
            <w:tcW w:w="3115" w:type="dxa"/>
            <w:vAlign w:val="center"/>
          </w:tcPr>
          <w:p w:rsidR="00AB674A" w:rsidRPr="00DF0835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08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AB674A" w:rsidRPr="00DF0835" w:rsidRDefault="00AB674A" w:rsidP="007978C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08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Название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Торговая точка</w:t>
            </w:r>
          </w:p>
        </w:tc>
        <w:tc>
          <w:tcPr>
            <w:tcW w:w="3115" w:type="dxa"/>
            <w:vAlign w:val="center"/>
          </w:tcPr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формирования;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товарной сметы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Поставка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Целостность;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поставки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Сотрудник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Ключ;</w:t>
            </w:r>
          </w:p>
          <w:p w:rsidR="00AB674A" w:rsidRPr="009C1EBE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Логин;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EBE">
              <w:rPr>
                <w:rFonts w:ascii="Times New Roman" w:hAnsi="Times New Roman" w:cs="Times New Roman"/>
                <w:sz w:val="24"/>
                <w:szCs w:val="24"/>
              </w:rPr>
              <w:t>Пароль.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3115" w:type="dxa"/>
            <w:vAlign w:val="center"/>
          </w:tcPr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Срочный;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Срок;</w:t>
            </w:r>
          </w:p>
          <w:p w:rsidR="00AB674A" w:rsidRPr="00DF0835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08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Номер договора;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формирования договора.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8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Номер договора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Полное и сокращённое название;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Юридический и физический адрес;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 и телефон;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БИК;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ОКПО;</w:t>
            </w:r>
          </w:p>
          <w:p w:rsidR="00AB674A" w:rsidRPr="00DD3EF6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ИНН.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Представитель</w:t>
            </w:r>
          </w:p>
        </w:tc>
        <w:tc>
          <w:tcPr>
            <w:tcW w:w="3115" w:type="dxa"/>
            <w:vAlign w:val="center"/>
          </w:tcPr>
          <w:p w:rsidR="00AB674A" w:rsidRPr="00DD3EF6" w:rsidRDefault="00AB674A" w:rsidP="00BE21D1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Отмена приёма товара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отчёта;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формирования;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8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Номер товарной сметы.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отчёта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Карта клиента магазина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карты;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Срок действия карты;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Имя владельца карты.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карты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Кассовый аппарат</w:t>
            </w:r>
          </w:p>
        </w:tc>
        <w:tc>
          <w:tcPr>
            <w:tcW w:w="3115" w:type="dxa"/>
            <w:vAlign w:val="center"/>
          </w:tcPr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Чек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 чека;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Дата и время;</w:t>
            </w:r>
          </w:p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Внесённая сумма;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Итоговая сумма с и без НДС.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чека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Смена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B674A" w:rsidRPr="007E019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AB674A" w:rsidTr="007978C8">
        <w:tc>
          <w:tcPr>
            <w:tcW w:w="3114" w:type="dxa"/>
            <w:vAlign w:val="center"/>
          </w:tcPr>
          <w:p w:rsidR="00AB674A" w:rsidRPr="00DD3EF6" w:rsidRDefault="00AB674A" w:rsidP="007978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3E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 расчёта</w:t>
            </w:r>
          </w:p>
        </w:tc>
        <w:tc>
          <w:tcPr>
            <w:tcW w:w="3115" w:type="dxa"/>
            <w:vAlign w:val="center"/>
          </w:tcPr>
          <w:p w:rsidR="00AB674A" w:rsidRDefault="00AB674A" w:rsidP="00BE21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Название.</w:t>
            </w:r>
          </w:p>
        </w:tc>
        <w:tc>
          <w:tcPr>
            <w:tcW w:w="3115" w:type="dxa"/>
            <w:vAlign w:val="center"/>
          </w:tcPr>
          <w:p w:rsidR="00AB674A" w:rsidRDefault="00AB674A" w:rsidP="00797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</w:tbl>
    <w:p w:rsidR="00AB674A" w:rsidRPr="00AB674A" w:rsidRDefault="00AB674A" w:rsidP="00AB674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674A" w:rsidRDefault="00AB674A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2 НФ. Определение доступных ключевых элементов данных (Должны на 100% быть уникальными);</w:t>
      </w:r>
    </w:p>
    <w:p w:rsidR="00AB674A" w:rsidRPr="00204373" w:rsidRDefault="00204373" w:rsidP="0020437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</w:t>
      </w:r>
      <w:r w:rsidRPr="00AB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>. Лист «</w:t>
      </w:r>
      <w:r>
        <w:rPr>
          <w:rFonts w:ascii="Times New Roman" w:hAnsi="Times New Roman" w:cs="Times New Roman"/>
          <w:sz w:val="24"/>
          <w:szCs w:val="24"/>
        </w:rPr>
        <w:t>Этап 6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AB674A" w:rsidRPr="00896315" w:rsidRDefault="00AB674A" w:rsidP="00BE21D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2 НФ. Внесение уникального идентификационного номера для определения записи.</w:t>
      </w:r>
    </w:p>
    <w:p w:rsidR="00204373" w:rsidRPr="00451D5A" w:rsidRDefault="00204373" w:rsidP="0020437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1. Практическая работа 2. 1 и 2 НФ</w:t>
      </w:r>
      <w:r w:rsidRPr="00AB67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>. Лист «</w:t>
      </w:r>
      <w:r>
        <w:rPr>
          <w:rFonts w:ascii="Times New Roman" w:hAnsi="Times New Roman" w:cs="Times New Roman"/>
          <w:sz w:val="24"/>
          <w:szCs w:val="24"/>
        </w:rPr>
        <w:t>Этап 7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396EF2" w:rsidRDefault="00396EF2" w:rsidP="00B035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96EF2" w:rsidSect="005C2E0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1D1" w:rsidRDefault="00BE21D1" w:rsidP="00DC1A2D">
      <w:pPr>
        <w:spacing w:after="0" w:line="240" w:lineRule="auto"/>
      </w:pPr>
      <w:r>
        <w:separator/>
      </w:r>
    </w:p>
  </w:endnote>
  <w:endnote w:type="continuationSeparator" w:id="0">
    <w:p w:rsidR="00BE21D1" w:rsidRDefault="00BE21D1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1D1" w:rsidRDefault="00BE21D1" w:rsidP="00DC1A2D">
      <w:pPr>
        <w:spacing w:after="0" w:line="240" w:lineRule="auto"/>
      </w:pPr>
      <w:r>
        <w:separator/>
      </w:r>
    </w:p>
  </w:footnote>
  <w:footnote w:type="continuationSeparator" w:id="0">
    <w:p w:rsidR="00BE21D1" w:rsidRDefault="00BE21D1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40AC"/>
    <w:rsid w:val="00005F03"/>
    <w:rsid w:val="0001271F"/>
    <w:rsid w:val="000137BF"/>
    <w:rsid w:val="00013B94"/>
    <w:rsid w:val="00015254"/>
    <w:rsid w:val="00017F46"/>
    <w:rsid w:val="00025AEC"/>
    <w:rsid w:val="000338D9"/>
    <w:rsid w:val="00066151"/>
    <w:rsid w:val="0008563D"/>
    <w:rsid w:val="000919D6"/>
    <w:rsid w:val="00095380"/>
    <w:rsid w:val="000A0741"/>
    <w:rsid w:val="000A6AD2"/>
    <w:rsid w:val="000B0F0D"/>
    <w:rsid w:val="000B5D35"/>
    <w:rsid w:val="000B5D3F"/>
    <w:rsid w:val="000D4CFB"/>
    <w:rsid w:val="000D55BF"/>
    <w:rsid w:val="000E0ABD"/>
    <w:rsid w:val="000E3971"/>
    <w:rsid w:val="000F7706"/>
    <w:rsid w:val="00100585"/>
    <w:rsid w:val="001064F5"/>
    <w:rsid w:val="0011523B"/>
    <w:rsid w:val="001208A0"/>
    <w:rsid w:val="001219EE"/>
    <w:rsid w:val="001339DD"/>
    <w:rsid w:val="001634FC"/>
    <w:rsid w:val="00164935"/>
    <w:rsid w:val="0016739D"/>
    <w:rsid w:val="00174103"/>
    <w:rsid w:val="00180511"/>
    <w:rsid w:val="00195659"/>
    <w:rsid w:val="001A6C95"/>
    <w:rsid w:val="001A7310"/>
    <w:rsid w:val="001C341F"/>
    <w:rsid w:val="001D0889"/>
    <w:rsid w:val="001D1C01"/>
    <w:rsid w:val="001F3806"/>
    <w:rsid w:val="001F6206"/>
    <w:rsid w:val="00204373"/>
    <w:rsid w:val="00205608"/>
    <w:rsid w:val="00213847"/>
    <w:rsid w:val="00226A1E"/>
    <w:rsid w:val="00230181"/>
    <w:rsid w:val="00233B04"/>
    <w:rsid w:val="002344E5"/>
    <w:rsid w:val="002522F1"/>
    <w:rsid w:val="00257B8A"/>
    <w:rsid w:val="0026692A"/>
    <w:rsid w:val="00281175"/>
    <w:rsid w:val="00295D4F"/>
    <w:rsid w:val="002960DD"/>
    <w:rsid w:val="002B2704"/>
    <w:rsid w:val="002C4A45"/>
    <w:rsid w:val="002E13FB"/>
    <w:rsid w:val="002E30FD"/>
    <w:rsid w:val="002F4CA8"/>
    <w:rsid w:val="002F7138"/>
    <w:rsid w:val="0031127C"/>
    <w:rsid w:val="00315670"/>
    <w:rsid w:val="003421DE"/>
    <w:rsid w:val="00363AD9"/>
    <w:rsid w:val="003935EA"/>
    <w:rsid w:val="00396EF2"/>
    <w:rsid w:val="003A312B"/>
    <w:rsid w:val="003C1BCA"/>
    <w:rsid w:val="003C2D00"/>
    <w:rsid w:val="003C393D"/>
    <w:rsid w:val="003C5F5B"/>
    <w:rsid w:val="003C6264"/>
    <w:rsid w:val="003D0C22"/>
    <w:rsid w:val="003D6A89"/>
    <w:rsid w:val="003E35FF"/>
    <w:rsid w:val="003F1594"/>
    <w:rsid w:val="003F6968"/>
    <w:rsid w:val="003F71F0"/>
    <w:rsid w:val="003F74AB"/>
    <w:rsid w:val="00406194"/>
    <w:rsid w:val="00427F13"/>
    <w:rsid w:val="00451D5A"/>
    <w:rsid w:val="00465891"/>
    <w:rsid w:val="00473A6E"/>
    <w:rsid w:val="00483FEB"/>
    <w:rsid w:val="004967BB"/>
    <w:rsid w:val="004C2185"/>
    <w:rsid w:val="004C635B"/>
    <w:rsid w:val="004E2F81"/>
    <w:rsid w:val="004E4699"/>
    <w:rsid w:val="004F0D1D"/>
    <w:rsid w:val="00504150"/>
    <w:rsid w:val="005116A1"/>
    <w:rsid w:val="00514273"/>
    <w:rsid w:val="00535981"/>
    <w:rsid w:val="0056471D"/>
    <w:rsid w:val="0057169A"/>
    <w:rsid w:val="00576778"/>
    <w:rsid w:val="0058647E"/>
    <w:rsid w:val="005C2E06"/>
    <w:rsid w:val="005F5DA7"/>
    <w:rsid w:val="00604B2B"/>
    <w:rsid w:val="00606701"/>
    <w:rsid w:val="0061466F"/>
    <w:rsid w:val="006308CB"/>
    <w:rsid w:val="006414E3"/>
    <w:rsid w:val="00653CB5"/>
    <w:rsid w:val="0066429E"/>
    <w:rsid w:val="00676B78"/>
    <w:rsid w:val="00686842"/>
    <w:rsid w:val="00696D4A"/>
    <w:rsid w:val="006A5AB0"/>
    <w:rsid w:val="006A64A5"/>
    <w:rsid w:val="006B20CD"/>
    <w:rsid w:val="006D68AB"/>
    <w:rsid w:val="006E4FAB"/>
    <w:rsid w:val="006F24DD"/>
    <w:rsid w:val="006F5DFA"/>
    <w:rsid w:val="00720D36"/>
    <w:rsid w:val="00721447"/>
    <w:rsid w:val="007270A2"/>
    <w:rsid w:val="00734443"/>
    <w:rsid w:val="00737F40"/>
    <w:rsid w:val="00746CC0"/>
    <w:rsid w:val="007654F4"/>
    <w:rsid w:val="0079690A"/>
    <w:rsid w:val="00797EA3"/>
    <w:rsid w:val="007A1050"/>
    <w:rsid w:val="007C570B"/>
    <w:rsid w:val="007D5397"/>
    <w:rsid w:val="007E019A"/>
    <w:rsid w:val="007F04A8"/>
    <w:rsid w:val="007F3DD8"/>
    <w:rsid w:val="007F3E51"/>
    <w:rsid w:val="008014F7"/>
    <w:rsid w:val="00802E75"/>
    <w:rsid w:val="008030C8"/>
    <w:rsid w:val="0081477C"/>
    <w:rsid w:val="008164B4"/>
    <w:rsid w:val="0081737D"/>
    <w:rsid w:val="00846D48"/>
    <w:rsid w:val="00855904"/>
    <w:rsid w:val="008606EB"/>
    <w:rsid w:val="008653A6"/>
    <w:rsid w:val="00870AB4"/>
    <w:rsid w:val="00871BD0"/>
    <w:rsid w:val="0088419D"/>
    <w:rsid w:val="00896315"/>
    <w:rsid w:val="008A0D4E"/>
    <w:rsid w:val="008A3348"/>
    <w:rsid w:val="008A5451"/>
    <w:rsid w:val="008B46B4"/>
    <w:rsid w:val="008D20B5"/>
    <w:rsid w:val="008E3491"/>
    <w:rsid w:val="008F75F8"/>
    <w:rsid w:val="009159BD"/>
    <w:rsid w:val="009179B2"/>
    <w:rsid w:val="00931E6E"/>
    <w:rsid w:val="009425EB"/>
    <w:rsid w:val="009434A9"/>
    <w:rsid w:val="009643D9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A055F9"/>
    <w:rsid w:val="00A07088"/>
    <w:rsid w:val="00A0765E"/>
    <w:rsid w:val="00A1256C"/>
    <w:rsid w:val="00A15F7F"/>
    <w:rsid w:val="00A37F5D"/>
    <w:rsid w:val="00A44D92"/>
    <w:rsid w:val="00A5358E"/>
    <w:rsid w:val="00A61A83"/>
    <w:rsid w:val="00A779CC"/>
    <w:rsid w:val="00A77B79"/>
    <w:rsid w:val="00AA7AA1"/>
    <w:rsid w:val="00AB674A"/>
    <w:rsid w:val="00B03540"/>
    <w:rsid w:val="00B04A83"/>
    <w:rsid w:val="00B60C1C"/>
    <w:rsid w:val="00B63C71"/>
    <w:rsid w:val="00B6436F"/>
    <w:rsid w:val="00B67BC7"/>
    <w:rsid w:val="00B76927"/>
    <w:rsid w:val="00B76CFB"/>
    <w:rsid w:val="00B8565D"/>
    <w:rsid w:val="00B93910"/>
    <w:rsid w:val="00BA06F9"/>
    <w:rsid w:val="00BC3BB2"/>
    <w:rsid w:val="00BC7E03"/>
    <w:rsid w:val="00BD215E"/>
    <w:rsid w:val="00BE21D1"/>
    <w:rsid w:val="00BE5715"/>
    <w:rsid w:val="00BE7941"/>
    <w:rsid w:val="00BF314C"/>
    <w:rsid w:val="00BF4937"/>
    <w:rsid w:val="00C27424"/>
    <w:rsid w:val="00C37788"/>
    <w:rsid w:val="00C43666"/>
    <w:rsid w:val="00C502DC"/>
    <w:rsid w:val="00C84865"/>
    <w:rsid w:val="00C9185D"/>
    <w:rsid w:val="00C97F1E"/>
    <w:rsid w:val="00CB66CC"/>
    <w:rsid w:val="00CC20F5"/>
    <w:rsid w:val="00CD0A8E"/>
    <w:rsid w:val="00CD2B76"/>
    <w:rsid w:val="00CF44D3"/>
    <w:rsid w:val="00D16270"/>
    <w:rsid w:val="00D264BC"/>
    <w:rsid w:val="00D52468"/>
    <w:rsid w:val="00D52B2D"/>
    <w:rsid w:val="00D710EE"/>
    <w:rsid w:val="00D749CB"/>
    <w:rsid w:val="00D7590F"/>
    <w:rsid w:val="00DA36D7"/>
    <w:rsid w:val="00DC1A2D"/>
    <w:rsid w:val="00DD129A"/>
    <w:rsid w:val="00DD3EF6"/>
    <w:rsid w:val="00DD460A"/>
    <w:rsid w:val="00DF0835"/>
    <w:rsid w:val="00DF2F5F"/>
    <w:rsid w:val="00E12532"/>
    <w:rsid w:val="00E17088"/>
    <w:rsid w:val="00E33A04"/>
    <w:rsid w:val="00E707BE"/>
    <w:rsid w:val="00E70DCD"/>
    <w:rsid w:val="00E725D0"/>
    <w:rsid w:val="00E74367"/>
    <w:rsid w:val="00E852A9"/>
    <w:rsid w:val="00EA165B"/>
    <w:rsid w:val="00EC29C1"/>
    <w:rsid w:val="00ED756B"/>
    <w:rsid w:val="00EE1D4A"/>
    <w:rsid w:val="00EF1554"/>
    <w:rsid w:val="00EF19B1"/>
    <w:rsid w:val="00EF38E3"/>
    <w:rsid w:val="00EF7AD1"/>
    <w:rsid w:val="00F021AF"/>
    <w:rsid w:val="00F51FC7"/>
    <w:rsid w:val="00F84608"/>
    <w:rsid w:val="00F92B5D"/>
    <w:rsid w:val="00FB0FF8"/>
    <w:rsid w:val="00FB69AF"/>
    <w:rsid w:val="00FC2CD3"/>
    <w:rsid w:val="00FC6155"/>
    <w:rsid w:val="00FC63E0"/>
    <w:rsid w:val="00FD5C3E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0A88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C329-F27E-4BC2-9177-DAF100E0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7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IDAPEN-IMSHCH</cp:lastModifiedBy>
  <cp:revision>26</cp:revision>
  <cp:lastPrinted>2018-05-23T06:41:00Z</cp:lastPrinted>
  <dcterms:created xsi:type="dcterms:W3CDTF">2021-09-02T15:53:00Z</dcterms:created>
  <dcterms:modified xsi:type="dcterms:W3CDTF">2022-01-25T08:22:00Z</dcterms:modified>
</cp:coreProperties>
</file>