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spacing w:after="100"/>
        <w:jc w:val="center"/>
      </w:pPr>
      <w:r>
        <w:t xml:space="preserve">BaseKit 3~7 기획본 (Part A)</w:t>
      </w:r>
    </w:p>
    <w:p>
      <w:pPr>
        <w:spacing w:after="60"/>
        <w:jc w:val="center"/>
      </w:pPr>
      <w:r>
        <w:rPr>
          <w:rFonts w:ascii="맑은 고딕" w:cs="맑은 고딕" w:eastAsia="맑은 고딕" w:hAnsi="맑은 고딕"/>
          <w:sz w:val="22"/>
          <w:szCs w:val="22"/>
        </w:rPr>
        <w:t xml:space="preserve">TRAITHON 2026 예선 제출물 · 팀 레드투그린</w:t>
      </w:r>
    </w:p>
    <w:p>
      <w:pPr>
        <w:spacing w:after="100"/>
        <w:jc w:val="center"/>
      </w:pPr>
      <w:r>
        <w:rPr>
          <w:rFonts w:ascii="맑은 고딕" w:cs="맑은 고딕" w:eastAsia="맑은 고딕" w:hAnsi="맑은 고딕"/>
          <w:color w:val="666666"/>
          <w:sz w:val="20"/>
          <w:szCs w:val="20"/>
        </w:rPr>
        <w:t xml:space="preserve">작성일: 2026-10-08</w:t>
      </w:r>
    </w:p>
    <w:p>
      <w:pPr>
        <w:spacing w:after="160"/>
      </w:pPr>
      <w:r>
        <w:rPr>
          <w:rFonts w:ascii="맑은 고딕" w:cs="맑은 고딕" w:eastAsia="맑은 고딕" w:hAnsi="맑은 고딕"/>
          <w:i/>
          <w:iCs/>
          <w:color w:val="555555"/>
          <w:sz w:val="18"/>
          <w:szCs w:val="18"/>
        </w:rPr>
        <w:t xml:space="preserve">본 문서는 본선에서 각 BaseKit 항목을 어떻게 수행할지에 대한 “계획”(Part A)만 담고 있으며, 실제 수행 결과·검증 내용(Part B 이후)은 포함하지 않습니다. 대회 측 BaseKit 실물 양식을 아직 확보하지 못해, 항목 구성은 대회 안내(교육 과정-BaseKit 연계표)를 참고해 팀이 구성한 임시 체계입니다.</w:t>
      </w:r>
    </w:p>
    <w:p>
      <w:r>
        <w:br/>
        <w:t xml:space="preserve"/>
      </w:r>
    </w:p>
    <w:p>
      <w:pPr>
        <w:pStyle w:val="Heading1"/>
        <w:spacing w:after="150" w:before="300"/>
      </w:pPr>
      <w:r>
        <w:t xml:space="preserve">BaseKit 3. 통제·요구사항 계획</w:t>
      </w:r>
    </w:p>
    <w:p>
      <w:pPr>
        <w:spacing w:after="120"/>
      </w:pPr>
      <w:r>
        <w:rPr>
          <w:rFonts w:ascii="맑은 고딕" w:cs="맑은 고딕" w:eastAsia="맑은 고딕" w:hAnsi="맑은 고딕"/>
        </w:rPr>
        <w:t xml:space="preserve">본선에서는 BK02에서 식별한 위험 각각에 대해, 구체적인 통제(Control)와 요구사항(Requirement)을 정의하고 이를 아키텍처(BaseKit 4)의 어느 부분에서 구현할지 연결할 계획이다.</w:t>
      </w:r>
    </w:p>
    <w:tbl>
      <w:tblPr>
        <w:tblW w:type="dxa" w:w="9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0"/>
        <w:gridCol w:w="3000"/>
        <w:gridCol w:w="3000"/>
        <w:gridCol w:w="2600"/>
      </w:tblGrid>
      <w:tr>
        <w:trPr>
          <w:tblHeader/>
        </w:trPr>
        <w:tc>
          <w:tcPr>
            <w:tcW w:type="dxa" w:w="1000"/>
            <w:shd w:fill="D9D9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sz w:val="20"/>
                <w:szCs w:val="20"/>
              </w:rPr>
              <w:t xml:space="preserve">위험ID</w:t>
            </w:r>
          </w:p>
        </w:tc>
        <w:tc>
          <w:tcPr>
            <w:tcW w:type="dxa" w:w="3000"/>
            <w:shd w:fill="D9D9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sz w:val="20"/>
                <w:szCs w:val="20"/>
              </w:rPr>
              <w:t xml:space="preserve">통제(계획)</w:t>
            </w:r>
          </w:p>
        </w:tc>
        <w:tc>
          <w:tcPr>
            <w:tcW w:type="dxa" w:w="3000"/>
            <w:shd w:fill="D9D9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sz w:val="20"/>
                <w:szCs w:val="20"/>
              </w:rPr>
              <w:t xml:space="preserve">요구사항(계획)</w:t>
            </w:r>
          </w:p>
        </w:tc>
        <w:tc>
          <w:tcPr>
            <w:tcW w:type="dxa" w:w="2600"/>
            <w:shd w:fill="D9D9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sz w:val="20"/>
                <w:szCs w:val="20"/>
              </w:rPr>
              <w:t xml:space="preserve">아키텍처 반영 위치(계획)</w:t>
            </w:r>
          </w:p>
        </w:tc>
      </w:tr>
      <w:tr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RISK-01</w:t>
            </w:r>
          </w:p>
        </w:tc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판단 신뢰도가 기준 미만이면 자동 통과 대신 사람에게 이관</w:t>
            </w:r>
          </w:p>
        </w:tc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모든 판단에 신뢰도 점수를 함께 출력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AI 모델 판단 단계 출력값에 신뢰도 포함</w:t>
            </w:r>
          </w:p>
        </w:tc>
      </w:tr>
      <w:tr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RISK-02</w:t>
            </w:r>
          </w:p>
        </w:tc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오탐 시 이의제기 채널 제공, 판정 근거 상시 공개</w:t>
            </w:r>
          </w:p>
        </w:tc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모든 “클릭베이트” 판정에는 근거(불일치 구간)가 함께 제공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검토자 큐·최종 게시 화면에 판정 근거 노출</w:t>
            </w:r>
          </w:p>
        </w:tc>
      </w:tr>
      <w:tr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RISK-03</w:t>
            </w:r>
          </w:p>
        </w:tc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우선순위 매트릭스로 검토 큐 정렬, 자동 승인 전환 금지</w:t>
            </w:r>
          </w:p>
        </w:tc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검토자 부재 시에도 큐는 쌓이기만 하고 자동 승인되지 않음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긴급도×중요도 매트릭스 + 운영 규칙</w:t>
            </w:r>
          </w:p>
        </w:tc>
      </w:tr>
      <w:tr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RISK-04</w:t>
            </w:r>
          </w:p>
        </w:tc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정치·경제 카테고리는 매트릭스 계산 없이 즉시 인간 이관</w:t>
            </w:r>
          </w:p>
        </w:tc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해당 카테고리 식별 로직은 판단 단계보다 먼저 동작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전처리 직후 카테고리 분기</w:t>
            </w:r>
          </w:p>
        </w:tc>
      </w:tr>
      <w:tr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RISK-05</w:t>
            </w:r>
          </w:p>
        </w:tc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입력 전처리 단계에서 사전 필터링, 실패 시 “판단 보류” 반환</w:t>
            </w:r>
          </w:p>
        </w:tc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본문 누락·언어 혼재 등은 AI 판단 이전에 걸러짐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전처리 단계</w:t>
            </w:r>
          </w:p>
        </w:tc>
      </w:tr>
      <w:tr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RISK-06</w:t>
            </w:r>
          </w:p>
        </w:tc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임계값을 중간값으로 설정, 애매한 구간은 자동판정 금지·인간 이관</w:t>
            </w:r>
          </w:p>
        </w:tc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애매 구간(신뢰도 기준 근방)을 별도로 식별·표시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AI 판단 단계 신뢰도 출력 + 임계값 정책</w:t>
            </w:r>
          </w:p>
        </w:tc>
      </w:tr>
      <w:tr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RISK-07</w:t>
            </w:r>
          </w:p>
        </w:tc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①의 판단 범위를 제목-본문 일치성으로 한정·고지, 사실 확인은 검토자 외부 출처 확인(또는 ② 확장)</w:t>
            </w:r>
          </w:p>
        </w:tc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모든 판정 결과에 “사실 여부는 검증하지 않음” 고지 표시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검토자 큐 화면 고지 + 인간 개입 행동 항목</w:t>
            </w:r>
          </w:p>
        </w:tc>
      </w:tr>
    </w:tbl>
    <w:p>
      <w:pPr>
        <w:spacing w:after="120"/>
      </w:pPr>
      <w:r>
        <w:rPr>
          <w:rFonts w:ascii="맑은 고딕" w:cs="맑은 고딕" w:eastAsia="맑은 고딕" w:hAnsi="맑은 고딕"/>
        </w:rPr>
        <w:t xml:space="preserve"/>
      </w:r>
    </w:p>
    <w:p>
      <w:pPr>
        <w:spacing w:after="120"/>
      </w:pPr>
      <w:r>
        <w:rPr>
          <w:rFonts w:ascii="맑은 고딕" w:cs="맑은 고딕" w:eastAsia="맑은 고딕" w:hAnsi="맑은 고딕"/>
          <w:b/>
          <w:bCs/>
        </w:rPr>
        <w:t xml:space="preserve">공통 요구사항 (계획)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맑은 고딕" w:cs="맑은 고딕" w:eastAsia="맑은 고딕" w:hAnsi="맑은 고딕"/>
        </w:rPr>
        <w:t xml:space="preserve">신뢰도 보정: 모델 신뢰도는 검증 데이터에서 실제 정답률과의 일치 여부를 점검·보정한 후에만 “애매한 구간(0.4~0.6, 초기값)” 판단에 사용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맑은 고딕" w:cs="맑은 고딕" w:eastAsia="맑은 고딕" w:hAnsi="맑은 고딕"/>
        </w:rPr>
        <w:t xml:space="preserve">추적성: 모든 판정·개입·결정은 타임스탬프와 함께 기록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맑은 고딕" w:cs="맑은 고딕" w:eastAsia="맑은 고딕" w:hAnsi="맑은 고딕"/>
        </w:rPr>
        <w:t xml:space="preserve">일관성: 동일 입력에 대해 동일한 신뢰도 범위 내 판단을 반복 가능하도록 모델 버전 고정·기록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맑은 고딕" w:cs="맑은 고딕" w:eastAsia="맑은 고딕" w:hAnsi="맑은 고딕"/>
        </w:rPr>
        <w:t xml:space="preserve">데이터 사용 원칙 준수: 제공 데이터 외 추가 데이터 사용 시 필요성·부족한 점·보완되는 신뢰성 문제 기록 의무화</w:t>
      </w:r>
    </w:p>
    <w:p>
      <w:pPr>
        <w:pageBreakBefore/>
      </w:pPr>
      <w:r>
        <w:t xml:space="preserve"/>
      </w:r>
    </w:p>
    <w:p>
      <w:pPr>
        <w:pStyle w:val="Heading1"/>
        <w:spacing w:after="150" w:before="300"/>
      </w:pPr>
      <w:r>
        <w:t xml:space="preserve">BaseKit 4. 아키텍처·파이프라인 계획</w:t>
      </w:r>
    </w:p>
    <w:p>
      <w:pPr>
        <w:spacing w:after="120"/>
      </w:pPr>
      <w:r>
        <w:rPr>
          <w:rFonts w:ascii="맑은 고딕" w:cs="맑은 고딕" w:eastAsia="맑은 고딕" w:hAnsi="맑은 고딕"/>
        </w:rPr>
        <w:t xml:space="preserve">본선에서는 아래 초기 아키텍처(별첨 파이프라인 흐름도 참고)를 실제 코드로 구현하고, 각 단계의 처리 로직(전처리 규칙, 모델 호출, 분기 조건)을 구체화할 계획이다.</w:t>
      </w:r>
    </w:p>
    <w:p>
      <w:pPr>
        <w:spacing w:after="120"/>
      </w:pPr>
      <w:r>
        <w:rPr>
          <w:rFonts w:ascii="맑은 고딕" w:cs="맑은 고딕" w:eastAsia="맑은 고딕" w:hAnsi="맑은 고딕"/>
          <w:b/>
          <w:bCs/>
        </w:rPr>
        <w:t xml:space="preserve">처리 흐름 (계획)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맑은 고딕" w:cs="맑은 고딕" w:eastAsia="맑은 고딕" w:hAnsi="맑은 고딕"/>
        </w:rPr>
        <w:t xml:space="preserve">① 기사 입력(제목+본문) → ② 전처리(입력 이상 필터링) → ③ A.X 4.0 Light 판단(클릭베이트 여부+신뢰도+근거)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맑은 고딕" w:cs="맑은 고딕" w:eastAsia="맑은 고딕" w:hAnsi="맑은 고딕"/>
        </w:rPr>
        <w:t xml:space="preserve">④ 정치·경제 민감 카테고리는 즉시 인간 이관 / 그 외는 긴급도×중요도 매트릭스로 우선순위 산정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맑은 고딕" w:cs="맑은 고딕" w:eastAsia="맑은 고딕" w:hAnsi="맑은 고딕"/>
        </w:rPr>
        <w:t xml:space="preserve">⑤ 판단 결과를 검토자 큐로 전달 → ⑥ 인간 검토·개입(승인/경고/보류/반려) → ⑦ 기록 → ⑧ 후속 조치·피드백</w:t>
      </w:r>
    </w:p>
    <w:p>
      <w:pPr>
        <w:spacing w:after="160"/>
      </w:pPr>
      <w:r>
        <w:rPr>
          <w:rFonts w:ascii="맑은 고딕" w:cs="맑은 고딕" w:eastAsia="맑은 고딕" w:hAnsi="맑은 고딕"/>
          <w:i/>
          <w:iCs/>
          <w:color w:val="555555"/>
          <w:sz w:val="18"/>
          <w:szCs w:val="18"/>
        </w:rPr>
        <w:t xml:space="preserve">상세 흐름도는 별첨 이미지(pipeline_diagram.png) 참고.</w:t>
      </w:r>
    </w:p>
    <w:p>
      <w:pPr>
        <w:spacing w:after="120"/>
      </w:pPr>
      <w:r>
        <w:rPr>
          <w:rFonts w:ascii="맑은 고딕" w:cs="맑은 고딕" w:eastAsia="맑은 고딕" w:hAnsi="맑은 고딕"/>
          <w:b/>
          <w:bCs/>
        </w:rPr>
        <w:t xml:space="preserve">우선순위 매트릭스 (긴급도 × 중요도)</w:t>
      </w:r>
    </w:p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3600"/>
        <w:gridCol w:w="3600"/>
      </w:tblGrid>
      <w:tr>
        <w:trPr>
          <w:tblHeader/>
        </w:trPr>
        <w:tc>
          <w:tcPr>
            <w:tcW w:type="dxa" w:w="2000"/>
            <w:shd w:fill="D9D9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sz w:val="20"/>
                <w:szCs w:val="20"/>
              </w:rPr>
              <w:t xml:space="preserve"/>
            </w:r>
          </w:p>
        </w:tc>
        <w:tc>
          <w:tcPr>
            <w:tcW w:type="dxa" w:w="3600"/>
            <w:shd w:fill="D9D9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sz w:val="20"/>
                <w:szCs w:val="20"/>
              </w:rPr>
              <w:t xml:space="preserve">긴급도 낮음</w:t>
            </w:r>
          </w:p>
        </w:tc>
        <w:tc>
          <w:tcPr>
            <w:tcW w:type="dxa" w:w="3600"/>
            <w:shd w:fill="D9D9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sz w:val="20"/>
                <w:szCs w:val="20"/>
              </w:rPr>
              <w:t xml:space="preserve">긴급도 높음</w:t>
            </w:r>
          </w:p>
        </w:tc>
      </w:tr>
      <w:tr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중요도 높음</w:t>
            </w:r>
          </w:p>
        </w:tc>
        <w:tc>
          <w:tcPr>
            <w:tcW w:type="dxa" w:w="3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4시간 이내 검토</w:t>
            </w:r>
          </w:p>
        </w:tc>
        <w:tc>
          <w:tcPr>
            <w:tcW w:type="dxa" w:w="3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1시간 이내 검토 (최우선)</w:t>
            </w:r>
          </w:p>
        </w:tc>
      </w:tr>
      <w:tr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중요도 낮음</w:t>
            </w:r>
          </w:p>
        </w:tc>
        <w:tc>
          <w:tcPr>
            <w:tcW w:type="dxa" w:w="3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자동 처리 / 24시간 이내 후순위</w:t>
            </w:r>
          </w:p>
        </w:tc>
        <w:tc>
          <w:tcPr>
            <w:tcW w:type="dxa" w:w="3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간단 확인 후 신속 처리</w:t>
            </w:r>
          </w:p>
        </w:tc>
      </w:tr>
    </w:tbl>
    <w:p>
      <w:pPr>
        <w:spacing w:after="120"/>
      </w:pPr>
      <w:r>
        <w:rPr>
          <w:rFonts w:ascii="맑은 고딕" w:cs="맑은 고딕" w:eastAsia="맑은 고딕" w:hAnsi="맑은 고딕"/>
        </w:rPr>
        <w:t xml:space="preserve"/>
      </w:r>
    </w:p>
    <w:p>
      <w:pPr>
        <w:spacing w:after="120"/>
      </w:pPr>
      <w:r>
        <w:rPr>
          <w:rFonts w:ascii="맑은 고딕" w:cs="맑은 고딕" w:eastAsia="맑은 고딕" w:hAnsi="맑은 고딕"/>
        </w:rPr>
        <w:t xml:space="preserve">정치·경제(특정 기업/종목 포함) 관련 기사는 매트릭스 점수 계산 없이 무조건 인간에게 즉시 이관할 계획이다. 명예훼손·시장 영향 등 법적·비즈니스적 민감성 때문에 AI 단독 자동판정 대상이 될 수 없는 영역으로 보기 때문이다.</w:t>
      </w:r>
    </w:p>
    <w:p>
      <w:pPr>
        <w:spacing w:after="120"/>
      </w:pPr>
      <w:r>
        <w:rPr>
          <w:rFonts w:ascii="맑은 고딕" w:cs="맑은 고딕" w:eastAsia="맑은 고딕" w:hAnsi="맑은 고딕"/>
          <w:b/>
          <w:bCs/>
        </w:rPr>
        <w:t xml:space="preserve">파이프라인 각 단계가 연결되는 이유 (계획)</w:t>
      </w:r>
    </w:p>
    <w:p>
      <w:pPr>
        <w:spacing w:after="120"/>
      </w:pPr>
      <w:r>
        <w:rPr>
          <w:rFonts w:ascii="맑은 고딕" w:cs="맑은 고딕" w:eastAsia="맑은 고딕" w:hAnsi="맑은 고딕"/>
          <w:i/>
          <w:iCs/>
          <w:color w:val="555555"/>
          <w:sz w:val="18"/>
          <w:szCs w:val="18"/>
        </w:rPr>
        <w:t xml:space="preserve">멘토링 지적: 아키텍처는 상자와 화살표가 아니라, 각 단계가 왜 이전 단계의 결과를 이어받는지 설명될 때 완성된다.</w:t>
      </w:r>
    </w:p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400"/>
      </w:tblGrid>
      <w:tr>
        <w:trPr>
          <w:tblHeader/>
        </w:trPr>
        <w:tc>
          <w:tcPr>
            <w:tcW w:type="dxa" w:w="2800"/>
            <w:shd w:fill="D9D9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sz w:val="20"/>
                <w:szCs w:val="20"/>
              </w:rPr>
              <w:t xml:space="preserve">연결</w:t>
            </w:r>
          </w:p>
        </w:tc>
        <w:tc>
          <w:tcPr>
            <w:tcW w:type="dxa" w:w="6400"/>
            <w:shd w:fill="D9D9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sz w:val="20"/>
                <w:szCs w:val="20"/>
              </w:rPr>
              <w:t xml:space="preserve">왜 이렇게 이어지는가</w:t>
            </w:r>
          </w:p>
        </w:tc>
      </w:tr>
      <w:tr>
        <w:tc>
          <w:tcPr>
            <w:tcW w:type="dxa" w:w="2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전처리 → AI 판단</w:t>
            </w:r>
          </w:p>
        </w:tc>
        <w:tc>
          <w:tcPr>
            <w:tcW w:type="dxa" w:w="6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입력이 불완전하면(본문 누락 등) 모델 판단을 신뢰할 수 없으므로 판단 이전에 걸러야 함(RISK-05)</w:t>
            </w:r>
          </w:p>
        </w:tc>
      </w:tr>
      <w:tr>
        <w:tc>
          <w:tcPr>
            <w:tcW w:type="dxa" w:w="2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AI 판단 → 카테고리 분기</w:t>
            </w:r>
          </w:p>
        </w:tc>
        <w:tc>
          <w:tcPr>
            <w:tcW w:type="dxa" w:w="6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정치·경제는 위험도가 높아서가 아니라 애초에 AI 단독판정 대상이 아니므로 우선순위 계산 전 분리(RISK-04, 회피)</w:t>
            </w:r>
          </w:p>
        </w:tc>
      </w:tr>
      <w:tr>
        <w:tc>
          <w:tcPr>
            <w:tcW w:type="dxa" w:w="2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분기 → 우선순위 매트릭스</w:t>
            </w:r>
          </w:p>
        </w:tc>
        <w:tc>
          <w:tcPr>
            <w:tcW w:type="dxa" w:w="6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같은 “검토 필요”도 급한 정도가 다르므로 검토자 자원을 피해가 큰 건에 먼저 배치(RISK-03 완화)</w:t>
            </w:r>
          </w:p>
        </w:tc>
      </w:tr>
      <w:tr>
        <w:tc>
          <w:tcPr>
            <w:tcW w:type="dxa" w:w="2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매트릭스 → 검토자 큐</w:t>
            </w:r>
          </w:p>
        </w:tc>
        <w:tc>
          <w:tcPr>
            <w:tcW w:type="dxa" w:w="6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매트릭스 점수는 검토자에게 가는 순서를 정하는 수단일 뿐, 자동 처리·반려 근거가 되지 않도록 큐 단계를 반드시 통과</w:t>
            </w:r>
          </w:p>
        </w:tc>
      </w:tr>
      <w:tr>
        <w:tc>
          <w:tcPr>
            <w:tcW w:type="dxa" w:w="2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검토자 큐 → 인간 개입</w:t>
            </w:r>
          </w:p>
        </w:tc>
        <w:tc>
          <w:tcPr>
            <w:tcW w:type="dxa" w:w="6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AI 판단을 실행으로 바로 연결하지 않고 사람의 결정을 거치게 함으로써 Agent 자율권한을 판단까지로 제한</w:t>
            </w:r>
          </w:p>
        </w:tc>
      </w:tr>
      <w:tr>
        <w:tc>
          <w:tcPr>
            <w:tcW w:type="dxa" w:w="2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인간 개입 → 기록·피드백</w:t>
            </w:r>
          </w:p>
        </w:tc>
        <w:tc>
          <w:tcPr>
            <w:tcW w:type="dxa" w:w="6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개별 결정으로 끝내지 않고 누적시켜 BK02 임계값·잔여위험 재검토 입력으로 사용 — 파이프라인은 선형이 아니라 BK02로 되돌아가는 순환 구조</w:t>
            </w:r>
          </w:p>
        </w:tc>
      </w:tr>
    </w:tbl>
    <w:p>
      <w:pPr>
        <w:spacing w:after="120"/>
      </w:pPr>
      <w:r>
        <w:rPr>
          <w:rFonts w:ascii="맑은 고딕" w:cs="맑은 고딕" w:eastAsia="맑은 고딕" w:hAnsi="맑은 고딕"/>
        </w:rPr>
        <w:t xml:space="preserve"/>
      </w:r>
    </w:p>
    <w:p>
      <w:pPr>
        <w:pageBreakBefore/>
      </w:pPr>
      <w:r>
        <w:t xml:space="preserve"/>
      </w:r>
    </w:p>
    <w:p>
      <w:pPr>
        <w:pStyle w:val="Heading1"/>
        <w:spacing w:after="150" w:before="300"/>
      </w:pPr>
      <w:r>
        <w:t xml:space="preserve">BaseKit 5. 인간감독(Human Oversight) 운영 계획</w:t>
      </w:r>
    </w:p>
    <w:p>
      <w:pPr>
        <w:spacing w:after="120"/>
      </w:pPr>
      <w:r>
        <w:rPr>
          <w:rFonts w:ascii="맑은 고딕" w:cs="맑은 고딕" w:eastAsia="맑은 고딕" w:hAnsi="맑은 고딕"/>
        </w:rPr>
        <w:t xml:space="preserve">Human Oversight를 “사람이 결과를 최종 확인”하는 것으로 한정하지 않고, 아래와 같은 전체 운영 프로세스로 설계·구현할 계획이다: AI 판단 → Trigger·Condition → Human Review/Intervention → Resulting Action → Record → Feedback/Update.</w:t>
      </w:r>
    </w:p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200"/>
      </w:tblGrid>
      <w:tr>
        <w:trPr>
          <w:tblHeader/>
        </w:trPr>
        <w:tc>
          <w:tcPr>
            <w:tcW w:type="dxa" w:w="3000"/>
            <w:shd w:fill="D9D9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sz w:val="20"/>
                <w:szCs w:val="20"/>
              </w:rPr>
              <w:t xml:space="preserve">질문</w:t>
            </w:r>
          </w:p>
        </w:tc>
        <w:tc>
          <w:tcPr>
            <w:tcW w:type="dxa" w:w="6200"/>
            <w:shd w:fill="D9D9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sz w:val="20"/>
                <w:szCs w:val="20"/>
              </w:rPr>
              <w:t xml:space="preserve">계획(답)</w:t>
            </w:r>
          </w:p>
        </w:tc>
      </w:tr>
      <w:tr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언제 사람이 반드시 개입하는가</w:t>
            </w:r>
          </w:p>
        </w:tc>
        <w:tc>
          <w:tcPr>
            <w:tcW w:type="dxa" w:w="6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정치·경제 카테고리 식별 시 / 매트릭스 “높음” / 판단 신뢰도 기준 미만 / 인용문·풍자 등 예외 시나리오</w:t>
            </w:r>
          </w:p>
        </w:tc>
      </w:tr>
      <w:tr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누가 개입하는가</w:t>
            </w:r>
          </w:p>
        </w:tc>
        <w:tc>
          <w:tcPr>
            <w:tcW w:type="dxa" w:w="6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뉴스 플랫폼 운영팀 내 콘텐츠 검토 담당자(검토자)</w:t>
            </w:r>
          </w:p>
        </w:tc>
      </w:tr>
      <w:tr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어떤 정보가 제공되는가</w:t>
            </w:r>
          </w:p>
        </w:tc>
        <w:tc>
          <w:tcPr>
            <w:tcW w:type="dxa" w:w="6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원문, AI 판단 결과, 신뢰도 수치, 판정 근거, 트리거 사유, 고지 문구(“본 판단은 제목-본문 일치성에 한하며 본문 내용의 사실 여부는 검증하지 않음”)</w:t>
            </w:r>
          </w:p>
        </w:tc>
      </w:tr>
      <w:tr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사람은 어떤 행동을 하는가</w:t>
            </w:r>
          </w:p>
        </w:tc>
        <w:tc>
          <w:tcPr>
            <w:tcW w:type="dxa" w:w="6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승인 / 경고 표시 후 게시 / 게시 보류 / 반려(수정 요청) / 외부 출처 확인 후 판단(본문의 수치·처분 등 사실 주장이 제목의 근거인 경우 사람이 확인, 향후 ② 검증 Agent 확장 지점)</w:t>
            </w:r>
          </w:p>
        </w:tc>
      </w:tr>
      <w:tr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개입 결과는 어떻게 반영되는가</w:t>
            </w:r>
          </w:p>
        </w:tc>
        <w:tc>
          <w:tcPr>
            <w:tcW w:type="dxa" w:w="6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기사 상태 업데이트(정상/경고/보류/반려), 반려 시 재제출 절차로 연결</w:t>
            </w:r>
          </w:p>
        </w:tc>
      </w:tr>
      <w:tr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어떻게 기록하는가</w:t>
            </w:r>
          </w:p>
        </w:tc>
        <w:tc>
          <w:tcPr>
            <w:tcW w:type="dxa" w:w="6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트리거 사유·검토자·근거·최종 결정·처리 시각을 모든 건에 대해 기록</w:t>
            </w:r>
          </w:p>
        </w:tc>
      </w:tr>
    </w:tbl>
    <w:p>
      <w:pPr>
        <w:spacing w:after="120"/>
      </w:pPr>
      <w:r>
        <w:rPr>
          <w:rFonts w:ascii="맑은 고딕" w:cs="맑은 고딕" w:eastAsia="맑은 고딕" w:hAnsi="맑은 고딕"/>
        </w:rPr>
        <w:t xml:space="preserve"/>
      </w:r>
    </w:p>
    <w:p>
      <w:pPr>
        <w:spacing w:after="120"/>
      </w:pPr>
      <w:r>
        <w:rPr>
          <w:rFonts w:ascii="맑은 고딕" w:cs="맑은 고딕" w:eastAsia="맑은 고딕" w:hAnsi="맑은 고딕"/>
          <w:b/>
          <w:bCs/>
        </w:rPr>
        <w:t xml:space="preserve">검토자 간 판단 불일치 처리 (계획)</w:t>
      </w:r>
    </w:p>
    <w:p>
      <w:pPr>
        <w:spacing w:after="120"/>
      </w:pPr>
      <w:r>
        <w:rPr>
          <w:rFonts w:ascii="맑은 고딕" w:cs="맑은 고딕" w:eastAsia="맑은 고딕" w:hAnsi="맑은 고딕"/>
          <w:i/>
          <w:iCs/>
          <w:color w:val="555555"/>
          <w:sz w:val="18"/>
          <w:szCs w:val="18"/>
        </w:rPr>
        <w:t xml:space="preserve">멘토링 지적: Human Oversight는 사람이 확인한다로 끝나는 것이 아니라, 사람들끼리 판단이 다를 때 어떻게 할지까지 설계해야 완성된다.</w:t>
      </w:r>
    </w:p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5600"/>
      </w:tblGrid>
      <w:tr>
        <w:trPr>
          <w:tblHeader/>
        </w:trPr>
        <w:tc>
          <w:tcPr>
            <w:tcW w:type="dxa" w:w="3600"/>
            <w:shd w:fill="D9D9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sz w:val="20"/>
                <w:szCs w:val="20"/>
              </w:rPr>
              <w:t xml:space="preserve">상황</w:t>
            </w:r>
          </w:p>
        </w:tc>
        <w:tc>
          <w:tcPr>
            <w:tcW w:type="dxa" w:w="5600"/>
            <w:shd w:fill="D9D9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sz w:val="20"/>
                <w:szCs w:val="20"/>
              </w:rPr>
              <w:t xml:space="preserve">처리 절차(계획)</w:t>
            </w:r>
          </w:p>
        </w:tc>
      </w:tr>
      <w:tr>
        <w:tc>
          <w:tcPr>
            <w:tcW w:type="dxa" w:w="3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동일 건을 2인 이상이 검토해 판단이 다른 경우</w:t>
            </w:r>
          </w:p>
        </w:tc>
        <w:tc>
          <w:tcPr>
            <w:tcW w:type="dxa" w:w="5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1차적으로 경력·경험이 더 많은 검토자의 판단을 우선 적용(신속성 확보)</w:t>
            </w:r>
          </w:p>
        </w:tc>
      </w:tr>
      <w:tr>
        <w:tc>
          <w:tcPr>
            <w:tcW w:type="dxa" w:w="3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경력 기준으로도 애매하거나 정치·경제 등 민감 카테고리인 경우</w:t>
            </w:r>
          </w:p>
        </w:tc>
        <w:tc>
          <w:tcPr>
            <w:tcW w:type="dxa" w:w="5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단일 검토자로 종결하지 않고 전문가(법무·편집 책임자 등) 재검토로 에스컬레이션</w:t>
            </w:r>
          </w:p>
        </w:tc>
      </w:tr>
      <w:tr>
        <w:tc>
          <w:tcPr>
            <w:tcW w:type="dxa" w:w="3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반복적으로 불일치가 발생하는 유형</w:t>
            </w:r>
          </w:p>
        </w:tc>
        <w:tc>
          <w:tcPr>
            <w:tcW w:type="dxa" w:w="5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BK02 임계값 재조정 논의 대상으로 기록(기준 자체를 의심)</w:t>
            </w:r>
          </w:p>
        </w:tc>
      </w:tr>
      <w:tr>
        <w:tc>
          <w:tcPr>
            <w:tcW w:type="dxa" w:w="3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기록</w:t>
            </w:r>
          </w:p>
        </w:tc>
        <w:tc>
          <w:tcPr>
            <w:tcW w:type="dxa" w:w="5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불일치 발생 여부, 최초 판단자·재검토자, 최종 결정, 에스컬레이션 여부를 모두 기록</w:t>
            </w:r>
          </w:p>
        </w:tc>
      </w:tr>
    </w:tbl>
    <w:p>
      <w:pPr>
        <w:spacing w:after="120"/>
      </w:pPr>
      <w:r>
        <w:rPr>
          <w:rFonts w:ascii="맑은 고딕" w:cs="맑은 고딕" w:eastAsia="맑은 고딕" w:hAnsi="맑은 고딕"/>
        </w:rPr>
        <w:t xml:space="preserve"/>
      </w:r>
    </w:p>
    <w:p>
      <w:pPr>
        <w:spacing w:after="120"/>
      </w:pPr>
      <w:r>
        <w:rPr>
          <w:rFonts w:ascii="맑은 고딕" w:cs="맑은 고딕" w:eastAsia="맑은 고딕" w:hAnsi="맑은 고딕"/>
        </w:rPr>
        <w:t xml:space="preserve">이 절차의 목적은 “다수결”이 아니라, 판단에 대한 책임 소재를 명확히 하면서도 민감한 사안은 더 신중한 절차로 흘러가게 하는 것이다.</w:t>
      </w:r>
    </w:p>
    <w:p>
      <w:pPr>
        <w:spacing w:after="120"/>
      </w:pPr>
      <w:r>
        <w:rPr>
          <w:rFonts w:ascii="맑은 고딕" w:cs="맑은 고딕" w:eastAsia="맑은 고딕" w:hAnsi="맑은 고딕"/>
          <w:b/>
          <w:bCs/>
        </w:rPr>
        <w:t xml:space="preserve">SLA 및 운영 규칙 (계획)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맑은 고딕" w:cs="맑은 고딕" w:eastAsia="맑은 고딕" w:hAnsi="맑은 고딕"/>
        </w:rPr>
        <w:t xml:space="preserve">검토 인력 가정: 소규모 운영팀 3~5명을 설계 가정으로 둠(실제 운영 수치 아님). 검토 가능 건수는 인력×처리속도로 제한되므로 애매 구간(신뢰도 0.4~0.6)과 우선순위 큐로 검토 대상을 좁히는 것이 전제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맑은 고딕" w:cs="맑은 고딕" w:eastAsia="맑은 고딕" w:hAnsi="맑은 고딕"/>
        </w:rPr>
        <w:t xml:space="preserve">SLA: 우선순위 매트릭스 기준 (최우선 1시간 / 차순위 4시간 / 일반 24시간)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맑은 고딕" w:cs="맑은 고딕" w:eastAsia="맑은 고딕" w:hAnsi="맑은 고딕"/>
        </w:rPr>
        <w:t xml:space="preserve">검토자 부재 시: 큐에 쌓아두고 최우선 건부터 처리, 자동 승인으로 전환하지 않음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맑은 고딕" w:cs="맑은 고딕" w:eastAsia="맑은 고딕" w:hAnsi="맑은 고딕"/>
        </w:rPr>
        <w:t xml:space="preserve">사후 대응과의 관계: 독자 신고 등 사후 대응만으로는 불충분하므로, 게시 전/판단 진행 중 단계 개입을 기본으로 함</w:t>
      </w:r>
    </w:p>
    <w:p>
      <w:pPr>
        <w:spacing w:after="120"/>
      </w:pPr>
      <w:r>
        <w:rPr>
          <w:rFonts w:ascii="맑은 고딕" w:cs="맑은 고딕" w:eastAsia="맑은 고딕" w:hAnsi="맑은 고딕"/>
          <w:b/>
          <w:bCs/>
        </w:rPr>
        <w:t xml:space="preserve">에이전트 자율범위 통제 (계획)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맑은 고딕" w:cs="맑은 고딕" w:eastAsia="맑은 고딕" w:hAnsi="맑은 고딕"/>
        </w:rPr>
        <w:t xml:space="preserve">모델 환각 위험: 판단 근거는 원문 내 구간을 직접 인용하는 방식으로만 생성(자유 생성 근거 미사용)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맑은 고딕" w:cs="맑은 고딕" w:eastAsia="맑은 고딕" w:hAnsi="맑은 고딕"/>
        </w:rPr>
        <w:t xml:space="preserve">과도한 자율 권한: Agent는 판단·근거제시·카테고리 분류까지만 수행, 게시/반려 등 실행은 전적으로 사람이 결정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맑은 고딕" w:cs="맑은 고딕" w:eastAsia="맑은 고딕" w:hAnsi="맑은 고딕"/>
        </w:rPr>
        <w:t xml:space="preserve">판단 연쇄 방지: 각 기사 단위로 판단을 종료, 자동으로 다음 조치로 연결하지 않음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맑은 고딕" w:cs="맑은 고딕" w:eastAsia="맑은 고딕" w:hAnsi="맑은 고딕"/>
        </w:rPr>
        <w:t xml:space="preserve">개입 누락 방지: Trigger 조건을 시스템 레벨에서 강제(조건 충족 시 자동 게시 로직 자체를 차단)</w:t>
      </w:r>
    </w:p>
    <w:p>
      <w:pPr>
        <w:pageBreakBefore/>
      </w:pPr>
      <w:r>
        <w:t xml:space="preserve"/>
      </w:r>
    </w:p>
    <w:p>
      <w:pPr>
        <w:pStyle w:val="Heading1"/>
        <w:spacing w:after="150" w:before="300"/>
      </w:pPr>
      <w:r>
        <w:t xml:space="preserve">BaseKit 6. 투명성·설명가능성 계획</w:t>
      </w:r>
    </w:p>
    <w:p>
      <w:pPr>
        <w:spacing w:after="120"/>
      </w:pPr>
      <w:r>
        <w:rPr>
          <w:rFonts w:ascii="맑은 고딕" w:cs="맑은 고딕" w:eastAsia="맑은 고딕" w:hAnsi="맑은 고딕"/>
        </w:rPr>
        <w:t xml:space="preserve">본선에서는 사용자(검토자)와 이해관계자가 AI 판단을 신뢰하고 검증할 수 있도록 아래와 같은 투명성 장치를 구현할 계획이다.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맑은 고딕" w:cs="맑은 고딕" w:eastAsia="맑은 고딕" w:hAnsi="맑은 고딕"/>
        </w:rPr>
        <w:t xml:space="preserve">모든 “클릭베이트” 판정에 대해 판정 근거(제목-본문 불일치 구간)를 원문 인용 형태로 상시 공개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맑은 고딕" w:cs="맑은 고딕" w:eastAsia="맑은 고딕" w:hAnsi="맑은 고딕"/>
        </w:rPr>
        <w:t xml:space="preserve">판단 신뢰도 수치를 사용자(검토자)가 항상 확인할 수 있도록 UI/출력 포맷에 포함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맑은 고딕" w:cs="맑은 고딕" w:eastAsia="맑은 고딕" w:hAnsi="맑은 고딕"/>
        </w:rPr>
        <w:t xml:space="preserve">오탐(정상 기사를 클릭베이트로 잘못 판정)된 경우, 기사 작성자·대상 기업이 이의제기할 수 있는 채널 마련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맑은 고딕" w:cs="맑은 고딕" w:eastAsia="맑은 고딕" w:hAnsi="맑은 고딕"/>
        </w:rPr>
        <w:t xml:space="preserve">사용한 모델(A.X 4.0 Light) 버전과 적용된 보조 로직(있을 경우)을 판정 결과와 함께 기록·공개</w:t>
      </w:r>
    </w:p>
    <w:p>
      <w:pPr>
        <w:spacing w:after="160"/>
      </w:pPr>
      <w:r>
        <w:rPr>
          <w:rFonts w:ascii="맑은 고딕" w:cs="맑은 고딕" w:eastAsia="맑은 고딕" w:hAnsi="맑은 고딕"/>
          <w:i/>
          <w:iCs/>
          <w:color w:val="555555"/>
          <w:sz w:val="18"/>
          <w:szCs w:val="18"/>
        </w:rPr>
        <w:t xml:space="preserve">세부 UI/UX 설계와 이의제기 처리 절차는 본선 단계에서 구체화할 예정.</w:t>
      </w:r>
    </w:p>
    <w:p>
      <w:pPr>
        <w:pageBreakBefore/>
      </w:pPr>
      <w:r>
        <w:t xml:space="preserve"/>
      </w:r>
    </w:p>
    <w:p>
      <w:pPr>
        <w:pStyle w:val="Heading1"/>
        <w:spacing w:after="150" w:before="300"/>
      </w:pPr>
      <w:r>
        <w:t xml:space="preserve">BaseKit 7. 평가·모니터링·검증 계획</w:t>
      </w:r>
    </w:p>
    <w:p>
      <w:pPr>
        <w:spacing w:after="120"/>
      </w:pPr>
      <w:r>
        <w:rPr>
          <w:rFonts w:ascii="맑은 고딕" w:cs="맑은 고딕" w:eastAsia="맑은 고딕" w:hAnsi="맑은 고딕"/>
        </w:rPr>
        <w:t xml:space="preserve">본선에서는 모델 성능과 신뢰성을 함께 검증하기 위해 아래 항목을 평가할 계획이다.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맑은 고딕" w:cs="맑은 고딕" w:eastAsia="맑은 고딕" w:hAnsi="맑은 고딕"/>
        </w:rPr>
        <w:t xml:space="preserve">성능 지표: 재현율(Recall)을 핵심 지표로, 정밀도 하한을 보조 지표로 하여 메인(AI-Hub)·보조(Webis) 데이터 기준 클릭베이트 탐지 성능 측정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맑은 고딕" w:cs="맑은 고딕" w:eastAsia="맑은 고딕" w:hAnsi="맑은 고딕"/>
        </w:rPr>
        <w:t xml:space="preserve">신뢰도 보정 평가: 신뢰도 구간별 실제 정답률과 ECE 등을 검증 데이터로 측정하고, 필요시 보정한 뒤 애매 구간(초기 0.4~0.6)을 재조정. 확장 옵션으로 Conformal Prediction 검토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맑은 고딕" w:cs="맑은 고딕" w:eastAsia="맑은 고딕" w:hAnsi="맑은 고딕"/>
        </w:rPr>
        <w:t xml:space="preserve">오류 유형별 분석: 미탐(RISK-01)과 오탐(RISK-02) 각각의 발생 빈도와 영향을 구분하여 추적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맑은 고딕" w:cs="맑은 고딕" w:eastAsia="맑은 고딕" w:hAnsi="맑은 고딕"/>
        </w:rPr>
        <w:t xml:space="preserve">인간감독 개입률 모니터링: 트리거 조건별(정치·경제/우선순위 높음/신뢰도 낮음 등) 개입 비율을 주기적으로 점검해, RISK-03(검토자 경보 과부하) 재평가에 활용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맑은 고딕" w:cs="맑은 고딕" w:eastAsia="맑은 고딕" w:hAnsi="맑은 고딕"/>
        </w:rPr>
        <w:t xml:space="preserve">잔여 위험 재검토: BK02 잔여 위험 표(RISK-01, RISK-04)를 운영 데이터 누적에 따라 주기적으로 재검토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맑은 고딕" w:cs="맑은 고딕" w:eastAsia="맑은 고딕" w:hAnsi="맑은 고딕"/>
        </w:rPr>
        <w:t xml:space="preserve">“민감 주제” 기준 업데이트: 초기 키워드/카테고리 목록의 과탐지·누락 사례를 모니터링하여 지속 보완</w:t>
      </w:r>
    </w:p>
    <w:p>
      <w:pPr>
        <w:spacing w:after="160"/>
      </w:pPr>
      <w:r>
        <w:rPr>
          <w:rFonts w:ascii="맑은 고딕" w:cs="맑은 고딕" w:eastAsia="맑은 고딕" w:hAnsi="맑은 고딕"/>
          <w:i/>
          <w:iCs/>
          <w:color w:val="555555"/>
          <w:sz w:val="18"/>
          <w:szCs w:val="18"/>
        </w:rPr>
        <w:t xml:space="preserve">실제 평가 수행 결과와 지표 수치는 Part B 이후(본선) 단계에서 작성 예정.</w:t>
      </w:r>
    </w:p>
    <w:sectPr>
      <w:pgSz w:w="11906" w:h="16838" w:orient="portrait"/>
      <w:pgMar w:top="900" w:right="720" w:bottom="90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2026-10-08T07:11:18.207Z</dcterms:created>
  <dcterms:modified xsi:type="dcterms:W3CDTF">2026-10-08T07:11:18.208Z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