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BaseKit 1~2 완성본</w:t>
      </w:r>
    </w:p>
    <w:p>
      <w:pPr>
        <w:spacing w:after="60"/>
        <w:jc w:val="center"/>
      </w:pPr>
      <w:r>
        <w:rPr>
          <w:rFonts w:ascii="맑은 고딕" w:cs="맑은 고딕" w:eastAsia="맑은 고딕" w:hAnsi="맑은 고딕"/>
          <w:sz w:val="22"/>
          <w:szCs w:val="22"/>
        </w:rPr>
        <w:t xml:space="preserve">TRAITHON 2026 예선 제출물 · 팀 레드투그린</w:t>
      </w:r>
    </w:p>
    <w:p>
      <w:pPr>
        <w:spacing w:after="400"/>
        <w:jc w:val="center"/>
      </w:pPr>
      <w:r>
        <w:rPr>
          <w:rFonts w:ascii="맑은 고딕" w:cs="맑은 고딕" w:eastAsia="맑은 고딕" w:hAnsi="맑은 고딕"/>
          <w:color w:val="666666"/>
          <w:sz w:val="20"/>
          <w:szCs w:val="20"/>
        </w:rPr>
        <w:t xml:space="preserve">작성일: 2026-10-08</w:t>
      </w:r>
    </w:p>
    <w:p>
      <w:pPr>
        <w:pStyle w:val="Heading1"/>
        <w:spacing w:after="150" w:before="300"/>
      </w:pPr>
      <w:r>
        <w:t xml:space="preserve">BaseKit 1. 영향평가 (Impact Assessment)</w:t>
      </w:r>
    </w:p>
    <w:p>
      <w:pPr>
        <w:pStyle w:val="Heading2"/>
        <w:spacing w:after="120" w:before="240"/>
      </w:pPr>
      <w:r>
        <w:t xml:space="preserve">1-0. 문제 정의 (클릭베이트 탐지보다 먼저)</w:t>
      </w:r>
    </w:p>
    <w:p>
      <w:pPr>
        <w:spacing w:after="120"/>
      </w:pPr>
      <w:r>
        <w:rPr>
          <w:rFonts w:ascii="맑은 고딕" w:cs="맑은 고딕" w:eastAsia="맑은 고딕" w:hAnsi="맑은 고딕"/>
          <w:i/>
          <w:iCs/>
          <w:color w:val="555555"/>
          <w:sz w:val="18"/>
          <w:szCs w:val="18"/>
        </w:rPr>
        <w:t xml:space="preserve">멘토링 지적: “클릭베이트가 무엇인가”가 아니라 “누구의 어떤 어려움을 해결하는가”를 먼저 정의해야 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요소</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누가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콘텐츠를 소비하는 독자, 특히 투자 판단처럼 의사결정에 기사 내용을 활용하는 사람</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어떤 상황에서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포털·뉴스 플랫폼에서 기사를 접할 때, 제목만으로 1차 판단을 내리는 순간</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어떤 어려움을 겪는가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제목이 본문 내용을 과장·왜곡해 불필요하게 클릭하거나, 잘못된 인상을 갖게 됨</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어떻게 해결하려는가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게시 전/직후 단계에서 제목-본문 불일치를 탐지해 운영팀(검토자)에게 알리고, 필요 시 경고 표시·보류 조치</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 즉 본 서비스는 “클릭베이트를 탐지하는 AI”가 아니라, “독자가 왜곡된 정보로 불필요한 판단을 내리지 않도록 게시 단계에서 미리 걸러주는 서비스”로 정의한다. 클릭베이트 탐지 Agent는 이 문제를 해결하는 핵심 수단이다.</w:t>
      </w:r>
    </w:p>
    <w:p>
      <w:pPr>
        <w:spacing w:after="120"/>
      </w:pPr>
      <w:r>
        <w:rPr>
          <w:rFonts w:ascii="맑은 고딕" w:cs="맑은 고딕" w:eastAsia="맑은 고딕" w:hAnsi="맑은 고딕"/>
          <w:b/>
          <w:bCs/>
        </w:rPr>
        <w:t xml:space="preserve">대표 사례 (실제 보도 비교, 기관·언론사명 비공개)</w:t>
      </w:r>
    </w:p>
    <w:p>
      <w:pPr>
        <w:spacing w:after="120"/>
      </w:pPr>
      <w:r>
        <w:rPr>
          <w:rFonts w:ascii="맑은 고딕" w:cs="맑은 고딕" w:eastAsia="맑은 고딕" w:hAnsi="맑은 고딕"/>
        </w:rPr>
        <w:t xml:space="preserve">대학 비대면 시험의 부정행위 의혹을 다룬 동일 사건 보도 3건을 비교했을 때, 세 제목 모두 학생 커뮤니티 익명 투표의 “커닝했다” 응답 수(수백 명대)를 확정된 부정행위자 수처럼 제시하거나 AI 사용을 사실로 단정했다. 그러나 본문은 “실제 인원은 확인되지 않았다”, “AI 사용은 학생 증언에 근거한 추정”이라고 밝히고 있었다. 독자가 제목만 읽으면 본문이 말하는 것보다 훨씬 강한 사실로 받아들이게 되며, 이것이 본 서비스가 줄이려는 문제의 구체적 모습이다. (본 서비스는 이러한 제목-본문 일치성만 판단하며, 본문 사실 여부는 1-3-1에 따라 판단하지 않는다.)</w:t>
      </w:r>
    </w:p>
    <w:p>
      <w:pPr>
        <w:pStyle w:val="Heading2"/>
        <w:spacing w:after="120" w:before="240"/>
      </w:pPr>
      <w:r>
        <w:t xml:space="preserve">1-1. 서비스 정체성</w:t>
      </w:r>
    </w:p>
    <w:p>
      <w:pPr>
        <w:spacing w:after="120"/>
      </w:pPr>
      <w:r>
        <w:rPr>
          <w:rFonts w:ascii="맑은 고딕" w:cs="맑은 고딕" w:eastAsia="맑은 고딕" w:hAnsi="맑은 고딕"/>
        </w:rPr>
        <w:t xml:space="preserve">본 서비스는 클릭베이트 탐지 단독 서비스가 아니라, “뉴스 콘텐츠 신뢰성 수호 멀티에이전트 시스템”(가칭)의 일부로 정의한다. 시스템은 3개 Agent — ① 클릭베이트 탐지 Agent, ② 검증 Agent(가칭), ③ 확산통제 Agent(가칭) — 로 구성되며, 그 결과를 조정자(Orchestrator)가 종합해 인간감독 큐로 전달한다.</w:t>
      </w:r>
    </w:p>
    <w:p>
      <w:pPr>
        <w:spacing w:after="120"/>
      </w:pPr>
      <w:r>
        <w:rPr>
          <w:rFonts w:ascii="맑은 고딕" w:cs="맑은 고딕" w:eastAsia="맑은 고딕" w:hAnsi="맑은 고딕"/>
          <w:i/>
          <w:iCs/>
          <w:color w:val="555555"/>
          <w:sz w:val="18"/>
          <w:szCs w:val="18"/>
        </w:rPr>
        <w:t xml:space="preserve">예선 단계에서는 대회 권고(1~2개 영향에 집중)에 따라 ① 클릭베이트 탐지 Agent만 상세 설계하고, ②③은 역할 정의 수준에서만 다룬다.</w:t>
      </w:r>
    </w:p>
    <w:p>
      <w:pPr>
        <w:pStyle w:val="Heading2"/>
        <w:spacing w:after="120" w:before="240"/>
      </w:pPr>
      <w:r>
        <w:t xml:space="preserve">1-2. ① 클릭베이트 탐지 Agent (본 제출물의 핵심 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역할</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기사 제목이 본문 내용을 과장·왜곡하는지 판단</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기사 제목 + 본문 (텍스트)</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출력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여부 판단 · 판단 근거 · 위험도 점수 · 검토 필요 여부</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필수 모델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4.0 Light (SKT, Hugging Face 공개) — 필수 사용, 타 모델 병행 가능</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인간감독 구조</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 → 인간감독(검토·승인·보류)</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직접 사용자</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플랫폼 운영팀 — 기사 게시 전/후 콘텐츠 검토 용도</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Agent 자율범위</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자율조치(위험도 낮음→자동통과) / 사전승인 필요(클릭베이트 판정) / 자동판정 중지(정치 민감 주제·예측집합 애매)</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모델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현재는 A.X 4.0 Light 단독 운용. 확장 옵션으로 제목-본문 유사도 기반 경량 분류기 검토</w:t>
            </w:r>
          </w:p>
        </w:tc>
      </w:tr>
    </w:tbl>
    <w:p>
      <w:pPr>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대표 활용 예시: 금융·증시 뉴스 도메인 — 특정 종목의 주가 급락·급등을 과장하거나 근거 없는 공포 심리를 조장하는 기사는 개인 투자자의 비합리적 매매를 유도하고 기업 평판·주가에 실질적 영향을 줄 수 있어 클릭베이트의 사회적 위해가 큰 사례로 든다. 서비스 자체는 도메인을 한정하지 않으며 이는 설명을 위한 예시임.</w:t>
      </w:r>
    </w:p>
    <w:p>
      <w:pPr>
        <w:pStyle w:val="Heading2"/>
        <w:spacing w:after="120" w:before="240"/>
      </w:pPr>
      <w:r>
        <w:t xml:space="preserve">1-3. ② 검증 Agent (가칭) / ③ 확산통제 Agent (가칭) — 개념 정의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200"/>
        <w:gridCol w:w="2000"/>
      </w:tblGrid>
      <w:tr>
        <w:trPr>
          <w:tblHeader/>
        </w:trPr>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Agent</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역할</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입력(예상)</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출력(예상)</w:t>
            </w:r>
          </w:p>
        </w:tc>
      </w:tr>
      <w:t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내용의 사실관계·출처 신뢰도 확인. 외부 출처를 검색(RAG)해 사실 확인을 지원(최종 판단은 사람)</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제목+본문, 검색된 외부 출처</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출처 링크를 포함한 사실성 판단 보조 정보</w:t>
            </w:r>
          </w:p>
        </w:tc>
      </w:tr>
      <w:t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③ 확산통제 Agent</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①②에서 위험 판정된 콘텐츠의 확산 범위 제한 방안 결정</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①②의 판정 결과</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조치 유형(노출축소/라벨/차단 등)</w:t>
            </w:r>
          </w:p>
        </w:tc>
      </w:tr>
    </w:tbl>
    <w:p>
      <w:pPr>
        <w:spacing w:after="120"/>
      </w:pPr>
      <w:r>
        <w:rPr>
          <w:rFonts w:ascii="맑은 고딕" w:cs="맑은 고딕" w:eastAsia="맑은 고딕" w:hAnsi="맑은 고딕"/>
        </w:rPr>
        <w:t xml:space="preserve"/>
      </w:r>
    </w:p>
    <w:p>
      <w:pPr>
        <w:pStyle w:val="Heading2"/>
        <w:spacing w:after="120" w:before="240"/>
      </w:pPr>
      <w:r>
        <w:t xml:space="preserve">1-3-1. 서비스 범위의 한계 — 일치성 판단 vs 사실 검증</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①이 판단하는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제목이 본문이 뒷받침하는 수준보다 더 단정적이거나 과장되었는지 (제목-본문 일치성)</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①이 판단하지 않는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내용 자체의 사실 여부 (외부 출처·사실관계 확인이 필요해 ② 검증 Agent의 영역)</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본문에서 “온라인 설문 응답 190명”으로 설명된 수치를 제목이 “190명 처분”처럼 확정 인원으로 단정 → ① 탐지 가능 / 그 설문 결과나 실제 처분 여부가 사실인지 → ① 판단 불가</w:t>
            </w:r>
          </w:p>
        </w:tc>
      </w:tr>
      <w:t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문서상 의미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본문이 틀렸더라도 제목과 일치하면 ①은 통과시킬 수 있음 → RISK-07로 기록, 사실 확인이 필요한 건은 검토자의 외부 출처 확인 또는 ② 검증 Agent(외부 출처 검색 RAG) 확장으로 연결</w:t>
            </w:r>
          </w:p>
        </w:tc>
      </w:tr>
    </w:tbl>
    <w:p>
      <w:pPr>
        <w:spacing w:after="120"/>
      </w:pPr>
      <w:r>
        <w:rPr>
          <w:rFonts w:ascii="맑은 고딕" w:cs="맑은 고딕" w:eastAsia="맑은 고딕" w:hAnsi="맑은 고딕"/>
        </w:rPr>
        <w:t xml:space="preserve"/>
      </w:r>
    </w:p>
    <w:p>
      <w:pPr>
        <w:pStyle w:val="Heading2"/>
        <w:spacing w:after="120" w:before="240"/>
      </w:pPr>
      <w:r>
        <w:t xml:space="preserve">1-4. 사용 데이터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800"/>
      </w:tblGrid>
      <w:tr>
        <w:trPr>
          <w:tblHeader/>
        </w:trPr>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4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데이터</w:t>
            </w:r>
          </w:p>
        </w:tc>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언어</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용도</w:t>
            </w:r>
          </w:p>
        </w:tc>
      </w:tr>
      <w:t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낚시성 기사 탐지 데이터</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탐지, 제목-본문 불일치, 과장·정보 은닉 분석</w:t>
            </w:r>
          </w:p>
        </w:tc>
      </w:tr>
      <w:t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Clickbait Corpus 2017 (clickbait17-train-170630.zip, 이미지 제외)</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영어</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강도, AI-사람 판단 비교, 인간 검토 기준 설정</w:t>
            </w:r>
          </w:p>
        </w:tc>
      </w:tr>
    </w:tbl>
    <w:p>
      <w:pPr>
        <w:spacing w:after="120"/>
      </w:pPr>
      <w:r>
        <w:rPr>
          <w:rFonts w:ascii="맑은 고딕" w:cs="맑은 고딕" w:eastAsia="맑은 고딕" w:hAnsi="맑은 고딕"/>
        </w:rPr>
        <w:t xml:space="preserve"/>
      </w:r>
    </w:p>
    <w:p>
      <w:pPr>
        <w:pStyle w:val="ListParagraph"/>
        <w:numPr>
          <w:ilvl w:val="0"/>
          <w:numId w:val="1"/>
        </w:numPr>
        <w:spacing w:after="60"/>
      </w:pPr>
      <w:r>
        <w:rPr>
          <w:rFonts w:ascii="맑은 고딕" w:cs="맑은 고딕" w:eastAsia="맑은 고딕" w:hAnsi="맑은 고딕"/>
        </w:rPr>
        <w:t xml:space="preserve">두 데이터는 언어·구조가 달라 목적별로 구분 활용 (단순 병합 지양)</w:t>
      </w:r>
    </w:p>
    <w:p>
      <w:pPr>
        <w:pStyle w:val="ListParagraph"/>
        <w:numPr>
          <w:ilvl w:val="0"/>
          <w:numId w:val="1"/>
        </w:numPr>
        <w:spacing w:after="60"/>
      </w:pPr>
      <w:r>
        <w:rPr>
          <w:rFonts w:ascii="맑은 고딕" w:cs="맑은 고딕" w:eastAsia="맑은 고딕" w:hAnsi="맑은 고딕"/>
        </w:rPr>
        <w:t xml:space="preserve">정제·가공·증강·주석 추가 가능, 제공 데이터 없이 추가 데이터만 사용 불가</w:t>
      </w:r>
    </w:p>
    <w:p>
      <w:pPr>
        <w:pStyle w:val="ListParagraph"/>
        <w:numPr>
          <w:ilvl w:val="0"/>
          <w:numId w:val="1"/>
        </w:numPr>
        <w:spacing w:after="60"/>
      </w:pPr>
      <w:r>
        <w:rPr>
          <w:rFonts w:ascii="맑은 고딕" w:cs="맑은 고딕" w:eastAsia="맑은 고딕" w:hAnsi="맑은 고딕"/>
        </w:rPr>
        <w:t xml:space="preserve">추가 데이터 사용 시 필요 이유·부족한 점·보완되는 신뢰성 문제를 설명할 수 있어야 하며, 사전에 멘토·운영팀 확인 권장</w:t>
      </w:r>
    </w:p>
    <w:p>
      <w:pPr>
        <w:pStyle w:val="Heading2"/>
        <w:spacing w:after="120" w:before="240"/>
      </w:pPr>
      <w:r>
        <w:t xml:space="preserve">1-5. 정상/비정상 시나리오</w:t>
      </w:r>
    </w:p>
    <w:p>
      <w:pPr>
        <w:spacing w:after="120"/>
      </w:pPr>
      <w:r>
        <w:rPr>
          <w:rFonts w:ascii="맑은 고딕" w:cs="맑은 고딕" w:eastAsia="맑은 고딕" w:hAnsi="맑은 고딕"/>
          <w:b/>
          <w:bCs/>
        </w:rPr>
        <w:t xml:space="preserve">정상 시나리오</w:t>
      </w:r>
    </w:p>
    <w:p>
      <w:pPr>
        <w:pStyle w:val="ListParagraph"/>
        <w:numPr>
          <w:ilvl w:val="0"/>
          <w:numId w:val="1"/>
        </w:numPr>
        <w:spacing w:after="60"/>
      </w:pPr>
      <w:r>
        <w:rPr>
          <w:rFonts w:ascii="맑은 고딕" w:cs="맑은 고딕" w:eastAsia="맑은 고딕" w:hAnsi="맑은 고딕"/>
        </w:rPr>
        <w:t xml:space="preserve">제목-본문 내용 일치 → “정상” 판정, 낮은 위험도</w:t>
      </w:r>
    </w:p>
    <w:p>
      <w:pPr>
        <w:pStyle w:val="ListParagraph"/>
        <w:numPr>
          <w:ilvl w:val="0"/>
          <w:numId w:val="1"/>
        </w:numPr>
        <w:spacing w:after="60"/>
      </w:pPr>
      <w:r>
        <w:rPr>
          <w:rFonts w:ascii="맑은 고딕" w:cs="맑은 고딕" w:eastAsia="맑은 고딕" w:hAnsi="맑은 고딕"/>
        </w:rPr>
        <w:t xml:space="preserve">제목이 본문을 과장/왜곡 → “클릭베이트” 판정 + 근거(불일치 구간) 제시</w:t>
      </w:r>
    </w:p>
    <w:p>
      <w:pPr>
        <w:spacing w:after="120"/>
      </w:pPr>
      <w:r>
        <w:rPr>
          <w:rFonts w:ascii="맑은 고딕" w:cs="맑은 고딕" w:eastAsia="맑은 고딕" w:hAnsi="맑은 고딕"/>
          <w:b/>
          <w:bCs/>
        </w:rPr>
        <w:t xml:space="preserve">비정상/예외 시나리오</w:t>
      </w:r>
    </w:p>
    <w:p>
      <w:pPr>
        <w:pStyle w:val="ListParagraph"/>
        <w:numPr>
          <w:ilvl w:val="0"/>
          <w:numId w:val="1"/>
        </w:numPr>
        <w:spacing w:after="60"/>
      </w:pPr>
      <w:r>
        <w:rPr>
          <w:rFonts w:ascii="맑은 고딕" w:cs="맑은 고딕" w:eastAsia="맑은 고딕" w:hAnsi="맑은 고딕"/>
        </w:rPr>
        <w:t xml:space="preserve">본문 누락 (제목만 존재)</w:t>
      </w:r>
    </w:p>
    <w:p>
      <w:pPr>
        <w:pStyle w:val="ListParagraph"/>
        <w:numPr>
          <w:ilvl w:val="0"/>
          <w:numId w:val="1"/>
        </w:numPr>
        <w:spacing w:after="60"/>
      </w:pPr>
      <w:r>
        <w:rPr>
          <w:rFonts w:ascii="맑은 고딕" w:cs="맑은 고딕" w:eastAsia="맑은 고딕" w:hAnsi="맑은 고딕"/>
        </w:rPr>
        <w:t xml:space="preserve">언어 혼재, 특수기호 과다</w:t>
      </w:r>
    </w:p>
    <w:p>
      <w:pPr>
        <w:pStyle w:val="ListParagraph"/>
        <w:numPr>
          <w:ilvl w:val="0"/>
          <w:numId w:val="1"/>
        </w:numPr>
        <w:spacing w:after="60"/>
      </w:pPr>
      <w:r>
        <w:rPr>
          <w:rFonts w:ascii="맑은 고딕" w:cs="맑은 고딕" w:eastAsia="맑은 고딕" w:hAnsi="맑은 고딕"/>
        </w:rPr>
        <w:t xml:space="preserve">인용문·풍자 포함 → 오탐 위험 (문맥 점검 필요)</w:t>
      </w:r>
    </w:p>
    <w:p>
      <w:pPr>
        <w:pStyle w:val="ListParagraph"/>
        <w:numPr>
          <w:ilvl w:val="0"/>
          <w:numId w:val="1"/>
        </w:numPr>
        <w:spacing w:after="60"/>
      </w:pPr>
      <w:r>
        <w:rPr>
          <w:rFonts w:ascii="맑은 고딕" w:cs="맑은 고딕" w:eastAsia="맑은 고딕" w:hAnsi="맑은 고딕"/>
        </w:rPr>
        <w:t xml:space="preserve">정치·경제적으로 민감한 주제 → 편향·오탐 위험 및 실질적 파급력 큼</w:t>
      </w:r>
    </w:p>
    <w:p>
      <w:pPr>
        <w:pStyle w:val="ListParagraph"/>
        <w:numPr>
          <w:ilvl w:val="0"/>
          <w:numId w:val="1"/>
        </w:numPr>
        <w:spacing w:after="60"/>
      </w:pPr>
      <w:r>
        <w:rPr>
          <w:rFonts w:ascii="맑은 고딕" w:cs="맑은 고딕" w:eastAsia="맑은 고딕" w:hAnsi="맑은 고딕"/>
        </w:rPr>
        <w:t xml:space="preserve">제목이 “설문 응답 수”나 “추정”을 확정 수치·사실처럼 표기 → 제목-본문 일치성 불일치로 탐지 대상</w:t>
      </w:r>
    </w:p>
    <w:p>
      <w:pPr>
        <w:pStyle w:val="ListParagraph"/>
        <w:numPr>
          <w:ilvl w:val="0"/>
          <w:numId w:val="1"/>
        </w:numPr>
        <w:spacing w:after="60"/>
      </w:pPr>
      <w:r>
        <w:rPr>
          <w:rFonts w:ascii="맑은 고딕" w:cs="맑은 고딕" w:eastAsia="맑은 고딕" w:hAnsi="맑은 고딕"/>
        </w:rPr>
        <w:t xml:space="preserve">기사 본문에 모델을 향한 지시문 포함(프롬프트 인젝션) → 입력 격리 후 판단, 이상 징후 시 사람에게 이관</w:t>
      </w:r>
    </w:p>
    <w:p>
      <w:pPr>
        <w:pStyle w:val="ListParagraph"/>
        <w:numPr>
          <w:ilvl w:val="0"/>
          <w:numId w:val="1"/>
        </w:numPr>
        <w:spacing w:after="60"/>
      </w:pPr>
      <w:r>
        <w:rPr>
          <w:rFonts w:ascii="맑은 고딕" w:cs="맑은 고딕" w:eastAsia="맑은 고딕" w:hAnsi="맑은 고딕"/>
        </w:rPr>
        <w:t xml:space="preserve">검토 대기열 초과 / 검토자 부재 상태에서 판단 요청 발생</w:t>
      </w:r>
    </w:p>
    <w:p>
      <w:pPr>
        <w:pStyle w:val="Heading2"/>
        <w:spacing w:after="120" w:before="240"/>
      </w:pPr>
      <w:r>
        <w:t xml:space="preserve">1-6. 이해관계자 — Onion Model (직접 → 간접)</w:t>
      </w:r>
    </w:p>
    <w:p>
      <w:pPr>
        <w:spacing w:after="120"/>
      </w:pPr>
      <w:r>
        <w:rPr>
          <w:rFonts w:ascii="맑은 고딕" w:cs="맑은 고딕" w:eastAsia="맑은 고딕" w:hAnsi="맑은 고딕"/>
          <w:i/>
          <w:iCs/>
          <w:color w:val="555555"/>
          <w:sz w:val="18"/>
          <w:szCs w:val="18"/>
        </w:rPr>
        <w:t xml:space="preserve">멘토링 지적: 영향평가의 핵심은 영향 범위를 넓게 확인하는 것. 직접 사용자뿐 아니라 검토자·작성자·언론사·플랫폼 운영사까지 포함.</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5000"/>
      </w:tblGrid>
      <w:tr>
        <w:trPr>
          <w:tblHeader/>
        </w:trPr>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층위</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이해관계자</w:t>
            </w:r>
          </w:p>
        </w:tc>
        <w:tc>
          <w:tcPr>
            <w:tcW w:type="dxa" w:w="5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서비스와의 관계</w:t>
            </w:r>
          </w:p>
        </w:tc>
      </w:tr>
      <w:t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1층(직접)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기사를 읽고 1차 판단·행동하는 당사자</w:t>
            </w:r>
          </w:p>
        </w:tc>
      </w:tr>
      <w:t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1층(직접)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검토자(운영팀)</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판단을 확인하고 최종 결정을 내리는 사람</w:t>
            </w:r>
          </w:p>
        </w:tc>
      </w:tr>
      <w:t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2층(간접)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작성자</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판정의 직접 대상이 되는 콘텐츠 제작자</w:t>
            </w:r>
          </w:p>
        </w:tc>
      </w:tr>
      <w:t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2층(간접)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보도 대상 기업·인물</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소재가 되어 평판·주가 등에 영향을 받음</w:t>
            </w:r>
          </w:p>
        </w:tc>
      </w:tr>
      <w:t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3층(간접)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언론사 전체</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소속 기자의 반복 클릭베이트 판정이 매체 신뢰도에 영향</w:t>
            </w:r>
          </w:p>
        </w:tc>
      </w:tr>
      <w:t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3층(간접)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플랫폼 운영사</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검수 품질에 따라 플랫폼 신뢰도·법적 책임에 영향</w:t>
            </w:r>
          </w:p>
        </w:tc>
      </w:tr>
      <w:t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4층(사회)</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정보 생태계 전반</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자체가 여론·정보 유통 구조에 영향</w:t>
            </w:r>
          </w:p>
        </w:tc>
      </w:tr>
    </w:tbl>
    <w:p>
      <w:pPr>
        <w:spacing w:after="120"/>
      </w:pPr>
      <w:r>
        <w:rPr>
          <w:rFonts w:ascii="맑은 고딕" w:cs="맑은 고딕" w:eastAsia="맑은 고딕" w:hAnsi="맑은 고딕"/>
        </w:rPr>
        <w:t xml:space="preserve"/>
      </w:r>
    </w:p>
    <w:p>
      <w:pPr>
        <w:pStyle w:val="Heading2"/>
        <w:spacing w:after="120" w:before="240"/>
      </w:pPr>
      <w:r>
        <w:t xml:space="preserve">1-7. 영향 — 다각도 점검 (기대/의도 여부, 기본권 관점)</w:t>
      </w:r>
    </w:p>
    <w:p>
      <w:pPr>
        <w:spacing w:after="120"/>
      </w:pPr>
      <w:r>
        <w:rPr>
          <w:rFonts w:ascii="맑은 고딕" w:cs="맑은 고딕" w:eastAsia="맑은 고딕" w:hAnsi="맑은 고딕"/>
          <w:i/>
          <w:iCs/>
          <w:color w:val="555555"/>
          <w:sz w:val="18"/>
          <w:szCs w:val="18"/>
        </w:rPr>
        <w:t xml:space="preserve">멘토링 지적: 영향을 기술적 실패로만 좁히지 말 것. 기대/비기대, 의도/비의도, 주된/부수적, 긍정/부정, 그리고 “서비스가 잘 작동해서 발생하는 역기능”까지 봐야 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관점</w:t>
            </w:r>
          </w:p>
        </w:tc>
        <w:tc>
          <w:tcPr>
            <w:tcW w:type="dxa" w:w="7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해당 사례</w:t>
            </w:r>
          </w:p>
        </w:tc>
      </w:tr>
      <w:t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기대한 영향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기사 노출 감소 → 독자의 정보 소비 품질 향상</w:t>
            </w:r>
          </w:p>
        </w:tc>
      </w:tr>
      <w:t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기대하지 않은 영향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과도한 민감 판정으로 특정 언론사·필진 기사가 반복적으로 불리하게 취급됨</w:t>
            </w:r>
          </w:p>
        </w:tc>
      </w:tr>
      <w:t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의도하지 않은 영향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기준이 보수적일수록 풍자·은유적 제목의 창작 기사도 함께 걸러질 수 있음</w:t>
            </w:r>
          </w:p>
        </w:tc>
      </w:tr>
      <w:t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부수적 영향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검토자의 업무 부담 증가(IMPACT-03)</w:t>
            </w:r>
          </w:p>
        </w:tc>
      </w:tr>
      <w:t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“잘 작동해서” 발생하는 역기능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강화 → 정상 기사까지 과잉 차단 → 알 권리·정보 접근 제한</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기본권 체크리스트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기본권</w:t>
            </w:r>
          </w:p>
        </w:tc>
        <w:tc>
          <w:tcPr>
            <w:tcW w:type="dxa" w:w="7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본 서비스와의 관련성</w:t>
            </w:r>
          </w:p>
        </w:tc>
      </w:tr>
      <w:t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알 권리·정보 접근</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과잉 차단 시 독자가 필요한 정보에 접근하지 못할 위험 (IMPACT-04)</w:t>
            </w:r>
          </w:p>
        </w:tc>
      </w:tr>
      <w:t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표현의 자유</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 표현이 반복적으로 “클릭베이트”로 분류되어 위축될 위험</w:t>
            </w:r>
          </w:p>
        </w:tc>
      </w:tr>
      <w:t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평등과 차별</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특정 언론사·주제가 구조적으로 더 자주 판정받는 편향 가능성</w:t>
            </w:r>
          </w:p>
        </w:tc>
      </w:tr>
      <w:t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선거·정치 관련 권리</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 기사 오판정이 여론 형성에 영향 → 즉시 인간 이관 트랙으로 분리</w:t>
            </w:r>
          </w:p>
        </w:tc>
      </w:tr>
    </w:tbl>
    <w:p>
      <w:pPr>
        <w:spacing w:after="120"/>
      </w:pPr>
      <w:r>
        <w:rPr>
          <w:rFonts w:ascii="맑은 고딕" w:cs="맑은 고딕" w:eastAsia="맑은 고딕" w:hAnsi="맑은 고딕"/>
        </w:rPr>
        <w:t xml:space="preserve"/>
      </w:r>
    </w:p>
    <w:p>
      <w:pPr>
        <w:pStyle w:val="Heading2"/>
        <w:spacing w:after="120" w:before="240"/>
      </w:pPr>
      <w:r>
        <w:t xml:space="preserve">1-8. 이해관계자·영향 후보 (4개 상세)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2000"/>
      </w:tblGrid>
      <w:tr>
        <w:trPr>
          <w:tblHeader/>
        </w:trPr>
        <w:tc>
          <w:tcPr>
            <w:tcW w:type="dxa" w:w="1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ID</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이해관계자</w:t>
            </w:r>
          </w:p>
        </w:tc>
        <w:tc>
          <w:tcPr>
            <w:tcW w:type="dxa" w:w="4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영향 경로</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영향 유형</w:t>
            </w:r>
          </w:p>
        </w:tc>
      </w:tr>
      <w:tr>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 (예: 개인 투자자 등 정보 소비자)</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미탐(클릭베이트 놓침) → 잘못된 정보 소비 → 후속 판단·의사결정에 악영향</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부정적, 간접</w:t>
            </w:r>
          </w:p>
        </w:tc>
      </w:tr>
      <w:tr>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작성자·대상 기업</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오탐(정상 기사에 경고) → 언론사 신뢰 손상, 이의제기 부담 / 대상 기업 평판·주가 불필요한 영향</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부정적, 직접</w:t>
            </w:r>
          </w:p>
        </w:tc>
      </w:tr>
      <w:tr>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IMPACT-03</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검토자(운영자)</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경보 과부하 → 판단 피로 → 형식적 승인 증가(즉시승인 패턴 리스크)</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부정적, 직접</w:t>
            </w:r>
          </w:p>
        </w:tc>
      </w:tr>
      <w:tr>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IMPACT-04</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독자(알 권리 관점)</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과도 강화 → 정상 기사 과잉 차단 → 필요한 정보 접근 불가 (역기능형 영향)</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부정적, 직접</w:t>
            </w:r>
          </w:p>
        </w:tc>
      </w:tr>
    </w:tbl>
    <w:p>
      <w:pPr>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IMPACT-04는 서비스가 실패해서가 아니라 의도대로 “강하게” 작동해서 발생하는 역기능이라는 점에서 IMPACT-01~03과 성격이 다르며, BK02에서 RISK-01과 트레이드오프 관계로 다룬다.</w:t>
      </w:r>
    </w:p>
    <w:p>
      <w:pPr>
        <w:pStyle w:val="Heading2"/>
        <w:spacing w:after="120" w:before="240"/>
      </w:pPr>
      <w:r>
        <w:t xml:space="preserve">1-9. 핵심 트레이드오프 — 무엇을 선택하고 왜 책임지는가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9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선택지</w:t>
            </w:r>
          </w:p>
        </w:tc>
        <w:tc>
          <w:tcPr>
            <w:tcW w:type="dxa" w:w="3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얻는 것</w:t>
            </w:r>
          </w:p>
        </w:tc>
        <w:tc>
          <w:tcPr>
            <w:tcW w:type="dxa" w:w="3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잃는 것(새로운 위험)</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강화</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미탐지(IMPACT-01) 감소</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기사 오탐·과잉 차단(IMPACT-02, 04) 증가</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완화</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기사 오탐 감소</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미탐지 증가</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rPr>
        <w:t xml:space="preserve">팀의 선택: 클릭베이트를 놓치는 피해가 더 크다고 보아 재현율을 우선하고, 그 대가로 늘어나는 오탐·과잉 차단은 판단이 애매한 경우(conformal 예측집합이 {클릭베이트, 정상}을 모두 포함하거나 공집합인 경우)를 전부 사람에게 이관해 제어한다. 임의의 숫자 구간을 쓰지 않고 데이터에서 도출하며, “AI가 애매하면 틀리지 않고 사람에게 넘긴다”를 원칙으로 책임 소재를 명확히 한다. 허용 오류 α를 정하는 주체는 AI기획자이며, 운영 데이터가 쌓이면 팀 논의로 재조정한다.</w:t>
      </w:r>
    </w:p>
    <w:p>
      <w:pPr>
        <w:pageBreakBefore/>
      </w:pPr>
      <w:r>
        <w:br/>
        <w:t xml:space="preserve"/>
      </w:r>
    </w:p>
    <w:p>
      <w:pPr>
        <w:pStyle w:val="Heading1"/>
        <w:spacing w:after="150" w:before="300"/>
      </w:pPr>
      <w:r>
        <w:t xml:space="preserve">BaseKit 2. 위험관리 (Risk Management)</w:t>
      </w:r>
    </w:p>
    <w:p>
      <w:pPr>
        <w:pStyle w:val="Heading2"/>
        <w:spacing w:after="120" w:before="240"/>
      </w:pPr>
      <w:r>
        <w:t xml:space="preserve">2-1. 위험 평가 기준 (가능성 × 영향 매트릭스)</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600"/>
      </w:tblGrid>
      <w:tr>
        <w:trPr>
          <w:tblHeader/>
        </w:trPr>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낮음(1)</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보통(2)</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높음(3)</w:t>
            </w:r>
          </w:p>
        </w:tc>
      </w:tr>
      <w:t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가능성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드물게 발생</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주기적으로 발생 가능</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빈번히 발생</w:t>
            </w:r>
          </w:p>
        </w:tc>
      </w:tr>
      <w:t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영향</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경미(개별 사용자 불편)</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중간(집단 신뢰 손상)</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심각(재산·평판·사회적 파급)</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위험 점수 = 가능성 × 영향 (1~9). 6점 이상은 우선 대응 대상.</w:t>
      </w:r>
    </w:p>
    <w:p>
      <w:pPr>
        <w:pStyle w:val="Heading2"/>
        <w:spacing w:after="120" w:before="240"/>
      </w:pPr>
      <w:r>
        <w:t xml:space="preserve">2-2. 위험 등록부</w:t>
      </w:r>
    </w:p>
    <w:p>
      <w:pPr>
        <w:spacing w:after="120"/>
      </w:pPr>
      <w:r>
        <w:rPr>
          <w:rFonts w:ascii="맑은 고딕" w:cs="맑은 고딕" w:eastAsia="맑은 고딕" w:hAnsi="맑은 고딕"/>
        </w:rPr>
        <w:t xml:space="preserve">BK01의 영향(IMPACT-01~04), 서비스 범위의 한계, 에이전트·데이터 특성을 위험(RISK-01~12)으로 전환.</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1000"/>
        <w:gridCol w:w="600"/>
        <w:gridCol w:w="600"/>
        <w:gridCol w:w="600"/>
        <w:gridCol w:w="2300"/>
        <w:gridCol w:w="1700"/>
      </w:tblGrid>
      <w:tr>
        <w:trPr>
          <w:tblHeader/>
        </w:trPr>
        <w:tc>
          <w:tcPr>
            <w:tcW w:type="dxa" w:w="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위험ID</w:t>
            </w:r>
          </w:p>
        </w:tc>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 설명</w:t>
            </w:r>
          </w:p>
        </w:tc>
        <w:tc>
          <w:tcPr>
            <w:tcW w:type="dxa" w:w="1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관련영향</w:t>
            </w:r>
          </w:p>
        </w:tc>
        <w:tc>
          <w:tcPr>
            <w:tcW w:type="dxa" w:w="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가능성</w:t>
            </w:r>
          </w:p>
        </w:tc>
        <w:tc>
          <w:tcPr>
            <w:tcW w:type="dxa" w:w="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영향도</w:t>
            </w:r>
          </w:p>
        </w:tc>
        <w:tc>
          <w:tcPr>
            <w:tcW w:type="dxa" w:w="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점수</w:t>
            </w:r>
          </w:p>
        </w:tc>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대응</w:t>
            </w:r>
          </w:p>
        </w:tc>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담당</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미탐지 → 독자(투자자 등) 잘못된 판단 유도</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애매하면(conformal 예측집합) 사람에게 이관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데이터과학자·AI엔지니어</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RISK-02</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기사 오탐 → 언론사·기업 신뢰·평판 피해</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이의제기 채널, 근거 공개</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RISK-03</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경보 과부하 → 형식적 즉시승인 증가</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우선순위 큐, 자동승인 금지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민감 주제에서 모델 편향 판단</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기본권 우선 적용: 자동판정 중지, 무조건 인간 이관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AI기획자·검토자</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누락·언어 혼재 등 입력 이상 처리 실패</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시스템 안정성</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수용+예외처리: 전처리 필터링, 실패 시 판단 보류</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과잉 강화 → 정상 기사 과잉 차단 → 알 권리 침해</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IMPACT-04</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RISK-01과 트레이드오프, 임계값 중간값+애매구간 인간이관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RISK-07</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본문이 사실과 다르지만 제목과 일치하는 기사를 ①이 통과시킴 (일치성 판단의 한계)</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수용+연결: ① 범위를 일치성으로 명시, 사실 확인은 검토자 외부 출처 확인 또는 ② 확장</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본문에 숨겨진 지시문(프롬프트 인젝션)으로 모델 판단 조작</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본문을 데이터로 격리, 출력 형식 제약, 실행은 사람 결정</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RISK-09</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작성자의 제목 표현 변경(회피 적응) → 미탐 증가</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검토 결과 환류, 주기적 재평가, 모델 버전 기록</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한국어(메인)·영어(보조) 데이터의 언어·도메인 차이로 성능 편차·편향</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IMPACT-02,04</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목적별 분리, 한국어 검증셋 평가·보정, 언론사·주제별 성능 분해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RISK-11</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시간 경과(신조어·제목 유행)로 성능 저하(드리프트)</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주기적 재평가, 임계값·보정 재조정 이력 기록</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데이터과학자·AI엔지니어</w:t>
            </w:r>
          </w:p>
        </w:tc>
      </w:tr>
      <w:t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RISK-12</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Agent의 외부 검색(RAG)에서 신뢰할 수 없는 출처 인용·검색 결과 오염 (확장 기능, 개념 수준)</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출처 화이트리스트·링크 병기, 검색 결과 격리, 최종 사실 판단은 사람</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bl>
    <w:p>
      <w:pPr>
        <w:spacing w:after="120"/>
      </w:pPr>
      <w:r>
        <w:rPr>
          <w:rFonts w:ascii="맑은 고딕" w:cs="맑은 고딕" w:eastAsia="맑은 고딕" w:hAnsi="맑은 고딕"/>
        </w:rPr>
        <w:t xml:space="preserve"/>
      </w:r>
    </w:p>
    <w:p>
      <w:pPr>
        <w:pStyle w:val="Heading2"/>
        <w:spacing w:after="120" w:before="240"/>
      </w:pPr>
      <w:r>
        <w:t xml:space="preserve">2-3. 잔여 위험 (Residual Risk)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1500"/>
        <w:gridCol w:w="3400"/>
      </w:tblGrid>
      <w:tr>
        <w:trPr>
          <w:tblHeader/>
        </w:trPr>
        <w:tc>
          <w:tcPr>
            <w:tcW w:type="dxa" w:w="1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위험ID</w:t>
            </w:r>
          </w:p>
        </w:tc>
        <w:tc>
          <w:tcPr>
            <w:tcW w:type="dxa" w:w="3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잔여 위험</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수용 여부</w:t>
            </w:r>
          </w:p>
        </w:tc>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비고</w:t>
            </w:r>
          </w:p>
        </w:tc>
      </w:tr>
      <w:t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 이관 시에도 검토자가 판단을 그르칠 가능성</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교육·가이드라인으로 별도 보완 필요</w:t>
            </w:r>
          </w:p>
        </w:tc>
      </w:tr>
      <w:t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 주제” 경계가 모호한 사례 존재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수용(모니터링)</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초기 키워드/카테고리 목록은 팀이 임의 정의 → 운영 중 지속 업데이트</w:t>
            </w:r>
          </w:p>
        </w:tc>
      </w:tr>
      <w:t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RISK-07</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본문이 틀렸지만 제목과 일치하는 기사는 ①이 구별할 수 없음</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수용(범위 명시)</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사실 검증은 ② 검증 Agent 영역. “사실 여부를 보증하지 않는다”는 점을 검토자에게 고지</w:t>
            </w:r>
          </w:p>
        </w:tc>
      </w:tr>
      <w:t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인젝션 기법이 진화해 완전 차단은 어려움</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수용(모니터링)</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격리·출력 제약과 사람 결정 단계로 피해 확산 제한, 검토자 신고 사례를 통제 개선에 반영</w:t>
            </w:r>
          </w:p>
        </w:tc>
      </w:tr>
      <w:t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영어 보조 데이터의 기준이 한국어 기사에 그대로 맞지 않을 가능성</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수용(검증 후 조정)</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데이터는 인간 검토 기준 설정·비교용으로만 사용, 최종 평가는 한국어 데이터 기준</w:t>
            </w:r>
          </w:p>
        </w:tc>
      </w:tr>
    </w:tbl>
    <w:p>
      <w:pPr>
        <w:spacing w:after="120"/>
      </w:pPr>
      <w:r>
        <w:rPr>
          <w:rFonts w:ascii="맑은 고딕" w:cs="맑은 고딕" w:eastAsia="맑은 고딕" w:hAnsi="맑은 고딕"/>
        </w:rPr>
        <w:t xml:space="preserve"/>
      </w:r>
    </w:p>
    <w:p>
      <w:pPr>
        <w:pStyle w:val="Heading2"/>
        <w:spacing w:after="120" w:before="240"/>
      </w:pPr>
      <w:r>
        <w:t xml:space="preserve">2-4. 대응 옵션 적용 원칙</w:t>
      </w:r>
    </w:p>
    <w:p>
      <w:pPr>
        <w:pStyle w:val="ListParagraph"/>
        <w:numPr>
          <w:ilvl w:val="0"/>
          <w:numId w:val="1"/>
        </w:numPr>
        <w:spacing w:after="60"/>
      </w:pPr>
      <w:r>
        <w:rPr>
          <w:rFonts w:ascii="맑은 고딕" w:cs="맑은 고딕" w:eastAsia="맑은 고딕" w:hAnsi="맑은 고딕"/>
        </w:rPr>
        <w:t xml:space="preserve">회피: 애초에 자동 판단 대상에서 제외 (예: 민감 주제)</w:t>
      </w:r>
    </w:p>
    <w:p>
      <w:pPr>
        <w:pStyle w:val="ListParagraph"/>
        <w:numPr>
          <w:ilvl w:val="0"/>
          <w:numId w:val="1"/>
        </w:numPr>
        <w:spacing w:after="60"/>
      </w:pPr>
      <w:r>
        <w:rPr>
          <w:rFonts w:ascii="맑은 고딕" w:cs="맑은 고딕" w:eastAsia="맑은 고딕" w:hAnsi="맑은 고딕"/>
        </w:rPr>
        <w:t xml:space="preserve">경감: 기술적·프로세스적 완화 조치 (RISK-01, 02, 03, 06, 08, 09, 10, 11, 12)</w:t>
      </w:r>
    </w:p>
    <w:p>
      <w:pPr>
        <w:pStyle w:val="ListParagraph"/>
        <w:numPr>
          <w:ilvl w:val="0"/>
          <w:numId w:val="1"/>
        </w:numPr>
        <w:spacing w:after="60"/>
      </w:pPr>
      <w:r>
        <w:rPr>
          <w:rFonts w:ascii="맑은 고딕" w:cs="맑은 고딕" w:eastAsia="맑은 고딕" w:hAnsi="맑은 고딕"/>
        </w:rPr>
        <w:t xml:space="preserve">이전: 해당 프로젝트 범위에서는 미적용 (외부 위탁 없음)</w:t>
      </w:r>
    </w:p>
    <w:p>
      <w:pPr>
        <w:pStyle w:val="ListParagraph"/>
        <w:numPr>
          <w:ilvl w:val="0"/>
          <w:numId w:val="1"/>
        </w:numPr>
        <w:spacing w:after="60"/>
      </w:pPr>
      <w:r>
        <w:rPr>
          <w:rFonts w:ascii="맑은 고딕" w:cs="맑은 고딕" w:eastAsia="맑은 고딕" w:hAnsi="맑은 고딕"/>
        </w:rPr>
        <w:t xml:space="preserve">수용: 잔여 위험으로 명시적 기록 후 진행 (RISK-05, RISK-07)</w:t>
      </w:r>
    </w:p>
    <w:p>
      <w:pPr>
        <w:spacing w:after="160"/>
      </w:pPr>
      <w:r>
        <w:rPr>
          <w:rFonts w:ascii="맑은 고딕" w:cs="맑은 고딕" w:eastAsia="맑은 고딕" w:hAnsi="맑은 고딕"/>
          <w:i/>
          <w:iCs/>
          <w:color w:val="555555"/>
          <w:sz w:val="18"/>
          <w:szCs w:val="18"/>
        </w:rPr>
        <w:t xml:space="preserve">수용은 “방치”가 아니라 의식적 결정 + 기록이어야 하므로, 위 표에 근거를 남긴다.</w:t>
      </w:r>
    </w:p>
    <w:p>
      <w:pPr>
        <w:pStyle w:val="Heading2"/>
        <w:spacing w:after="120" w:before="240"/>
      </w:pPr>
      <w:r>
        <w:t xml:space="preserve">2-5. 트레이드오프와 책임 소재</w:t>
      </w:r>
    </w:p>
    <w:p>
      <w:pPr>
        <w:spacing w:after="120"/>
      </w:pPr>
      <w:r>
        <w:rPr>
          <w:rFonts w:ascii="맑은 고딕" w:cs="맑은 고딕" w:eastAsia="맑은 고딕" w:hAnsi="맑은 고딕"/>
          <w:i/>
          <w:iCs/>
          <w:color w:val="555555"/>
          <w:sz w:val="18"/>
          <w:szCs w:val="18"/>
        </w:rPr>
        <w:t xml:space="preserve">멘토링 지적: 위험관리는 위험을 없애는 것이 아니라 상충하는 위험 사이에서 선택하고, 그 선택에 책임지는 것이다.</w:t>
      </w:r>
    </w:p>
    <w:p>
      <w:pPr>
        <w:spacing w:after="120"/>
      </w:pPr>
      <w:r>
        <w:rPr>
          <w:rFonts w:ascii="맑은 고딕" w:cs="맑은 고딕" w:eastAsia="맑은 고딕" w:hAnsi="맑은 고딕"/>
        </w:rPr>
        <w:t xml:space="preserve">RISK-01(미탐지)과 RISK-06(과잉 차단)은 같은 손잡이(탐지 기준 임계값)의 양쪽 끝에 있다. 기준을 강화하면 RISK-01은 줄지만 RISK-06이 커지고, 완화하면 반대가 된다 — 두 위험을 동시에 0으로 만들 수 없다.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팀의 선택</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재현율(클릭베이트를 놓치지 않는 것)을 우선하되, 그 대가로 늘어나는 오탐·과잉 차단은 애매한 경우(conformal 예측집합이 {클릭베이트, 정상}을 모두 포함하거나 공집합인 경우)를 전부 사람에게 이관하는 방식으로 제어</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선택의 근거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자동판정 오류(RISK-01, 06) 모두 독자 피해로 이어지므로, AI 혼자 확신 없이 판정하는 것이 가장 나쁜 결과</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책임 소재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임계값·“애매함” 범위를 최초로 정하는 주체는 AI기획자이며, 결정 근거를 본 문서에 기록</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재조정 절차</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데이터(오탐/미탐 사례) 누적 시 팀 논의로 임계값 재조정, 변경 시점·근거·변경자 기록</w:t>
            </w:r>
          </w:p>
        </w:tc>
      </w:tr>
    </w:tbl>
    <w:p>
      <w:pPr>
        <w:spacing w:after="120"/>
      </w:pPr>
      <w:r>
        <w:rPr>
          <w:rFonts w:ascii="맑은 고딕" w:cs="맑은 고딕" w:eastAsia="맑은 고딕" w:hAnsi="맑은 고딕"/>
        </w:rPr>
        <w:t xml:space="preserve"/>
      </w:r>
    </w:p>
    <w:p>
      <w:pPr>
        <w:pStyle w:val="Heading2"/>
        <w:spacing w:after="120" w:before="240"/>
      </w:pPr>
      <w:r>
        <w:t xml:space="preserve">2-6. “정확하다”의 기준</w:t>
      </w:r>
    </w:p>
    <w:p>
      <w:pPr>
        <w:spacing w:after="120"/>
      </w:pPr>
      <w:r>
        <w:rPr>
          <w:rFonts w:ascii="맑은 고딕" w:cs="맑은 고딕" w:eastAsia="맑은 고딕" w:hAnsi="맑은 고딕"/>
          <w:i/>
          <w:iCs/>
          <w:color w:val="555555"/>
          <w:sz w:val="18"/>
          <w:szCs w:val="18"/>
        </w:rPr>
        <w:t xml:space="preserve">멘토링 지적: “AI가 정확하게 판단했다”는 말 자체가 모호하다. 무엇을 기준으로 정확하다고 판단하는지, 그 기준은 누가 정하는지 명시해야 한다.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정확성의 정의</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출력(클릭베이트 여부)이 검토자(사람)의 최종 판단과 일치하는 정도 — 정답은 사람의 최종 판단</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핵심 지표</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재현율(Recall) 우선: 클릭베이트를 놓치는 피해(RISK-01)가 정상 기사를 한 번 더 검토하게 되는 비용보다 크다고 판단. 보조 지표로 정밀도 하한을 두고 과잉 차단(RISK-06)을 모니터링</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 구간 판정 (Conformal)</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보정 셋(AI-Hub 일부, 튜닝·테스트와 분리)에서 비적합도 s(x,y)=1−p̂(y∣x)의 분위수 q̂를 계산하고, 예측집합이 {클릭베이트, 정상}을 모두 포함하거나 공집합이면 “애매함”으로 보고 자동판정하지 않고 인간에게 이관</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보장과 허용 오류(α)</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조건부(Mondrian) conformal로 P(클릭베이트 ∈ C(x) ∣ 정답=클릭베이트) ≥ 1−α 확보(= 확정 판정 또는 인간 이관에 포함). α는 “놓칠 확률 허용치”로 재현율 우선과 오탐 증가(검토 부담) 사이의 위험 허용도 파라미터이며 AI기획자가 정하고 근거를 기록</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전제와 한계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보장은 교환가능성(보정 셋과 운영 데이터가 같은 분포)을 전제로 한 주변(marginal) 보장이며 개별 기사·하위집단별 보장은 아님. 한국어 AI-Hub만 보정에 사용(영어 Webis는 분포가 달라 제외), 분포 변화(RISK-10·11) 시 보정 셋 갱신</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확률 품질 점검</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conformal의 비적합도에 쓰는 라벨 토큰 확률이 실제 정답률과 맞는지 점검(확률 구간별 정답률, ECE)하여 점수의 품질 확인</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임계값 설정 주체</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AI기획자가 초기값을 정하고 팀 논의로 확정 — “정확하다”는 팀이 운영적으로 정의한 합의값</w:t>
            </w:r>
          </w:p>
        </w:tc>
      </w:tr>
      <w:t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불일치 시 처리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간 최종 판단이 다른 경우의 처리 절차는 BaseKit 5(인간감독 운영계획) 참고</w:t>
            </w:r>
          </w:p>
        </w:tc>
      </w:tr>
    </w:tbl>
    <w:p>
      <w:pPr>
        <w:pStyle w:val="Heading2"/>
        <w:spacing w:after="120" w:before="240"/>
      </w:pPr>
      <w:r>
        <w:t xml:space="preserve">2-7. 역할 분담 (RACI)</w:t>
      </w:r>
    </w:p>
    <w:p>
      <w:pPr>
        <w:spacing w:after="120"/>
      </w:pPr>
      <w:r>
        <w:rPr>
          <w:rFonts w:ascii="맑은 고딕" w:cs="맑은 고딕" w:eastAsia="맑은 고딕" w:hAnsi="맑은 고딕"/>
          <w:i/>
          <w:iCs/>
          <w:color w:val="555555"/>
          <w:sz w:val="18"/>
          <w:szCs w:val="18"/>
        </w:rPr>
        <w:t xml:space="preserve">R=실행 / A=최종 책임 / C=협의 / I=공유. 3개 필수 역할 기준 초안이며 실제 팀원 배정은 팀 확인 후 확정한다.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600"/>
        <w:gridCol w:w="1600"/>
        <w:gridCol w:w="1500"/>
      </w:tblGrid>
      <w:tr>
        <w:trPr>
          <w:tblHeader/>
        </w:trPr>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활동</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AI 기획자</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데이터 과학자</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AI 엔지니어</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검토자(운영팀)</w:t>
            </w:r>
          </w:p>
        </w:tc>
      </w:tr>
      <w:t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서비스 정의·영향 분석·위험 등록부 관리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r>
      <w:t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 구성(메인/보조 활용·분할)</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r>
      <w:t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신뢰도 보정·임계값(애매 구간) 설정</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r>
      <w:t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호출·출력 형식·인젝션 방어</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r>
      <w:t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인간감독 절차·SLA 설계</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r>
      <w:t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 카테고리 목록 관리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w:t>
            </w:r>
          </w:p>
        </w:tc>
      </w:tr>
      <w:t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수행·판단 기록</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r>
      <w:t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잔여 위험 재검토·임계값 재조정</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r>
    </w:tbl>
    <w:sectPr>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2026-10-09T03:22:25.772Z</dcterms:created>
  <dcterms:modified xsi:type="dcterms:W3CDTF">2026-10-09T03:22:25.772Z</dcterms:modified>
</cp:coreProperties>
</file>

<file path=docProps/custom.xml><?xml version="1.0" encoding="utf-8"?>
<Properties xmlns="http://schemas.openxmlformats.org/officeDocument/2006/custom-properties" xmlns:vt="http://schemas.openxmlformats.org/officeDocument/2006/docPropsVTypes"/>
</file>