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商品分类表</w:t>
      </w:r>
      <w:r>
        <w:rPr>
          <w:rFonts w:hint="eastAsia"/>
          <w:lang w:val="en-US" w:eastAsia="zh-CN"/>
        </w:rPr>
        <w:t xml:space="preserve"> product category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FK(针对有多级目录的情况 比如蛋糕)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城区表</w:t>
      </w:r>
      <w:r>
        <w:rPr>
          <w:rFonts w:hint="eastAsia"/>
          <w:lang w:val="en-US" w:eastAsia="zh-CN"/>
        </w:rPr>
        <w:t xml:space="preserve"> district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城区名称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总销售表 order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FK(门店外键)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FK(销售员id)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isOnline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0表示实体店订购，1表示在线订购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预定取货时间（若当场买走，则和销售时间相同）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取走的具体时间 可能是立刻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isValid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默认1，有效。当取消预订的订单时为0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FK(在使用会员卡支付时为有效字段有效)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discountMessage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43A6"/>
    <w:rsid w:val="27597911"/>
    <w:rsid w:val="47CC0723"/>
    <w:rsid w:val="58C65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2016-06-06T15:52:05Z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