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XXXXX  XXXXXX     </w:t>
        <w:tab/>
        <w:t xml:space="preserve">9999999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XXXXX  XXXXXX     </w:t>
        <w:tab/>
        <w:t xml:space="preserve">9999999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6"/>
          <w:szCs w:val="26"/>
          <w:rtl w:val="0"/>
        </w:rPr>
        <w:t xml:space="preserve">Item 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</w:pPr>
      <w:bookmarkStart w:colFirst="0" w:colLast="0" w:name="_8mmzfqyx269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espaço destina-se aos resultados apresentados no terminal da interface SQL – status de execução, mensagens de erro, dados (em forma tabular), e quaisquer outras informações pertinentes. Quando necessário, pode-se enfatizar o texto usando-se negrito ou itálico, mas não </w:t>
      </w:r>
      <w:r w:rsidDel="00000000" w:rsidR="00000000" w:rsidRPr="00000000">
        <w:rPr>
          <w:i w:val="1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</w:pPr>
      <w:bookmarkStart w:colFirst="0" w:colLast="0" w:name="_1a7b0qtbw2nx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lightGray"/>
          <w:rtl w:val="0"/>
        </w:rPr>
        <w:t xml:space="preserve">Observações: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O código será copiado deste documento diretamente para execução, portanto, finalize cada linha com um ponto e vírgula; comentários de código também devem ser colocados junto com o código e iniciados pelos caracteres de comentário “--”;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O código deve ser enfatizado com a fonte Courier New, de preferência com uma cor diferente de preto;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Faça a cópia do exemplo acima para cada exercício, mantendo a aparência do relatório ao longo dos exercícios;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Inicie cada exercício (mas não cada item) em uma página nova usando CTRL+ENTER (Insert-&gt;Page break);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Itens que não valem nota, não precisam ser reportados;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Itens curtos podem ser agrupados quando conveniente;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z w:val="24"/>
          <w:szCs w:val="24"/>
          <w:highlight w:val="lightGray"/>
          <w:rtl w:val="0"/>
        </w:rPr>
        <w:t xml:space="preserve">⚫ Objetive sempre a fácil leitura do documento, a não observância do modelo implicará em perda de nota.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6"/>
          <w:szCs w:val="26"/>
          <w:rtl w:val="0"/>
        </w:rPr>
        <w:t xml:space="preserve">Item 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jc w:val="both"/>
      </w:pPr>
      <w:bookmarkStart w:colFirst="0" w:colLast="0" w:name="_jq8bmotk94dq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Saída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espaço destina-se aos resultados apresentados no terminal da interface SQL – status de execução, mensagens de erro, dados (em forma tabular), e quaisquer outras informações pertinentes. Quando necessário, pode-se enfatizar o texto usando-se negrito ou itálico, mas não </w:t>
      </w:r>
      <w:r w:rsidDel="00000000" w:rsidR="00000000" w:rsidRPr="00000000">
        <w:rPr>
          <w:i w:val="1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lightGray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