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INTRO:</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Get an enhanced understanding of various SAP FICO topics with practical understanding provided with our round the clock availability. We provide learning with real-time projects for financial accounting masters’ aspirants.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OVERVIEW:</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Various finance accounting models and topics are better explained with a certification with this course. This course provides an immense understanding of topics of accounting, reports, journals, and management. With this course, one can get a grasp on their SAP career in accounting and consultancy. Live projects at the end of this course provide real-life experience with extra understanding and deep knowledge in the contents. SAP FICO course here ensures certification with esteemed certified mentors and tutors and helps get better industrial exposures with better placement opportunities.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This course contains basic to advance knowledge on SAP FICO and placement training in the matter too. Prior accounting knowledge ensures better grasping of the contents.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After this course, the candidate will have extreme talent in business analysis and requirements for project cycles and reports. Also, various accounting concepts and SAP FICO modules will get to the candidate’s fingertips.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ERP consultants, SAP users, and new aspirants for SAP FICO can provide the best candidature by getting nurtured with experienced faculties.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KEY FEATURES: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We provide an excellent understanding with added benefits like:</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Trainers with 7+ years of experience and who are board-certified with various skills and deep knowledge in the content.</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Affordable fees</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Round the clock mentorship available</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Real-life applications and projects added with various assessments to enhance the skills.</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We have our unique course with zero plagiarism.</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We have tie-ups with various industrial experts for better knowledge through expert sessions.</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w:t>
      </w:r>
      <w:r w:rsidRPr="000577C3">
        <w:rPr>
          <w:rFonts w:asciiTheme="minorHAnsi" w:hAnsiTheme="minorHAnsi"/>
          <w:color w:val="000000"/>
        </w:rPr>
        <w:t xml:space="preserve">         </w:t>
      </w:r>
      <w:r w:rsidRPr="000577C3">
        <w:rPr>
          <w:rFonts w:asciiTheme="minorHAnsi" w:hAnsiTheme="minorHAnsi" w:cs="Arial"/>
          <w:color w:val="000000"/>
        </w:rPr>
        <w:t>Placement assistance is provided with more hours in learning and implementing.</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lastRenderedPageBreak/>
        <w:t>·</w:t>
      </w:r>
      <w:r w:rsidRPr="000577C3">
        <w:rPr>
          <w:rFonts w:asciiTheme="minorHAnsi" w:hAnsiTheme="minorHAnsi"/>
          <w:color w:val="000000"/>
        </w:rPr>
        <w:t xml:space="preserve">         </w:t>
      </w:r>
      <w:r w:rsidRPr="000577C3">
        <w:rPr>
          <w:rFonts w:asciiTheme="minorHAnsi" w:hAnsiTheme="minorHAnsi" w:cs="Arial"/>
          <w:color w:val="000000"/>
        </w:rPr>
        <w:t>Self-paced learning is available to decide the schedule.</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COURSE CONTENTS: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SAP FICO training will provide better knowledge and skill in SAP. Profits and losses, balance sheets, accounts payable and receivable, account consolidation, general ledgers, asset accounting, sales and distribution, production planning and material management, and many other skills are provided with undertaking this course and training. The implementation of SAP FICO requires excessive training because of the complexities involved in it. Training content for this course is as follows:</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1.      </w:t>
      </w:r>
      <w:r w:rsidRPr="000577C3">
        <w:rPr>
          <w:rFonts w:asciiTheme="minorHAnsi" w:hAnsiTheme="minorHAnsi" w:cs="Arial"/>
          <w:i/>
          <w:iCs/>
          <w:color w:val="000000"/>
          <w:u w:val="single"/>
        </w:rPr>
        <w:t>SAP HANA architecture and deployment</w:t>
      </w:r>
      <w:r w:rsidRPr="000577C3">
        <w:rPr>
          <w:rFonts w:asciiTheme="minorHAnsi" w:hAnsiTheme="minorHAnsi" w:cs="Arial"/>
          <w:color w:val="000000"/>
        </w:rPr>
        <w:t xml:space="preserve"> – knowledge of HANA and experience with SAP </w:t>
      </w:r>
      <w:proofErr w:type="spellStart"/>
      <w:r w:rsidRPr="000577C3">
        <w:rPr>
          <w:rFonts w:asciiTheme="minorHAnsi" w:hAnsiTheme="minorHAnsi" w:cs="Arial"/>
          <w:color w:val="000000"/>
        </w:rPr>
        <w:t>Fiori</w:t>
      </w:r>
      <w:proofErr w:type="spellEnd"/>
      <w:r w:rsidRPr="000577C3">
        <w:rPr>
          <w:rFonts w:asciiTheme="minorHAnsi" w:hAnsiTheme="minorHAnsi" w:cs="Arial"/>
          <w:color w:val="000000"/>
        </w:rPr>
        <w:t>, deployment strategies, and journals.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2.      </w:t>
      </w:r>
      <w:r w:rsidRPr="000577C3">
        <w:rPr>
          <w:rFonts w:asciiTheme="minorHAnsi" w:hAnsiTheme="minorHAnsi" w:cs="Arial"/>
          <w:i/>
          <w:iCs/>
          <w:color w:val="000000"/>
          <w:u w:val="single"/>
        </w:rPr>
        <w:t>Organization Structure</w:t>
      </w:r>
      <w:r w:rsidRPr="000577C3">
        <w:rPr>
          <w:rFonts w:asciiTheme="minorHAnsi" w:hAnsiTheme="minorHAnsi" w:cs="Arial"/>
          <w:color w:val="000000"/>
        </w:rPr>
        <w:t xml:space="preserve"> – analysis of companies and business setups including their sales, profits, losses, and costs involved.</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3.      </w:t>
      </w:r>
      <w:r w:rsidRPr="000577C3">
        <w:rPr>
          <w:rFonts w:asciiTheme="minorHAnsi" w:hAnsiTheme="minorHAnsi" w:cs="Arial"/>
          <w:i/>
          <w:iCs/>
          <w:color w:val="000000"/>
          <w:u w:val="single"/>
        </w:rPr>
        <w:t>General Ledger Accounting</w:t>
      </w:r>
      <w:r w:rsidRPr="000577C3">
        <w:rPr>
          <w:rFonts w:asciiTheme="minorHAnsi" w:hAnsiTheme="minorHAnsi" w:cs="Arial"/>
          <w:color w:val="000000"/>
        </w:rPr>
        <w:t xml:space="preserve"> – Various modules like General Ledger Master, General ledger Postings, General Ledger Parking and postings, Reversals, Automatic clearing, Recurring entries, Taxes, and General Ledger Reports.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4.      </w:t>
      </w:r>
      <w:r w:rsidRPr="000577C3">
        <w:rPr>
          <w:rFonts w:asciiTheme="minorHAnsi" w:hAnsiTheme="minorHAnsi" w:cs="Arial"/>
          <w:i/>
          <w:iCs/>
          <w:color w:val="000000"/>
          <w:u w:val="single"/>
        </w:rPr>
        <w:t>Cash and Bank Accounting</w:t>
      </w:r>
      <w:r w:rsidRPr="000577C3">
        <w:rPr>
          <w:rFonts w:asciiTheme="minorHAnsi" w:hAnsiTheme="minorHAnsi" w:cs="Arial"/>
          <w:color w:val="000000"/>
        </w:rPr>
        <w:t xml:space="preserve"> – Information in Cash Journals, Cheque Management, House Bank Masters, and Bank Reconciliations.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5.      </w:t>
      </w:r>
      <w:r w:rsidRPr="000577C3">
        <w:rPr>
          <w:rFonts w:asciiTheme="minorHAnsi" w:hAnsiTheme="minorHAnsi" w:cs="Arial"/>
          <w:i/>
          <w:iCs/>
          <w:color w:val="000000"/>
          <w:u w:val="single"/>
        </w:rPr>
        <w:t>Accounts payable</w:t>
      </w:r>
      <w:r w:rsidRPr="000577C3">
        <w:rPr>
          <w:rFonts w:asciiTheme="minorHAnsi" w:hAnsiTheme="minorHAnsi" w:cs="Arial"/>
          <w:color w:val="000000"/>
        </w:rPr>
        <w:t xml:space="preserve"> – Contents like Vendor Master, Vendor Invoice Posting, Vendor Credit memo, Vender Down payment, Vendor Down payment Clearing, Vendor Outgoing payment, Partial payment against an invoice, Residual payment, Automatic payment run, Withholding tax (TDS), and Vendor reports.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6.      </w:t>
      </w:r>
      <w:r w:rsidRPr="000577C3">
        <w:rPr>
          <w:rFonts w:asciiTheme="minorHAnsi" w:hAnsiTheme="minorHAnsi" w:cs="Arial"/>
          <w:i/>
          <w:iCs/>
          <w:color w:val="000000"/>
          <w:u w:val="single"/>
        </w:rPr>
        <w:t>Accounts Receivable</w:t>
      </w:r>
      <w:r w:rsidRPr="000577C3">
        <w:rPr>
          <w:rFonts w:asciiTheme="minorHAnsi" w:hAnsiTheme="minorHAnsi" w:cs="Arial"/>
          <w:color w:val="000000"/>
        </w:rPr>
        <w:t xml:space="preserve"> – Different modules like Customer Master, Customer Invoice posting, Customer Credit memo, Customer down payment, Customer down payment clearing, Customer incoming payment, Residual payments, Partial payments against an invoice, and Customer Reports.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7.      </w:t>
      </w:r>
      <w:r w:rsidRPr="000577C3">
        <w:rPr>
          <w:rFonts w:asciiTheme="minorHAnsi" w:hAnsiTheme="minorHAnsi" w:cs="Arial"/>
          <w:i/>
          <w:iCs/>
          <w:color w:val="000000"/>
          <w:u w:val="single"/>
        </w:rPr>
        <w:t>Asset Accounting</w:t>
      </w:r>
      <w:r w:rsidRPr="000577C3">
        <w:rPr>
          <w:rFonts w:asciiTheme="minorHAnsi" w:hAnsiTheme="minorHAnsi" w:cs="Arial"/>
          <w:color w:val="000000"/>
        </w:rPr>
        <w:t xml:space="preserve"> – Asset Master, Asset Procurement (Direct), Asset Procurement (through MM), Asset Retirements, Asset Scrapping, and Depreciation Run are there in this module.</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i/>
          <w:iCs/>
          <w:color w:val="000000"/>
          <w:u w:val="single"/>
        </w:rPr>
        <w:lastRenderedPageBreak/>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8.      </w:t>
      </w:r>
      <w:r w:rsidRPr="000577C3">
        <w:rPr>
          <w:rFonts w:asciiTheme="minorHAnsi" w:hAnsiTheme="minorHAnsi" w:cs="Arial"/>
          <w:i/>
          <w:iCs/>
          <w:color w:val="000000"/>
          <w:u w:val="single"/>
        </w:rPr>
        <w:t>SAP FI Consultant Level</w:t>
      </w:r>
      <w:r w:rsidRPr="000577C3">
        <w:rPr>
          <w:rFonts w:asciiTheme="minorHAnsi" w:hAnsiTheme="minorHAnsi" w:cs="Arial"/>
          <w:color w:val="000000"/>
        </w:rPr>
        <w:t xml:space="preserve"> – Has a wide curriculum with Define a company, Define a company code, Assign Company code to Company, Define chart of accounts, Assign company code to chart of accounts, Setup accounts group and their number range, Assign Fiscal year variant to Company code, Assign posting period variant to Company code, Document number Ranges for Company code, Assign Field status variant to Company code, Define Employee tolerance, Define Retained earnings account, Document type, Posting keys, Validation and substitution, General Ledger account introduction, Reconciliation Accounts, Expense and Revenue GL Accounts, Account Assignment Model, Setup tolerance for customers and vendors, Customer Account Groups, Create number ranges for customer accounts, Assign number ranges to customer groups, Customer Master Record, Create Vendor Groups, Create number ranges for vendor accounts, Assign number ranges to vendor groups, Create Vendor Master, Create underpayment account and Over payment accounts, Create cash discount account, Payment within tolerance (incoming), Payment within tolerance (outgoing), Configure Automatic Payment Program, Financial Statement Version, Cash Journals, House Bank Configuration, Check Management, Manual Bank, Reconciliation, Asset Masters, Asset Number Ranges, Depreciation Areas, Asset General Ledger, Account Determination, Depreciation Keys, and NEW GL and Document Splitting concepts.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hanging="360"/>
        <w:rPr>
          <w:rFonts w:asciiTheme="minorHAnsi" w:hAnsiTheme="minorHAnsi"/>
        </w:rPr>
      </w:pPr>
      <w:r w:rsidRPr="000577C3">
        <w:rPr>
          <w:rFonts w:asciiTheme="minorHAnsi" w:hAnsiTheme="minorHAnsi" w:cs="Arial"/>
          <w:color w:val="000000"/>
        </w:rPr>
        <w:t xml:space="preserve">9.      </w:t>
      </w:r>
      <w:r w:rsidRPr="000577C3">
        <w:rPr>
          <w:rFonts w:asciiTheme="minorHAnsi" w:hAnsiTheme="minorHAnsi" w:cs="Arial"/>
          <w:i/>
          <w:iCs/>
          <w:color w:val="000000"/>
          <w:u w:val="single"/>
        </w:rPr>
        <w:t xml:space="preserve">SAP CO Training </w:t>
      </w:r>
      <w:r w:rsidRPr="000577C3">
        <w:rPr>
          <w:rFonts w:asciiTheme="minorHAnsi" w:hAnsiTheme="minorHAnsi" w:cs="Arial"/>
          <w:color w:val="000000"/>
        </w:rPr>
        <w:t xml:space="preserve">– We also provide SAP CO modules to enhance the understanding and extra knowledge for better success patterns. </w:t>
      </w:r>
      <w:proofErr w:type="spellStart"/>
      <w:r w:rsidRPr="000577C3">
        <w:rPr>
          <w:rFonts w:asciiTheme="minorHAnsi" w:hAnsiTheme="minorHAnsi" w:cs="Arial"/>
          <w:color w:val="000000"/>
        </w:rPr>
        <w:t>Submodules</w:t>
      </w:r>
      <w:proofErr w:type="spellEnd"/>
      <w:r w:rsidRPr="000577C3">
        <w:rPr>
          <w:rFonts w:asciiTheme="minorHAnsi" w:hAnsiTheme="minorHAnsi" w:cs="Arial"/>
          <w:color w:val="000000"/>
        </w:rPr>
        <w:t xml:space="preserve"> of SAP CO </w:t>
      </w:r>
      <w:proofErr w:type="gramStart"/>
      <w:r w:rsidRPr="000577C3">
        <w:rPr>
          <w:rFonts w:asciiTheme="minorHAnsi" w:hAnsiTheme="minorHAnsi" w:cs="Arial"/>
          <w:color w:val="000000"/>
        </w:rPr>
        <w:t>are</w:t>
      </w:r>
      <w:proofErr w:type="gramEnd"/>
      <w:r w:rsidRPr="000577C3">
        <w:rPr>
          <w:rFonts w:asciiTheme="minorHAnsi" w:hAnsiTheme="minorHAnsi" w:cs="Arial"/>
          <w:color w:val="000000"/>
        </w:rPr>
        <w:t>:</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i/>
          <w:iCs/>
          <w:color w:val="000000"/>
          <w:u w:val="single"/>
        </w:rPr>
        <w:t> </w:t>
      </w:r>
    </w:p>
    <w:p w:rsidR="000577C3" w:rsidRPr="000577C3" w:rsidRDefault="000577C3" w:rsidP="000577C3">
      <w:pPr>
        <w:pStyle w:val="NormalWeb"/>
        <w:spacing w:before="240" w:beforeAutospacing="0" w:after="240" w:afterAutospacing="0"/>
        <w:ind w:left="1440" w:hanging="1440"/>
        <w:rPr>
          <w:rFonts w:asciiTheme="minorHAnsi" w:hAnsiTheme="minorHAnsi"/>
        </w:rPr>
      </w:pPr>
      <w:r w:rsidRPr="000577C3">
        <w:rPr>
          <w:rFonts w:asciiTheme="minorHAnsi" w:hAnsiTheme="minorHAnsi" w:cs="Arial"/>
          <w:color w:val="000000"/>
        </w:rPr>
        <w:t>                                </w:t>
      </w:r>
      <w:proofErr w:type="spellStart"/>
      <w:r w:rsidRPr="000577C3">
        <w:rPr>
          <w:rFonts w:asciiTheme="minorHAnsi" w:hAnsiTheme="minorHAnsi" w:cs="Arial"/>
          <w:color w:val="000000"/>
        </w:rPr>
        <w:t>i</w:t>
      </w:r>
      <w:proofErr w:type="spellEnd"/>
      <w:r w:rsidRPr="000577C3">
        <w:rPr>
          <w:rFonts w:asciiTheme="minorHAnsi" w:hAnsiTheme="minorHAnsi" w:cs="Arial"/>
          <w:color w:val="000000"/>
        </w:rPr>
        <w:t xml:space="preserve">.            </w:t>
      </w:r>
      <w:r w:rsidRPr="000577C3">
        <w:rPr>
          <w:rFonts w:asciiTheme="minorHAnsi" w:hAnsiTheme="minorHAnsi" w:cs="Arial"/>
          <w:i/>
          <w:iCs/>
          <w:color w:val="000000"/>
          <w:u w:val="single"/>
        </w:rPr>
        <w:t xml:space="preserve">Controlling Area </w:t>
      </w:r>
      <w:r w:rsidRPr="000577C3">
        <w:rPr>
          <w:rFonts w:asciiTheme="minorHAnsi" w:hAnsiTheme="minorHAnsi" w:cs="Arial"/>
          <w:color w:val="000000"/>
        </w:rPr>
        <w:t>– Maintain Controlling area, Assignment of Controlling Area, Activate Components/Control Indicators, Number Range, and Maintain Versions.</w:t>
      </w:r>
    </w:p>
    <w:p w:rsidR="000577C3" w:rsidRPr="000577C3" w:rsidRDefault="000577C3" w:rsidP="000577C3">
      <w:pPr>
        <w:pStyle w:val="NormalWeb"/>
        <w:spacing w:before="240" w:beforeAutospacing="0" w:after="240" w:afterAutospacing="0"/>
        <w:ind w:left="144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left="1440" w:hanging="1440"/>
        <w:rPr>
          <w:rFonts w:asciiTheme="minorHAnsi" w:hAnsiTheme="minorHAnsi"/>
        </w:rPr>
      </w:pPr>
      <w:r w:rsidRPr="000577C3">
        <w:rPr>
          <w:rFonts w:asciiTheme="minorHAnsi" w:hAnsiTheme="minorHAnsi" w:cs="Arial"/>
          <w:color w:val="000000"/>
        </w:rPr>
        <w:t>                              </w:t>
      </w:r>
      <w:proofErr w:type="gramStart"/>
      <w:r w:rsidRPr="000577C3">
        <w:rPr>
          <w:rFonts w:asciiTheme="minorHAnsi" w:hAnsiTheme="minorHAnsi" w:cs="Arial"/>
          <w:color w:val="000000"/>
        </w:rPr>
        <w:t>ii</w:t>
      </w:r>
      <w:proofErr w:type="gramEnd"/>
      <w:r w:rsidRPr="000577C3">
        <w:rPr>
          <w:rFonts w:asciiTheme="minorHAnsi" w:hAnsiTheme="minorHAnsi" w:cs="Arial"/>
          <w:color w:val="000000"/>
        </w:rPr>
        <w:t xml:space="preserve">.            </w:t>
      </w:r>
      <w:r w:rsidRPr="000577C3">
        <w:rPr>
          <w:rFonts w:asciiTheme="minorHAnsi" w:hAnsiTheme="minorHAnsi" w:cs="Arial"/>
          <w:i/>
          <w:iCs/>
          <w:color w:val="000000"/>
          <w:u w:val="single"/>
        </w:rPr>
        <w:t>Master Records</w:t>
      </w:r>
      <w:r w:rsidRPr="000577C3">
        <w:rPr>
          <w:rFonts w:asciiTheme="minorHAnsi" w:hAnsiTheme="minorHAnsi" w:cs="Arial"/>
          <w:color w:val="000000"/>
        </w:rPr>
        <w:t xml:space="preserve"> – Cost element, Cost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 xml:space="preserve">, and Profit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left="1440" w:hanging="1440"/>
        <w:rPr>
          <w:rFonts w:asciiTheme="minorHAnsi" w:hAnsiTheme="minorHAnsi"/>
        </w:rPr>
      </w:pPr>
      <w:r w:rsidRPr="000577C3">
        <w:rPr>
          <w:rFonts w:asciiTheme="minorHAnsi" w:hAnsiTheme="minorHAnsi" w:cs="Arial"/>
          <w:color w:val="000000"/>
        </w:rPr>
        <w:t xml:space="preserve">                            iii.            </w:t>
      </w:r>
      <w:r w:rsidRPr="000577C3">
        <w:rPr>
          <w:rFonts w:asciiTheme="minorHAnsi" w:hAnsiTheme="minorHAnsi" w:cs="Arial"/>
          <w:i/>
          <w:iCs/>
          <w:color w:val="000000"/>
          <w:u w:val="single"/>
        </w:rPr>
        <w:t>Cost Element</w:t>
      </w:r>
      <w:r w:rsidRPr="000577C3">
        <w:rPr>
          <w:rFonts w:asciiTheme="minorHAnsi" w:hAnsiTheme="minorHAnsi" w:cs="Arial"/>
          <w:color w:val="000000"/>
        </w:rPr>
        <w:t xml:space="preserve"> – Define Standard Hierarchy, Create Cost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 xml:space="preserve">, and Create Cost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 xml:space="preserve"> Group.</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left="1440" w:hanging="1440"/>
        <w:rPr>
          <w:rFonts w:asciiTheme="minorHAnsi" w:hAnsiTheme="minorHAnsi"/>
        </w:rPr>
      </w:pPr>
      <w:r w:rsidRPr="000577C3">
        <w:rPr>
          <w:rFonts w:asciiTheme="minorHAnsi" w:hAnsiTheme="minorHAnsi" w:cs="Arial"/>
          <w:color w:val="000000"/>
        </w:rPr>
        <w:t xml:space="preserve">                             iv.            </w:t>
      </w:r>
      <w:r w:rsidRPr="000577C3">
        <w:rPr>
          <w:rFonts w:asciiTheme="minorHAnsi" w:hAnsiTheme="minorHAnsi" w:cs="Arial"/>
          <w:i/>
          <w:iCs/>
          <w:color w:val="000000"/>
          <w:u w:val="single"/>
        </w:rPr>
        <w:t>Transaction-Based Posting</w:t>
      </w:r>
      <w:r w:rsidRPr="000577C3">
        <w:rPr>
          <w:rFonts w:asciiTheme="minorHAnsi" w:hAnsiTheme="minorHAnsi" w:cs="Arial"/>
          <w:color w:val="000000"/>
        </w:rPr>
        <w:t xml:space="preserve"> – Number Assignments for CO documents, Account assignment Logic, Automatic and Default account assignment, and Transaction-based posting in CO.</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0577C3" w:rsidRPr="000577C3" w:rsidRDefault="000577C3" w:rsidP="000577C3">
      <w:pPr>
        <w:pStyle w:val="NormalWeb"/>
        <w:spacing w:before="240" w:beforeAutospacing="0" w:after="240" w:afterAutospacing="0"/>
        <w:ind w:left="1440" w:hanging="1440"/>
        <w:rPr>
          <w:rFonts w:asciiTheme="minorHAnsi" w:hAnsiTheme="minorHAnsi"/>
        </w:rPr>
      </w:pPr>
      <w:r w:rsidRPr="000577C3">
        <w:rPr>
          <w:rFonts w:asciiTheme="minorHAnsi" w:hAnsiTheme="minorHAnsi" w:cs="Arial"/>
          <w:color w:val="000000"/>
        </w:rPr>
        <w:lastRenderedPageBreak/>
        <w:t>                               </w:t>
      </w:r>
      <w:proofErr w:type="gramStart"/>
      <w:r w:rsidRPr="000577C3">
        <w:rPr>
          <w:rFonts w:asciiTheme="minorHAnsi" w:hAnsiTheme="minorHAnsi" w:cs="Arial"/>
          <w:i/>
          <w:iCs/>
          <w:color w:val="000000"/>
        </w:rPr>
        <w:t>v</w:t>
      </w:r>
      <w:proofErr w:type="gramEnd"/>
      <w:r w:rsidRPr="000577C3">
        <w:rPr>
          <w:rFonts w:asciiTheme="minorHAnsi" w:hAnsiTheme="minorHAnsi" w:cs="Arial"/>
          <w:i/>
          <w:iCs/>
          <w:color w:val="000000"/>
        </w:rPr>
        <w:t>.</w:t>
      </w:r>
      <w:r w:rsidRPr="000577C3">
        <w:rPr>
          <w:rFonts w:asciiTheme="minorHAnsi" w:hAnsiTheme="minorHAnsi" w:cs="Arial"/>
          <w:color w:val="000000"/>
        </w:rPr>
        <w:t xml:space="preserve">            </w:t>
      </w:r>
      <w:r w:rsidRPr="000577C3">
        <w:rPr>
          <w:rFonts w:asciiTheme="minorHAnsi" w:hAnsiTheme="minorHAnsi" w:cs="Arial"/>
          <w:i/>
          <w:iCs/>
          <w:color w:val="000000"/>
          <w:u w:val="single"/>
        </w:rPr>
        <w:t xml:space="preserve">Profit </w:t>
      </w:r>
      <w:proofErr w:type="spellStart"/>
      <w:r w:rsidRPr="000577C3">
        <w:rPr>
          <w:rFonts w:asciiTheme="minorHAnsi" w:hAnsiTheme="minorHAnsi" w:cs="Arial"/>
          <w:i/>
          <w:iCs/>
          <w:color w:val="000000"/>
          <w:u w:val="single"/>
        </w:rPr>
        <w:t>Center</w:t>
      </w:r>
      <w:proofErr w:type="spellEnd"/>
      <w:r w:rsidRPr="000577C3">
        <w:rPr>
          <w:rFonts w:asciiTheme="minorHAnsi" w:hAnsiTheme="minorHAnsi" w:cs="Arial"/>
          <w:i/>
          <w:iCs/>
          <w:color w:val="000000"/>
          <w:u w:val="single"/>
        </w:rPr>
        <w:t xml:space="preserve"> Accounting</w:t>
      </w:r>
      <w:r w:rsidRPr="000577C3">
        <w:rPr>
          <w:rFonts w:asciiTheme="minorHAnsi" w:hAnsiTheme="minorHAnsi" w:cs="Arial"/>
          <w:color w:val="000000"/>
        </w:rPr>
        <w:t xml:space="preserve"> – Define standard hierarchy, Create Profit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 xml:space="preserve">, Create a profit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 xml:space="preserve"> group, and Define the Dummy Profit </w:t>
      </w:r>
      <w:proofErr w:type="spellStart"/>
      <w:r w:rsidRPr="000577C3">
        <w:rPr>
          <w:rFonts w:asciiTheme="minorHAnsi" w:hAnsiTheme="minorHAnsi" w:cs="Arial"/>
          <w:color w:val="000000"/>
        </w:rPr>
        <w:t>center</w:t>
      </w:r>
      <w:proofErr w:type="spellEnd"/>
      <w:r w:rsidRPr="000577C3">
        <w:rPr>
          <w:rFonts w:asciiTheme="minorHAnsi" w:hAnsiTheme="minorHAnsi" w:cs="Arial"/>
          <w:color w:val="000000"/>
        </w:rPr>
        <w:t>.</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i/>
          <w:iCs/>
          <w:color w:val="000000"/>
          <w:u w:val="single"/>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PROJECTS:</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 </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b/>
          <w:bCs/>
          <w:color w:val="000000"/>
        </w:rPr>
        <w:t>CERTIFICATE:</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xml:space="preserve">This certification with board-certified tech giants and experts enrolled with us will help you to clear the SAP C_TS4FI_1809 exam with flying </w:t>
      </w:r>
      <w:proofErr w:type="spellStart"/>
      <w:r w:rsidRPr="000577C3">
        <w:rPr>
          <w:rFonts w:asciiTheme="minorHAnsi" w:hAnsiTheme="minorHAnsi" w:cs="Arial"/>
          <w:color w:val="000000"/>
        </w:rPr>
        <w:t>colors</w:t>
      </w:r>
      <w:proofErr w:type="spellEnd"/>
      <w:r w:rsidRPr="000577C3">
        <w:rPr>
          <w:rFonts w:asciiTheme="minorHAnsi" w:hAnsiTheme="minorHAnsi" w:cs="Arial"/>
          <w:color w:val="000000"/>
        </w:rPr>
        <w:t>. This would ensure a globally stabilized position for any placement or MNC.</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Since the course experts are from various institutions and management, this will ensure a wide understanding of the content with various field experts. After successful assessment completions and project implementations, the final quiz in this course will help you reach the final step of this stairway.</w:t>
      </w:r>
    </w:p>
    <w:p w:rsidR="000577C3" w:rsidRPr="000577C3" w:rsidRDefault="000577C3" w:rsidP="000577C3">
      <w:pPr>
        <w:pStyle w:val="NormalWeb"/>
        <w:spacing w:before="240" w:beforeAutospacing="0" w:after="240" w:afterAutospacing="0"/>
        <w:rPr>
          <w:rFonts w:asciiTheme="minorHAnsi" w:hAnsiTheme="minorHAnsi"/>
        </w:rPr>
      </w:pPr>
      <w:r w:rsidRPr="000577C3">
        <w:rPr>
          <w:rFonts w:asciiTheme="minorHAnsi" w:hAnsiTheme="minorHAnsi" w:cs="Arial"/>
          <w:color w:val="000000"/>
        </w:rPr>
        <w:t> </w:t>
      </w:r>
    </w:p>
    <w:p w:rsidR="00CB6ED0" w:rsidRPr="000577C3" w:rsidRDefault="00CB6ED0" w:rsidP="000577C3">
      <w:pPr>
        <w:rPr>
          <w:sz w:val="24"/>
          <w:szCs w:val="24"/>
        </w:rPr>
      </w:pPr>
    </w:p>
    <w:sectPr w:rsidR="00CB6ED0" w:rsidRPr="00057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C49AC"/>
    <w:multiLevelType w:val="hybridMultilevel"/>
    <w:tmpl w:val="2310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05167B"/>
    <w:multiLevelType w:val="multilevel"/>
    <w:tmpl w:val="3EE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24676"/>
    <w:multiLevelType w:val="multilevel"/>
    <w:tmpl w:val="AB5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025BE"/>
    <w:multiLevelType w:val="hybridMultilevel"/>
    <w:tmpl w:val="493A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051409"/>
    <w:multiLevelType w:val="hybridMultilevel"/>
    <w:tmpl w:val="AEAA3C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5690B04"/>
    <w:multiLevelType w:val="multilevel"/>
    <w:tmpl w:val="74B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E63E4"/>
    <w:multiLevelType w:val="hybridMultilevel"/>
    <w:tmpl w:val="657E0EA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D3E0A8D"/>
    <w:multiLevelType w:val="hybridMultilevel"/>
    <w:tmpl w:val="DF463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07CF"/>
    <w:rsid w:val="000577C3"/>
    <w:rsid w:val="00375D02"/>
    <w:rsid w:val="00393FE1"/>
    <w:rsid w:val="003F476A"/>
    <w:rsid w:val="00715497"/>
    <w:rsid w:val="009907CF"/>
    <w:rsid w:val="00A44410"/>
    <w:rsid w:val="00C31AD2"/>
    <w:rsid w:val="00CB6ED0"/>
    <w:rsid w:val="00ED2279"/>
    <w:rsid w:val="00F709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76A"/>
    <w:pPr>
      <w:ind w:left="720"/>
      <w:contextualSpacing/>
    </w:pPr>
  </w:style>
  <w:style w:type="paragraph" w:styleId="NormalWeb">
    <w:name w:val="Normal (Web)"/>
    <w:basedOn w:val="Normal"/>
    <w:uiPriority w:val="99"/>
    <w:semiHidden/>
    <w:unhideWhenUsed/>
    <w:rsid w:val="00057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77721">
      <w:bodyDiv w:val="1"/>
      <w:marLeft w:val="0"/>
      <w:marRight w:val="0"/>
      <w:marTop w:val="0"/>
      <w:marBottom w:val="0"/>
      <w:divBdr>
        <w:top w:val="none" w:sz="0" w:space="0" w:color="auto"/>
        <w:left w:val="none" w:sz="0" w:space="0" w:color="auto"/>
        <w:bottom w:val="none" w:sz="0" w:space="0" w:color="auto"/>
        <w:right w:val="none" w:sz="0" w:space="0" w:color="auto"/>
      </w:divBdr>
    </w:div>
    <w:div w:id="275872509">
      <w:bodyDiv w:val="1"/>
      <w:marLeft w:val="0"/>
      <w:marRight w:val="0"/>
      <w:marTop w:val="0"/>
      <w:marBottom w:val="0"/>
      <w:divBdr>
        <w:top w:val="none" w:sz="0" w:space="0" w:color="auto"/>
        <w:left w:val="none" w:sz="0" w:space="0" w:color="auto"/>
        <w:bottom w:val="none" w:sz="0" w:space="0" w:color="auto"/>
        <w:right w:val="none" w:sz="0" w:space="0" w:color="auto"/>
      </w:divBdr>
    </w:div>
    <w:div w:id="1179006690">
      <w:bodyDiv w:val="1"/>
      <w:marLeft w:val="0"/>
      <w:marRight w:val="0"/>
      <w:marTop w:val="0"/>
      <w:marBottom w:val="0"/>
      <w:divBdr>
        <w:top w:val="none" w:sz="0" w:space="0" w:color="auto"/>
        <w:left w:val="none" w:sz="0" w:space="0" w:color="auto"/>
        <w:bottom w:val="none" w:sz="0" w:space="0" w:color="auto"/>
        <w:right w:val="none" w:sz="0" w:space="0" w:color="auto"/>
      </w:divBdr>
    </w:div>
    <w:div w:id="12575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2020-07-15T14:06:00Z</dcterms:created>
  <dcterms:modified xsi:type="dcterms:W3CDTF">2020-07-15T17:50:00Z</dcterms:modified>
</cp:coreProperties>
</file>