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2294D"/>
          <w:sz w:val="30"/>
          <w:szCs w:val="30"/>
        </w:rPr>
        <w:t xml:space="preserve">EEG-Based Motor Imagery Classification for BCI Object Control</w:t>
      </w:r>
    </w:p>
    <w:p>
      <w:pPr>
        <w:spacing w:after="260"/>
      </w:pPr>
      <w:r>
        <w:rPr>
          <w:rFonts w:ascii="Calibri" w:cs="Calibri" w:eastAsia="Calibri" w:hAnsi="Calibri"/>
          <w:i/>
          <w:iCs/>
          <w:color w:val="444444"/>
          <w:sz w:val="22"/>
          <w:szCs w:val="22"/>
        </w:rPr>
        <w:t xml:space="preserve">Internship Progress Report — Single-Subject, Multi-Subject, and Cross-Session Experiments</w:t>
      </w:r>
    </w:p>
    <w:p>
      <w:pPr>
        <w:pStyle w:val="Heading1"/>
        <w:spacing w:after="140" w:before="320"/>
      </w:pPr>
      <w:r>
        <w:t xml:space="preserve">1. Introduction</w:t>
      </w:r>
    </w:p>
    <w:p>
      <w:pPr>
        <w:spacing w:after="180" w:line="288"/>
        <w:jc w:val="both"/>
      </w:pPr>
      <w:r>
        <w:rPr>
          <w:rFonts w:ascii="Calibri" w:cs="Calibri" w:eastAsia="Calibri" w:hAnsi="Calibri"/>
          <w:sz w:val="22"/>
          <w:szCs w:val="22"/>
        </w:rPr>
        <w:t xml:space="preserve">Electroencephalography (EEG) records the brain's electrical activity through scalp electrodes. It is non-invasive and has high temporal resolution, making it a practical signal source for Brain-Computer Interfaces (BCIs) — systems that translate brain activity directly into commands for a computer or external device.</w:t>
      </w:r>
    </w:p>
    <w:p>
      <w:pPr>
        <w:spacing w:after="180" w:line="288"/>
        <w:jc w:val="both"/>
      </w:pPr>
      <w:r>
        <w:rPr>
          <w:rFonts w:ascii="Calibri" w:cs="Calibri" w:eastAsia="Calibri" w:hAnsi="Calibri"/>
          <w:sz w:val="22"/>
          <w:szCs w:val="22"/>
        </w:rPr>
        <w:t xml:space="preserve">Motor imagery (MI) — mentally rehearsing a movement without physically performing it — is one of the most widely used BCI paradigms, because it produces measurable, spatially localized changes in EEG power in the mu (8-12 Hz) and beta (13-30 Hz) frequency bands over the sensorimotor cortex. This report documents the full body of work carried out so far in this internship: a single-subject classification pipeline, its extension to a pooled multi-subject dataset, a data-integrity issue found and resolved in that dataset, a systematic optimization sweep, an alternative feature-extraction method, a deep-learning baseline, a subject-adaptation experiment, and cross-session evaluation.</w:t>
      </w:r>
    </w:p>
    <w:p>
      <w:pPr>
        <w:pStyle w:val="Heading1"/>
        <w:spacing w:after="140" w:before="320"/>
      </w:pPr>
      <w:r>
        <w:t xml:space="preserve">2. Objective</w:t>
      </w:r>
    </w:p>
    <w:p>
      <w:pPr>
        <w:spacing w:after="180" w:line="288"/>
        <w:jc w:val="both"/>
      </w:pPr>
      <w:r>
        <w:rPr>
          <w:rFonts w:ascii="Calibri" w:cs="Calibri" w:eastAsia="Calibri" w:hAnsi="Calibri"/>
          <w:sz w:val="22"/>
          <w:szCs w:val="22"/>
        </w:rPr>
        <w:t xml:space="preserve">The project's long-term goal is to decode a subject's intended movement from EEG in real time and use the predicted class as a command to control an external object. The internship has progressed through building and validating an offline classification pipeline for a single subject, extending it across all 9 subjects, and then systematically investigating why multi-subject and subject-independent performance lags so far behind single-subject performance — and what can be done to close that gap.</w:t>
      </w:r>
    </w:p>
    <w:p>
      <w:pPr>
        <w:spacing w:after="180" w:line="288"/>
        <w:jc w:val="both"/>
      </w:pPr>
      <w:r>
        <w:rPr>
          <w:rFonts w:ascii="Calibri" w:cs="Calibri" w:eastAsia="Calibri" w:hAnsi="Calibri"/>
          <w:sz w:val="22"/>
          <w:szCs w:val="22"/>
        </w:rPr>
        <w:t xml:space="preserve">Single-subject work was done first because it isolates pipeline design issues from cross-subject variability and establishes a performance ceiling. Everything documented in this report since then follows directly from that baseline: pooling subjects, diagnosing why pooled performance was worse than expected, and testing several independent strategies (feature engineering, deep learning, subject adaptation, cross-session evaluation) to understand and improve subject-independent generalization.</w:t>
      </w:r>
    </w:p>
    <w:p>
      <w:pPr>
        <w:pStyle w:val="Heading1"/>
        <w:spacing w:after="140" w:before="320"/>
      </w:pPr>
      <w:r>
        <w:t xml:space="preserve">3. Dataset Description</w:t>
      </w:r>
    </w:p>
    <w:p>
      <w:pPr>
        <w:pStyle w:val="ListParagraph"/>
        <w:pStyle w:val="BulletBody"/>
        <w:numPr>
          <w:ilvl w:val="0"/>
          <w:numId w:val="1"/>
        </w:numPr>
        <w:spacing w:after="90" w:line="276"/>
      </w:pPr>
      <w:r>
        <w:t xml:space="preserve">Source: BCI Competition IV, Dataset 2a (GDF format).</w:t>
      </w:r>
    </w:p>
    <w:p>
      <w:pPr>
        <w:pStyle w:val="ListParagraph"/>
        <w:pStyle w:val="BulletBody"/>
        <w:numPr>
          <w:ilvl w:val="0"/>
          <w:numId w:val="1"/>
        </w:numPr>
        <w:spacing w:after="90" w:line="276"/>
      </w:pPr>
      <w:r>
        <w:t xml:space="preserve">Single-subject experiments: subject A01, training session (A01T.gdf).</w:t>
      </w:r>
    </w:p>
    <w:p>
      <w:pPr>
        <w:pStyle w:val="ListParagraph"/>
        <w:pStyle w:val="BulletBody"/>
        <w:numPr>
          <w:ilvl w:val="0"/>
          <w:numId w:val="1"/>
        </w:numPr>
        <w:spacing w:after="90" w:line="276"/>
      </w:pPr>
      <w:r>
        <w:t xml:space="preserve">Multi-subject and cross-session experiments: all 9 subjects (A01T-A09T, and A01E-A09E for cross-session testing).</w:t>
      </w:r>
    </w:p>
    <w:p>
      <w:pPr>
        <w:pStyle w:val="ListParagraph"/>
        <w:pStyle w:val="BulletBody"/>
        <w:numPr>
          <w:ilvl w:val="0"/>
          <w:numId w:val="1"/>
        </w:numPr>
        <w:spacing w:after="90" w:line="276"/>
      </w:pPr>
      <w:r>
        <w:t xml:space="preserve">22 EEG channels retained per trial (3 EOG channels removed after loading), 250 Hz sampling rate.</w:t>
      </w:r>
    </w:p>
    <w:p>
      <w:pPr>
        <w:pStyle w:val="ListParagraph"/>
        <w:pStyle w:val="BulletBody"/>
        <w:numPr>
          <w:ilvl w:val="0"/>
          <w:numId w:val="1"/>
        </w:numPr>
        <w:spacing w:after="90" w:line="276"/>
      </w:pPr>
      <w:r>
        <w:t xml:space="preserve">4 classes: Left Hand, Right Hand, Foot, Tongue, 72 trials per class per subject per session.</w:t>
      </w:r>
    </w:p>
    <w:p>
      <w:pPr>
        <w:spacing w:after="180" w:line="288"/>
        <w:jc w:val="both"/>
      </w:pPr>
      <w:r>
        <w:rPr>
          <w:rFonts w:ascii="Calibri" w:cs="Calibri" w:eastAsia="Calibri" w:hAnsi="Calibri"/>
          <w:sz w:val="22"/>
          <w:szCs w:val="22"/>
        </w:rPr>
        <w:t xml:space="preserve">An earlier version of this report flagged a class imbalance in the pooled multi-subject dataset (2,448 trials, 648/648/576/576). That issue has since been root-caused and fixed — see Section 7 — and the corrected pooled dataset now contains the expected, fully balanced 2,592 trials (9 subjects x 288 trials, 648 per class).</w:t>
      </w:r>
    </w:p>
    <w:p>
      <w:pPr>
        <w:pStyle w:val="Heading1"/>
        <w:spacing w:after="140" w:before="320"/>
      </w:pPr>
      <w:r>
        <w:t xml:space="preserve">4. Methodology</w:t>
      </w:r>
    </w:p>
    <w:p>
      <w:pPr>
        <w:pStyle w:val="Heading2"/>
        <w:spacing w:after="100" w:before="220"/>
      </w:pPr>
      <w:r>
        <w:t xml:space="preserve">4.1 Single-Subject Pipeline</w:t>
      </w:r>
    </w:p>
    <w:p>
      <w:pPr>
        <w:spacing w:after="180" w:line="288"/>
        <w:jc w:val="both"/>
      </w:pPr>
      <w:r>
        <w:rPr>
          <w:rFonts w:ascii="Calibri" w:cs="Calibri" w:eastAsia="Calibri" w:hAnsi="Calibri"/>
          <w:sz w:val="22"/>
          <w:szCs w:val="22"/>
        </w:rPr>
        <w:t xml:space="preserve">The GDF file is loaded with MNE-Python; motor imagery event codes are extracted from annotations and the 3 EOG channels are dropped. A band-pass filter (8-30 Hz) isolates the mu/beta rhythms associated with motor imagery. Each trial is epoched from 0 to 4 seconds post-cue (1001 samples at 250 Hz). Common Spatial Pattern (CSP) transforms each epoch into a compact log-variance feature vector, with the number of retained components tested across 2, 4, 6, 8, 10, 12, and 16. Classifiers evaluated: LDA, linear-kernel SVM, RBF-kernel SVM, and Random Forest, with hyperparameters additionally tuned via GridSearchCV.</w:t>
      </w:r>
    </w:p>
    <w:p>
      <w:pPr>
        <w:pStyle w:val="Heading2"/>
        <w:spacing w:after="100" w:before="220"/>
      </w:pPr>
      <w:r>
        <w:t xml:space="preserve">4.2 Multi-Subject Pipeline and Optimization Sweep</w:t>
      </w:r>
    </w:p>
    <w:p>
      <w:pPr>
        <w:spacing w:after="180" w:line="288"/>
        <w:jc w:val="both"/>
      </w:pPr>
      <w:r>
        <w:rPr>
          <w:rFonts w:ascii="Calibri" w:cs="Calibri" w:eastAsia="Calibri" w:hAnsi="Calibri"/>
          <w:sz w:val="22"/>
          <w:szCs w:val="22"/>
        </w:rPr>
        <w:t xml:space="preserve">The same loading, filtering, and epoching steps are applied independently to each of the 9 subjects and concatenated into a pooled dataset. Generalization is evaluated with Leave-One-Subject-Out (LOSO) cross-validation: training on 8 subjects and testing on the 9th, repeated for all 9, so that no test subject's data is ever seen during training. On top of this baseline, five further factors were swept independently, each with a GridSearchCV-tuned SVM or LDA: number of CSP components (4/6/8/12/16), classifier type (LDA / linear SVM / RBF SVM), CSP covariance regularization (none / Ledoit-Wolf / OAS), band-pass frequency range (4-30 / 8-30 / 8-35 / 8-40 Hz), and epoch time window (0-2s / 0-3s / 0-4s / 1-3s / 1-4s).</w:t>
      </w:r>
    </w:p>
    <w:p>
      <w:pPr>
        <w:pStyle w:val="Heading2"/>
        <w:spacing w:after="100" w:before="220"/>
      </w:pPr>
      <w:r>
        <w:t xml:space="preserve">4.3 Subject Normalization</w:t>
      </w:r>
    </w:p>
    <w:p>
      <w:pPr>
        <w:spacing w:after="180" w:line="288"/>
        <w:jc w:val="both"/>
      </w:pPr>
      <w:r>
        <w:rPr>
          <w:rFonts w:ascii="Calibri" w:cs="Calibri" w:eastAsia="Calibri" w:hAnsi="Calibri"/>
          <w:sz w:val="22"/>
          <w:szCs w:val="22"/>
        </w:rPr>
        <w:t xml:space="preserve">Per-subject feature normalization (StandardScaler fit independently on each subject's training portion) was tested in combination with CSP (6 components), LDA, and a 1-3 second epoch window, under the same LOSO protocol, to test whether standardizing each subject's feature distribution before pooling reduces inter-subject variability.</w:t>
      </w:r>
    </w:p>
    <w:p>
      <w:pPr>
        <w:pStyle w:val="Heading2"/>
        <w:spacing w:after="100" w:before="220"/>
      </w:pPr>
      <w:r>
        <w:t xml:space="preserve">4.4 Filter-Bank CSP (FBCSP)</w:t>
      </w:r>
    </w:p>
    <w:p>
      <w:pPr>
        <w:spacing w:after="180" w:line="288"/>
        <w:jc w:val="both"/>
      </w:pPr>
      <w:r>
        <w:rPr>
          <w:rFonts w:ascii="Calibri" w:cs="Calibri" w:eastAsia="Calibri" w:hAnsi="Calibri"/>
          <w:sz w:val="22"/>
          <w:szCs w:val="22"/>
        </w:rPr>
        <w:t xml:space="preserve">As an alternative to plain single-band CSP, Filter-Bank CSP splits the 8-32 Hz range into six 4 Hz sub-bands, applies CSP independently within each sub-band (4 components per band), and concatenates the resulting log-variance features (24 total) before classification with LDA, under the same LOSO protocol.</w:t>
      </w:r>
    </w:p>
    <w:p>
      <w:pPr>
        <w:pStyle w:val="Heading2"/>
        <w:spacing w:after="100" w:before="220"/>
      </w:pPr>
      <w:r>
        <w:t xml:space="preserve">4.5 Deep Learning Baseline (EEGNet)</w:t>
      </w:r>
    </w:p>
    <w:p>
      <w:pPr>
        <w:spacing w:after="180" w:line="288"/>
        <w:jc w:val="both"/>
      </w:pPr>
      <w:r>
        <w:rPr>
          <w:rFonts w:ascii="Calibri" w:cs="Calibri" w:eastAsia="Calibri" w:hAnsi="Calibri"/>
          <w:sz w:val="22"/>
          <w:szCs w:val="22"/>
        </w:rPr>
        <w:t xml:space="preserve">EEGNet, a compact convolutional neural network designed specifically for EEG decoding, was evaluated under the same LOSO protocol as a non-CSP-based alternative, to test whether a learned feature representation can outperform hand-engineered CSP/FBCSP features on this dataset.</w:t>
      </w:r>
    </w:p>
    <w:p>
      <w:pPr>
        <w:pStyle w:val="Heading2"/>
        <w:spacing w:after="100" w:before="220"/>
      </w:pPr>
      <w:r>
        <w:t xml:space="preserve">4.6 Subject Adaptation</w:t>
      </w:r>
    </w:p>
    <w:p>
      <w:pPr>
        <w:spacing w:after="180" w:line="288"/>
        <w:jc w:val="both"/>
      </w:pPr>
      <w:r>
        <w:rPr>
          <w:rFonts w:ascii="Calibri" w:cs="Calibri" w:eastAsia="Calibri" w:hAnsi="Calibri"/>
          <w:sz w:val="22"/>
          <w:szCs w:val="22"/>
        </w:rPr>
        <w:t xml:space="preserve">To test whether a small amount of target-subject data can improve subject-independent performance, models were trained on all 8 other subjects' full training sessions plus an increasing fraction (0%, 5%, 10%, 20%) of the target subject's own training-session trials, then evaluated on the target subject's separate evaluation session (A0xE). This combines subject-adaptation (partial target calibration) with cross-session testing (train on T-session data, test on the E-session, recorded on a different day).</w:t>
      </w:r>
    </w:p>
    <w:p>
      <w:pPr>
        <w:pStyle w:val="Heading2"/>
        <w:spacing w:after="100" w:before="220"/>
      </w:pPr>
      <w:r>
        <w:t xml:space="preserve">4.7 Cross-Session Evaluation</w:t>
      </w:r>
    </w:p>
    <w:p>
      <w:pPr>
        <w:spacing w:after="180" w:line="288"/>
        <w:jc w:val="both"/>
      </w:pPr>
      <w:r>
        <w:rPr>
          <w:rFonts w:ascii="Calibri" w:cs="Calibri" w:eastAsia="Calibri" w:hAnsi="Calibri"/>
          <w:sz w:val="22"/>
          <w:szCs w:val="22"/>
        </w:rPr>
        <w:t xml:space="preserve">To isolate cross-session variability from cross-subject variability, each subject's model was trained only on that same subject's training session (A0xT) and tested on that same subject's separate evaluation session (A0xE, recorded on a different day) — no pooling across subjects, and no LOSO. This measures how much performance drops purely from day-to-day variability within one person, independent of the harder cross-subject problem.</w:t>
      </w:r>
    </w:p>
    <w:p>
      <w:pPr>
        <w:pStyle w:val="Heading2"/>
        <w:spacing w:after="100" w:before="220"/>
      </w:pPr>
      <w:r>
        <w:t xml:space="preserve">4.8 Preliminary Command-Mapping Demonstration</w:t>
      </w:r>
    </w:p>
    <w:p>
      <w:pPr>
        <w:spacing w:after="180" w:line="288"/>
        <w:jc w:val="both"/>
      </w:pPr>
      <w:r>
        <w:rPr>
          <w:rFonts w:ascii="Calibri" w:cs="Calibri" w:eastAsia="Calibri" w:hAnsi="Calibri"/>
          <w:sz w:val="22"/>
          <w:szCs w:val="22"/>
        </w:rPr>
        <w:t xml:space="preserve">As an early step toward the project's long-term object-control goal, the trained single-subject model (12-component CSP + linear SVM) was used to map each predicted class to an illustrative control command: Left Hand -&gt; LEFT, Right Hand -&gt; RIGHT, Foot -&gt; FORWARD, Tongue -&gt; STOP. This is a code-level proof of concept only, confirming the prediction-to-command mapping logic; it is not a real-time or hardware-connected demonstration.</w:t>
      </w:r>
    </w:p>
    <w:p>
      <w:pPr>
        <w:pStyle w:val="Heading1"/>
        <w:spacing w:after="140" w:before="320"/>
      </w:pPr>
      <w:r>
        <w:t xml:space="preserve">5. Results — Single Subject (A01)</w:t>
      </w:r>
    </w:p>
    <w:p>
      <w:pPr>
        <w:pStyle w:val="Heading2"/>
        <w:spacing w:after="100" w:before="220"/>
      </w:pPr>
      <w:r>
        <w:t xml:space="preserve">5.1 Effect of CSP Component 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CSP Components</w:t>
            </w:r>
          </w:p>
        </w:tc>
        <w:tc>
          <w:tcPr>
            <w:tcW w:type="dxa" w:w="45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5-fold CV Accuracy</w:t>
            </w:r>
          </w:p>
        </w:tc>
      </w:tr>
      <w:tr>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w:t>
            </w:r>
          </w:p>
        </w:tc>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74.33%</w:t>
            </w:r>
          </w:p>
        </w:tc>
      </w:tr>
      <w:tr>
        <w:tc>
          <w:tcPr>
            <w:tcW w:type="dxa" w:w="45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w:t>
            </w:r>
          </w:p>
        </w:tc>
        <w:tc>
          <w:tcPr>
            <w:tcW w:type="dxa" w:w="45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79.16%</w:t>
            </w:r>
          </w:p>
        </w:tc>
      </w:tr>
      <w:tr>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w:t>
            </w:r>
          </w:p>
        </w:tc>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78.12%</w:t>
            </w:r>
          </w:p>
        </w:tc>
      </w:tr>
      <w:tr>
        <w:tc>
          <w:tcPr>
            <w:tcW w:type="dxa" w:w="45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w:t>
            </w:r>
          </w:p>
        </w:tc>
        <w:tc>
          <w:tcPr>
            <w:tcW w:type="dxa" w:w="45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80.20%</w:t>
            </w:r>
          </w:p>
        </w:tc>
      </w:tr>
      <w:tr>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82.63%</w:t>
            </w:r>
          </w:p>
        </w:tc>
      </w:tr>
      <w:tr>
        <w:tc>
          <w:tcPr>
            <w:tcW w:type="dxa" w:w="45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12</w:t>
            </w:r>
          </w:p>
        </w:tc>
        <w:tc>
          <w:tcPr>
            <w:tcW w:type="dxa" w:w="45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82.97%</w:t>
            </w:r>
          </w:p>
        </w:tc>
      </w:tr>
      <w:tr>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16</w:t>
            </w:r>
          </w:p>
        </w:tc>
        <w:tc>
          <w:tcPr>
            <w:tcW w:type="dxa" w:w="45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80.54%</w:t>
            </w:r>
          </w:p>
        </w:tc>
      </w:tr>
    </w:tbl>
    <w:p>
      <w:pPr>
        <w:spacing w:after="220" w:before="70"/>
        <w:jc w:val="center"/>
      </w:pPr>
      <w:r>
        <w:rPr>
          <w:rFonts w:ascii="Calibri" w:cs="Calibri" w:eastAsia="Calibri" w:hAnsi="Calibri"/>
          <w:i/>
          <w:iCs/>
          <w:color w:val="444444"/>
          <w:sz w:val="19"/>
          <w:szCs w:val="19"/>
        </w:rPr>
        <w:t xml:space="preserve">Table 1. Single-subject accuracy vs. number of CSP components (linear SVM, 5-fold CV).</w:t>
      </w:r>
    </w:p>
    <w:p>
      <w:pPr>
        <w:spacing w:after="180" w:line="288"/>
        <w:jc w:val="both"/>
      </w:pPr>
      <w:r>
        <w:rPr>
          <w:rFonts w:ascii="Calibri" w:cs="Calibri" w:eastAsia="Calibri" w:hAnsi="Calibri"/>
          <w:sz w:val="22"/>
          <w:szCs w:val="22"/>
        </w:rPr>
        <w:t xml:space="preserve">Accuracy rises from 74.3% at 2 components to a peak of 83.0% at 12 components, then declines to 80.5% at 16 components — evidence that components beyond 10-12 add noise/dimensionality rather than useful discriminative signal, given the limited number of training trials (72 per class).</w:t>
      </w:r>
    </w:p>
    <w:p>
      <w:pPr>
        <w:pStyle w:val="Heading2"/>
        <w:spacing w:after="100" w:before="220"/>
      </w:pPr>
      <w:r>
        <w:t xml:space="preserve">5.2 Classifier Comparison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100"/>
        <w:gridCol w:w="1300"/>
        <w:gridCol w:w="2000"/>
        <w:gridCol w:w="2000"/>
      </w:tblGrid>
      <w:tr>
        <w:trPr>
          <w:tblHeader/>
        </w:trPr>
        <w:tc>
          <w:tcPr>
            <w:tcW w:type="dxa" w:w="41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Classifier</w:t>
            </w:r>
          </w:p>
        </w:tc>
        <w:tc>
          <w:tcPr>
            <w:tcW w:type="dxa" w:w="13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CSP n</w:t>
            </w:r>
          </w:p>
        </w:tc>
        <w:tc>
          <w:tcPr>
            <w:tcW w:type="dxa" w:w="2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Protocol</w:t>
            </w:r>
          </w:p>
        </w:tc>
        <w:tc>
          <w:tcPr>
            <w:tcW w:type="dxa" w:w="2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Accuracy</w:t>
            </w:r>
          </w:p>
        </w:tc>
      </w:tr>
      <w:tr>
        <w:tc>
          <w:tcPr>
            <w:tcW w:type="dxa" w:w="4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LDA</w:t>
            </w:r>
          </w:p>
        </w:tc>
        <w:tc>
          <w:tcPr>
            <w:tcW w:type="dxa" w:w="13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w:t>
            </w:r>
          </w:p>
        </w:tc>
        <w:tc>
          <w:tcPr>
            <w:tcW w:type="dxa" w:w="2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single 80/20 split</w:t>
            </w:r>
          </w:p>
        </w:tc>
        <w:tc>
          <w:tcPr>
            <w:tcW w:type="dxa" w:w="2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62.07%</w:t>
            </w:r>
          </w:p>
        </w:tc>
      </w:tr>
      <w:tr>
        <w:tc>
          <w:tcPr>
            <w:tcW w:type="dxa" w:w="41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SVM — linear kernel</w:t>
            </w:r>
          </w:p>
        </w:tc>
        <w:tc>
          <w:tcPr>
            <w:tcW w:type="dxa" w:w="13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w:t>
            </w:r>
          </w:p>
        </w:tc>
        <w:tc>
          <w:tcPr>
            <w:tcW w:type="dxa" w:w="2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single 80/20 split</w:t>
            </w:r>
          </w:p>
        </w:tc>
        <w:tc>
          <w:tcPr>
            <w:tcW w:type="dxa" w:w="2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74.14%</w:t>
            </w:r>
          </w:p>
        </w:tc>
      </w:tr>
      <w:tr>
        <w:tc>
          <w:tcPr>
            <w:tcW w:type="dxa" w:w="4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LDA</w:t>
            </w:r>
          </w:p>
        </w:tc>
        <w:tc>
          <w:tcPr>
            <w:tcW w:type="dxa" w:w="13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2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single 80/20 split</w:t>
            </w:r>
          </w:p>
        </w:tc>
        <w:tc>
          <w:tcPr>
            <w:tcW w:type="dxa" w:w="2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70.69%</w:t>
            </w:r>
          </w:p>
        </w:tc>
      </w:tr>
      <w:tr>
        <w:tc>
          <w:tcPr>
            <w:tcW w:type="dxa" w:w="41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Random Forest</w:t>
            </w:r>
          </w:p>
        </w:tc>
        <w:tc>
          <w:tcPr>
            <w:tcW w:type="dxa" w:w="13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2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single 80/20 split</w:t>
            </w:r>
          </w:p>
        </w:tc>
        <w:tc>
          <w:tcPr>
            <w:tcW w:type="dxa" w:w="2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72.41%</w:t>
            </w:r>
          </w:p>
        </w:tc>
      </w:tr>
      <w:tr>
        <w:tc>
          <w:tcPr>
            <w:tcW w:type="dxa" w:w="4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SVM — GridSearchCV (linear vs. RBF, C in {0.1,1,10,100})</w:t>
            </w:r>
          </w:p>
        </w:tc>
        <w:tc>
          <w:tcPr>
            <w:tcW w:type="dxa" w:w="13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2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single 80/20 split</w:t>
            </w:r>
          </w:p>
        </w:tc>
        <w:tc>
          <w:tcPr>
            <w:tcW w:type="dxa" w:w="2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75.86%  (best: linear, C=1)</w:t>
            </w:r>
          </w:p>
        </w:tc>
      </w:tr>
    </w:tbl>
    <w:p>
      <w:pPr>
        <w:spacing w:after="220" w:before="70"/>
        <w:jc w:val="center"/>
      </w:pPr>
      <w:r>
        <w:rPr>
          <w:rFonts w:ascii="Calibri" w:cs="Calibri" w:eastAsia="Calibri" w:hAnsi="Calibri"/>
          <w:i/>
          <w:iCs/>
          <w:color w:val="444444"/>
          <w:sz w:val="19"/>
          <w:szCs w:val="19"/>
        </w:rPr>
        <w:t xml:space="preserve">Table 2. Classifier comparison at matched CSP settings, single 80/20 split.</w:t>
      </w:r>
    </w:p>
    <w:p>
      <w:pPr>
        <w:spacing w:after="180" w:line="288"/>
        <w:jc w:val="both"/>
      </w:pPr>
      <w:r>
        <w:rPr>
          <w:rFonts w:ascii="Calibri" w:cs="Calibri" w:eastAsia="Calibri" w:hAnsi="Calibri"/>
          <w:sz w:val="22"/>
          <w:szCs w:val="22"/>
        </w:rPr>
        <w:t xml:space="preserve">SVM consistently outperformed LDA at matched CSP settings. GridSearchCV selected a linear kernel as best in every case tested; RBF did not outperform linear for this subject, suggesting the CSP log-variance feature space is close to linearly separable once spatial filtering has been applied. The best single-subject result, 83.0% mean cross-validated accuracy (12 CSP components, linear SVM), remains this project's performance ceiling — well above the 25% chance level for four balanced classes.</w:t>
      </w:r>
    </w:p>
    <w:p>
      <w:pPr>
        <w:pStyle w:val="Heading1"/>
        <w:spacing w:after="140" w:before="320"/>
      </w:pPr>
      <w:r>
        <w:t xml:space="preserve">6. The Multi-Subject Data Integrity Issue — Found and Resolved</w:t>
      </w:r>
    </w:p>
    <w:p>
      <w:pPr>
        <w:spacing w:after="180" w:line="288"/>
        <w:jc w:val="both"/>
      </w:pPr>
      <w:r>
        <w:rPr>
          <w:rFonts w:ascii="Calibri" w:cs="Calibri" w:eastAsia="Calibri" w:hAnsi="Calibri"/>
          <w:sz w:val="22"/>
          <w:szCs w:val="22"/>
        </w:rPr>
        <w:t xml:space="preserve">An earlier version of the pooled multi-subject dataset showed an unexplained class imbalance: 648 trials each for Left and Right Hand, but only 576 each for Foot and Tongue (2,448 trials total instead of the expected 2,592). Investigation (A04T_Investigation.ipynb) confirmed that subject A04T's raw file actually contains a perfectly balanced 72 trials per class — the data itself was never missing anything.</w:t>
      </w:r>
    </w:p>
    <w:p>
      <w:pPr>
        <w:spacing w:after="180" w:line="288"/>
        <w:jc w:val="both"/>
      </w:pPr>
      <w:r>
        <w:rPr>
          <w:rFonts w:ascii="Calibri" w:cs="Calibri" w:eastAsia="Calibri" w:hAnsi="Calibri"/>
          <w:sz w:val="22"/>
          <w:szCs w:val="22"/>
        </w:rPr>
        <w:t xml:space="preserve">The actual cause was a code-level assumption: the loading pipeline used a fixed numeric mapping (e.g., {"LEFT": 7, "RIGHT": 8, "FOOT": 9, "TONGUE": 10}) to select motor imagery events. MNE assigns these numeric codes per file, based on which annotation types are present in that specific recording and in what order — the same annotation description (e.g. "769" for Left Hand) is not guaranteed to receive the same numeric code across different subjects' files. For A04T specifically, the file contains fewer distinct annotation types, which shifted its true motor-imagery codes down to 5, 6, 7, 8 instead of the 7, 8, 9, 10 assumed elsewhere. As a result, the pipeline picked up A04T's real Foot and Tongue trials (true codes 7 and 8) but mislabeled them as Left and Right Hand, while the true Left/Right codes (5, 6) and the assumed Foot/Tongue codes (9, 10, which do not exist in A04T's file) were never matched at all.</w:t>
      </w:r>
    </w:p>
    <w:p>
      <w:pPr>
        <w:pBdr>
          <w:left w:val="single" w:color="1C8577" w:sz="24" w:space="8"/>
        </w:pBdr>
        <w:shd w:fill="E8F7F5" w:val="clear"/>
        <w:spacing w:after="220" w:before="100"/>
      </w:pPr>
      <w:r>
        <w:rPr>
          <w:rFonts w:ascii="Calibri" w:cs="Calibri" w:eastAsia="Calibri" w:hAnsi="Calibri"/>
          <w:b/>
          <w:bCs/>
          <w:color w:val="1C8577"/>
          <w:sz w:val="22"/>
          <w:szCs w:val="22"/>
        </w:rPr>
        <w:t xml:space="preserve">✓ </w:t>
      </w:r>
      <w:r>
        <w:rPr>
          <w:rFonts w:ascii="Calibri" w:cs="Calibri" w:eastAsia="Calibri" w:hAnsi="Calibri"/>
          <w:i/>
          <w:iCs/>
          <w:color w:val="144A41"/>
          <w:sz w:val="21"/>
          <w:szCs w:val="21"/>
        </w:rPr>
        <w:t xml:space="preserve">Fix: event codes are now looked up per file by their annotation description string (e.g. "769") rather than assumed to be a fixed number, then translated to a consistent output label. This fix was applied to all four notebooks still using the old assumption (multi-subject optimization, subject normalization, feature extraction comparison, subject adaptation) and confirmed by re-running each one: the pooled dataset now shows the expected, perfectly balanced 648/648/648/648 class distribution across 2,592 trials.</w:t>
      </w:r>
    </w:p>
    <w:p>
      <w:pPr>
        <w:spacing w:after="180" w:line="288"/>
        <w:jc w:val="both"/>
      </w:pPr>
      <w:r>
        <w:rPr>
          <w:rFonts w:ascii="Calibri" w:cs="Calibri" w:eastAsia="Calibri" w:hAnsi="Calibri"/>
          <w:sz w:val="22"/>
          <w:szCs w:val="22"/>
        </w:rPr>
        <w:t xml:space="preserve">The clearest confirmation that this fix mattered: under the basic LOSO protocol, subject A04T's held-out accuracy moved from 17.4% (below the 25% chance level, the worst-performing subject) to 25.0% (at chance level, no longer an outlier) after the fix — direct evidence that the earlier mislabeling was specifically depressing A04T's contribution to the pooled dataset and its own generalization performance.</w:t>
      </w:r>
    </w:p>
    <w:p>
      <w:pPr>
        <w:pStyle w:val="Heading1"/>
        <w:spacing w:after="140" w:before="320"/>
      </w:pPr>
      <w:r>
        <w:t xml:space="preserve">7. Results — Multi-Subject LOSO and Optimization Sweep</w:t>
      </w:r>
    </w:p>
    <w:p>
      <w:pPr>
        <w:spacing w:after="180" w:line="288"/>
        <w:jc w:val="both"/>
      </w:pPr>
      <w:r>
        <w:rPr>
          <w:rFonts w:ascii="Calibri" w:cs="Calibri" w:eastAsia="Calibri" w:hAnsi="Calibri"/>
          <w:sz w:val="22"/>
          <w:szCs w:val="22"/>
        </w:rPr>
        <w:t xml:space="preserve">All results in this section use the corrected, balanced 2,592-trial dataset (Section 6) under Leave-One-Subject-Out cross-validation. The basic LOSO baseline (16 CSP components, GridSearchCV-tuned RBF-SVM) gives a mean accuracy of 31.40% (std. 6.77%) — barely above the 25% chance level for four balanced classes, and modestly higher than the 28.59% figure reported prior to the data-integrity fix.</w:t>
      </w:r>
    </w:p>
    <w:p>
      <w:pPr>
        <w:pStyle w:val="Heading2"/>
        <w:spacing w:after="100" w:before="220"/>
      </w:pPr>
      <w:r>
        <w:t xml:space="preserve">7.1 Per-Subject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Held-Out Subject</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A01T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38.5%</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A02T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24.7%</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A03T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38.9%</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A04T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25.0%</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A05T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24.0%</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A06T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23.3%</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A07T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31.6%</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A08T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37.8%</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A09T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38.9%</w:t>
            </w:r>
          </w:p>
        </w:tc>
      </w:tr>
    </w:tbl>
    <w:p>
      <w:pPr>
        <w:spacing w:after="220" w:before="70"/>
        <w:jc w:val="center"/>
      </w:pPr>
      <w:r>
        <w:rPr>
          <w:rFonts w:ascii="Calibri" w:cs="Calibri" w:eastAsia="Calibri" w:hAnsi="Calibri"/>
          <w:i/>
          <w:iCs/>
          <w:color w:val="444444"/>
          <w:sz w:val="19"/>
          <w:szCs w:val="19"/>
        </w:rPr>
        <w:t xml:space="preserve">Table 3. LOSO accuracy per held-out subject, basic protocol (16 CSP components, GridSearchCV-tuned RBF-SVM).</w:t>
      </w:r>
    </w:p>
    <w:p>
      <w:pPr>
        <w:pStyle w:val="Heading2"/>
        <w:spacing w:after="100" w:before="220"/>
      </w:pPr>
      <w:r>
        <w:t xml:space="preserve">7.2 CSP Component Sweep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CSP Components</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LOSO 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32.10% ± 8.56%</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32.29% ± 8.10%</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30.52% ± 6.66%</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12</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30.94% ± 6.35%</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16</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30.67% ± 6.49%</w:t>
            </w:r>
          </w:p>
        </w:tc>
      </w:tr>
    </w:tbl>
    <w:p>
      <w:pPr>
        <w:spacing w:after="220" w:before="70"/>
        <w:jc w:val="center"/>
      </w:pPr>
      <w:r>
        <w:rPr>
          <w:rFonts w:ascii="Calibri" w:cs="Calibri" w:eastAsia="Calibri" w:hAnsi="Calibri"/>
          <w:i/>
          <w:iCs/>
          <w:color w:val="444444"/>
          <w:sz w:val="19"/>
          <w:szCs w:val="19"/>
        </w:rPr>
        <w:t xml:space="preserve">Table 4. LOSO accuracy vs. CSP components (GridSearchCV-tuned RBF-SVM).</w:t>
      </w:r>
    </w:p>
    <w:p>
      <w:pPr>
        <w:spacing w:after="180" w:line="288"/>
        <w:jc w:val="both"/>
      </w:pPr>
      <w:r>
        <w:rPr>
          <w:rFonts w:ascii="Calibri" w:cs="Calibri" w:eastAsia="Calibri" w:hAnsi="Calibri"/>
          <w:sz w:val="22"/>
          <w:szCs w:val="22"/>
        </w:rPr>
        <w:t xml:space="preserve">Best result: 6 components (32.29%). Unlike the single-subject case, accuracy does not improve much beyond 4-6 components and drifts slightly downward from there — the pooled, cross-subject feature space does not benefit from additional CSP components the way a single subject's does.</w:t>
      </w:r>
    </w:p>
    <w:p>
      <w:pPr>
        <w:pStyle w:val="Heading2"/>
        <w:spacing w:after="100" w:before="220"/>
      </w:pPr>
      <w:r>
        <w:t xml:space="preserve">7.3 Classifier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Classifier</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LOSO 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LDA</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 ± 11.04%</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Linear SVM</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37.96% ± 11.79%</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RBF SVM</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32.29% ± 8.10%</w:t>
            </w:r>
          </w:p>
        </w:tc>
      </w:tr>
    </w:tbl>
    <w:p>
      <w:pPr>
        <w:spacing w:after="220" w:before="70"/>
        <w:jc w:val="center"/>
      </w:pPr>
      <w:r>
        <w:rPr>
          <w:rFonts w:ascii="Calibri" w:cs="Calibri" w:eastAsia="Calibri" w:hAnsi="Calibri"/>
          <w:i/>
          <w:iCs/>
          <w:color w:val="444444"/>
          <w:sz w:val="19"/>
          <w:szCs w:val="19"/>
        </w:rPr>
        <w:t xml:space="preserve">Table 5. LOSO accuracy by classifier (6 CSP components).</w:t>
      </w:r>
    </w:p>
    <w:p>
      <w:pPr>
        <w:spacing w:after="180" w:line="288"/>
        <w:jc w:val="both"/>
      </w:pPr>
      <w:r>
        <w:rPr>
          <w:rFonts w:ascii="Calibri" w:cs="Calibri" w:eastAsia="Calibri" w:hAnsi="Calibri"/>
          <w:sz w:val="22"/>
          <w:szCs w:val="22"/>
        </w:rPr>
        <w:t xml:space="preserve">LDA is the best-performing classifier under LOSO (38.31%), ahead of linear SVM (37.96%) and clearly ahead of RBF SVM (32.29%) — the opposite ranking from the single-subject case, where SVM outperformed LDA. This suggests that on the harder, noisier, cross-subject problem, LDA's simplicity and lower variance is an advantage rather than a limitation.</w:t>
      </w:r>
    </w:p>
    <w:p>
      <w:pPr>
        <w:pStyle w:val="Heading2"/>
        <w:spacing w:after="100" w:before="220"/>
      </w:pPr>
      <w:r>
        <w:t xml:space="preserve">7.4 Regularization, Frequency Band, and Time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CSP Regularization</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LOSO 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None</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 ± 11.04%</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Ledoit-Wolf</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 ± 11.04%</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OAS</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 ± 11.04%</w:t>
            </w:r>
          </w:p>
        </w:tc>
      </w:tr>
    </w:tbl>
    <w:p>
      <w:pPr>
        <w:spacing w:after="220" w:before="70"/>
        <w:jc w:val="center"/>
      </w:pPr>
      <w:r>
        <w:rPr>
          <w:rFonts w:ascii="Calibri" w:cs="Calibri" w:eastAsia="Calibri" w:hAnsi="Calibri"/>
          <w:i/>
          <w:iCs/>
          <w:color w:val="444444"/>
          <w:sz w:val="19"/>
          <w:szCs w:val="19"/>
        </w:rPr>
        <w:t xml:space="preserve">Table 6. Effect of CSP covariance regularization — no measurable difference.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Frequency Band</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LOSO 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4-30 Hz</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36.61% ± 12.06%</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8-30 Hz</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 ± 11.04%</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8-35 Hz</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38.27% ± 10.90%</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8-40 Hz</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37.89% ± 11.49%</w:t>
            </w:r>
          </w:p>
        </w:tc>
      </w:tr>
    </w:tbl>
    <w:p>
      <w:pPr>
        <w:spacing w:after="220" w:before="70"/>
        <w:jc w:val="center"/>
      </w:pPr>
      <w:r>
        <w:rPr>
          <w:rFonts w:ascii="Calibri" w:cs="Calibri" w:eastAsia="Calibri" w:hAnsi="Calibri"/>
          <w:i/>
          <w:iCs/>
          <w:color w:val="444444"/>
          <w:sz w:val="19"/>
          <w:szCs w:val="19"/>
        </w:rPr>
        <w:t xml:space="preserve">Table 7. Effect of band-pass filter range — 8-30 Hz remains best; wider bands do not help.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Epoch Window</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LOSO 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0-2 s</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38.89% ± 10.64%</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0-3 s</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41.44% ± 14.40%</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0-4 s</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 ± 11.04%</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1-3 s</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40.90% ± 13.49%</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1-4 s</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38.12% ± 13.56%</w:t>
            </w:r>
          </w:p>
        </w:tc>
      </w:tr>
    </w:tbl>
    <w:p>
      <w:pPr>
        <w:spacing w:after="220" w:before="70"/>
        <w:jc w:val="center"/>
      </w:pPr>
      <w:r>
        <w:rPr>
          <w:rFonts w:ascii="Calibri" w:cs="Calibri" w:eastAsia="Calibri" w:hAnsi="Calibri"/>
          <w:i/>
          <w:iCs/>
          <w:color w:val="444444"/>
          <w:sz w:val="19"/>
          <w:szCs w:val="19"/>
        </w:rPr>
        <w:t xml:space="preserve">Table 8. Effect of epoch time window — 0-3 s performs best (41.44%), ahead of the default 0-4 s window (38.31%).</w:t>
      </w:r>
    </w:p>
    <w:p>
      <w:pPr>
        <w:spacing w:after="180" w:line="288"/>
        <w:jc w:val="both"/>
      </w:pPr>
      <w:r>
        <w:rPr>
          <w:rFonts w:ascii="Calibri" w:cs="Calibri" w:eastAsia="Calibri" w:hAnsi="Calibri"/>
          <w:sz w:val="22"/>
          <w:szCs w:val="22"/>
        </w:rPr>
        <w:t xml:space="preserve">Of all five factors swept, only the epoch time window produced a meaningful change, improving accuracy from 38.31% (0-4s) to 41.44% (0-3s) — suggesting the final second of each 4-second trial contributes more noise than signal for cross-subject generalization. Regularization and frequency-band tuning had negligible effect, and CSP component count only helped up to 6 components before flattening out.</w:t>
      </w:r>
    </w:p>
    <w:p>
      <w:pPr>
        <w:pStyle w:val="Heading1"/>
        <w:spacing w:after="140" w:before="320"/>
      </w:pPr>
      <w:r>
        <w:t xml:space="preserve">8. Results — Subject Normalization</w:t>
      </w:r>
    </w:p>
    <w:p>
      <w:pPr>
        <w:spacing w:after="180" w:line="288"/>
        <w:jc w:val="both"/>
      </w:pPr>
      <w:r>
        <w:rPr>
          <w:rFonts w:ascii="Calibri" w:cs="Calibri" w:eastAsia="Calibri" w:hAnsi="Calibri"/>
          <w:sz w:val="22"/>
          <w:szCs w:val="22"/>
        </w:rPr>
        <w:t xml:space="preserve">Per-subject StandardScaler normalization, combined with the best settings found in Section 7 (6 CSP components, LDA, 1-3s window), gives a mean LOSO accuracy of 40.90% (std. 13.49%).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Held-Out Subject</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A01T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48.61%</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A02T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26.39%</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A03T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53.82%</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A04T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38.19%</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A05T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29.86%</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A06T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23.96%</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A07T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30.21%</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A08T</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63.54%</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A09T</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53.47%</w:t>
            </w:r>
          </w:p>
        </w:tc>
      </w:tr>
    </w:tbl>
    <w:p>
      <w:pPr>
        <w:spacing w:after="220" w:before="70"/>
        <w:jc w:val="center"/>
      </w:pPr>
      <w:r>
        <w:rPr>
          <w:rFonts w:ascii="Calibri" w:cs="Calibri" w:eastAsia="Calibri" w:hAnsi="Calibri"/>
          <w:i/>
          <w:iCs/>
          <w:color w:val="444444"/>
          <w:sz w:val="19"/>
          <w:szCs w:val="19"/>
        </w:rPr>
        <w:t xml:space="preserve">Table 9. LOSO accuracy per subject with per-subject normalization.</w:t>
      </w:r>
    </w:p>
    <w:p>
      <w:pPr>
        <w:pBdr>
          <w:left w:val="single" w:color="9C3B2E" w:sz="24" w:space="8"/>
        </w:pBdr>
        <w:shd w:fill="FBEAE7" w:val="clear"/>
        <w:spacing w:after="220" w:before="100"/>
      </w:pPr>
      <w:r>
        <w:rPr>
          <w:rFonts w:ascii="Calibri" w:cs="Calibri" w:eastAsia="Calibri" w:hAnsi="Calibri"/>
          <w:b/>
          <w:bCs/>
          <w:color w:val="9C3B2E"/>
          <w:sz w:val="22"/>
          <w:szCs w:val="22"/>
        </w:rPr>
        <w:t xml:space="preserve">⚠ </w:t>
      </w:r>
      <w:r>
        <w:rPr>
          <w:rFonts w:ascii="Calibri" w:cs="Calibri" w:eastAsia="Calibri" w:hAnsi="Calibri"/>
          <w:i/>
          <w:iCs/>
          <w:color w:val="5A2A20"/>
          <w:sz w:val="21"/>
          <w:szCs w:val="21"/>
        </w:rPr>
        <w:t xml:space="preserve">This result is numerically identical, to two decimal places on both the mean and standard deviation, to the plain 1-3s time-window result in Table 8 (40.90% ± 13.49%). This strongly suggests per-subject normalization is not adding measurable benefit here beyond what the 1-3s epoch window already provides — the apparent improvement over the 0-4s baseline should be attributed to the window choice, not the normalization step.</w:t>
      </w:r>
    </w:p>
    <w:p>
      <w:pPr>
        <w:pStyle w:val="Heading1"/>
        <w:spacing w:after="140" w:before="320"/>
      </w:pPr>
      <w:r>
        <w:t xml:space="preserve">9. Results — Feature Extraction Comparison (FBCSP)</w:t>
      </w:r>
    </w:p>
    <w:p>
      <w:pPr>
        <w:spacing w:after="180" w:line="288"/>
        <w:jc w:val="both"/>
      </w:pPr>
      <w:r>
        <w:rPr>
          <w:rFonts w:ascii="Calibri" w:cs="Calibri" w:eastAsia="Calibri" w:hAnsi="Calibri"/>
          <w:sz w:val="22"/>
          <w:szCs w:val="22"/>
        </w:rPr>
        <w:t xml:space="preserve">Filter-Bank CSP (six 4Hz sub-bands, 8-32Hz, 4 components per band) with LDA gives a mean LOSO accuracy of 37.23% (std. 10.03%).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Held-Out Subject</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A01</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42.71%</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A02</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24.31%</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A03</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52.08%</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A04</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37.50%</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A05</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22.22%</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A06</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31.94%</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A07</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30.56%</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A08</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45.49%</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A09</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48.26%</w:t>
            </w:r>
          </w:p>
        </w:tc>
      </w:tr>
    </w:tbl>
    <w:p>
      <w:pPr>
        <w:spacing w:after="220" w:before="70"/>
        <w:jc w:val="center"/>
      </w:pPr>
      <w:r>
        <w:rPr>
          <w:rFonts w:ascii="Calibri" w:cs="Calibri" w:eastAsia="Calibri" w:hAnsi="Calibri"/>
          <w:i/>
          <w:iCs/>
          <w:color w:val="444444"/>
          <w:sz w:val="19"/>
          <w:szCs w:val="19"/>
        </w:rPr>
        <w:t xml:space="preserve">Table 10. LOSO accuracy per subject, FBCSP + LDA.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Method</w:t>
            </w:r>
          </w:p>
        </w:tc>
        <w:tc>
          <w:tcPr>
            <w:tcW w:type="dxa" w:w="3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LOSO Accuracy</w:t>
            </w:r>
          </w:p>
        </w:tc>
      </w:tr>
      <w:tr>
        <w:tc>
          <w:tcPr>
            <w:tcW w:type="dxa" w:w="6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CSP + LDA</w:t>
            </w:r>
          </w:p>
        </w:tc>
        <w:tc>
          <w:tcPr>
            <w:tcW w:type="dxa" w:w="3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38.31%</w:t>
            </w:r>
          </w:p>
        </w:tc>
      </w:tr>
      <w:tr>
        <w:tc>
          <w:tcPr>
            <w:tcW w:type="dxa" w:w="6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CSP + Normalization + LDA (== 1-3s window)</w:t>
            </w:r>
          </w:p>
        </w:tc>
        <w:tc>
          <w:tcPr>
            <w:tcW w:type="dxa" w:w="3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40.90%</w:t>
            </w:r>
          </w:p>
        </w:tc>
      </w:tr>
      <w:tr>
        <w:tc>
          <w:tcPr>
            <w:tcW w:type="dxa" w:w="6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FBCSP + LDA</w:t>
            </w:r>
          </w:p>
        </w:tc>
        <w:tc>
          <w:tcPr>
            <w:tcW w:type="dxa" w:w="3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37.23%</w:t>
            </w:r>
          </w:p>
        </w:tc>
      </w:tr>
    </w:tbl>
    <w:p>
      <w:pPr>
        <w:spacing w:after="220" w:before="70"/>
        <w:jc w:val="center"/>
      </w:pPr>
      <w:r>
        <w:rPr>
          <w:rFonts w:ascii="Calibri" w:cs="Calibri" w:eastAsia="Calibri" w:hAnsi="Calibri"/>
          <w:i/>
          <w:iCs/>
          <w:color w:val="444444"/>
          <w:sz w:val="19"/>
          <w:szCs w:val="19"/>
        </w:rPr>
        <w:t xml:space="preserve">Table 11. Feature extraction method comparison (all corrected, balanced dataset).</w:t>
      </w:r>
    </w:p>
    <w:p>
      <w:pPr>
        <w:spacing w:after="180" w:line="288"/>
        <w:jc w:val="both"/>
      </w:pPr>
      <w:r>
        <w:rPr>
          <w:rFonts w:ascii="Calibri" w:cs="Calibri" w:eastAsia="Calibri" w:hAnsi="Calibri"/>
          <w:sz w:val="22"/>
          <w:szCs w:val="22"/>
        </w:rPr>
        <w:t xml:space="preserve">FBCSP underperforms both plain CSP+LDA and CSP+1-3s-window+LDA on this dataset. This is a genuine, informative negative result: the extra spectral resolution FBCSP provides does not translate into better subject-independent generalization here, likely because splitting into six narrow sub-bands increases the feature count (24 vs. 6-16) without a proportional increase in usable training data, making the classifier more prone to overfitting to subject-specific noise.</w:t>
      </w:r>
    </w:p>
    <w:p>
      <w:pPr>
        <w:pStyle w:val="Heading1"/>
        <w:spacing w:after="140" w:before="320"/>
      </w:pPr>
      <w:r>
        <w:t xml:space="preserve">10. Results — Deep Learning Baseline (EEGNet)</w:t>
      </w:r>
    </w:p>
    <w:p>
      <w:pPr>
        <w:spacing w:after="180" w:line="288"/>
        <w:jc w:val="both"/>
      </w:pPr>
      <w:r>
        <w:rPr>
          <w:rFonts w:ascii="Calibri" w:cs="Calibri" w:eastAsia="Calibri" w:hAnsi="Calibri"/>
          <w:sz w:val="22"/>
          <w:szCs w:val="22"/>
        </w:rPr>
        <w:t xml:space="preserve">EEGNet, evaluated under the same LOSO protocol on the corrected, balanced dataset, gives a mean accuracy of 38.81% (std. 10.86%).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Held-Out Subject</w:t>
            </w:r>
          </w:p>
        </w:tc>
        <w:tc>
          <w:tcPr>
            <w:tcW w:type="dxa" w:w="40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Accuracy</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A01</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53.47%</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A02</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26.74%</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A03</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51.74%</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A04</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36.81%</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A05</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25.00%</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A06</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28.12%</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A07</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31.60%</w:t>
            </w:r>
          </w:p>
        </w:tc>
      </w:tr>
      <w:tr>
        <w:tc>
          <w:tcPr>
            <w:tcW w:type="dxa" w:w="5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A08</w:t>
            </w:r>
          </w:p>
        </w:tc>
        <w:tc>
          <w:tcPr>
            <w:tcW w:type="dxa" w:w="40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49.65%</w:t>
            </w:r>
          </w:p>
        </w:tc>
      </w:tr>
      <w:tr>
        <w:tc>
          <w:tcPr>
            <w:tcW w:type="dxa" w:w="5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A09</w:t>
            </w:r>
          </w:p>
        </w:tc>
        <w:tc>
          <w:tcPr>
            <w:tcW w:type="dxa" w:w="40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46.18%</w:t>
            </w:r>
          </w:p>
        </w:tc>
      </w:tr>
    </w:tbl>
    <w:p>
      <w:pPr>
        <w:spacing w:after="220" w:before="70"/>
        <w:jc w:val="center"/>
      </w:pPr>
      <w:r>
        <w:rPr>
          <w:rFonts w:ascii="Calibri" w:cs="Calibri" w:eastAsia="Calibri" w:hAnsi="Calibri"/>
          <w:i/>
          <w:iCs/>
          <w:color w:val="444444"/>
          <w:sz w:val="19"/>
          <w:szCs w:val="19"/>
        </w:rPr>
        <w:t xml:space="preserve">Table 12. LOSO accuracy per subject, EEGNet.</w:t>
      </w:r>
    </w:p>
    <w:p>
      <w:pPr>
        <w:spacing w:after="180" w:line="288"/>
        <w:jc w:val="both"/>
      </w:pPr>
      <w:r>
        <w:rPr>
          <w:rFonts w:ascii="Calibri" w:cs="Calibri" w:eastAsia="Calibri" w:hAnsi="Calibri"/>
          <w:sz w:val="22"/>
          <w:szCs w:val="22"/>
        </w:rPr>
        <w:t xml:space="preserve">EEGNet (38.81%) performs comparably to the best classical result (CSP+LDA, 38.31%) and slightly better than FBCSP (37.23%), but does not clearly outperform classical CSP-based methods on this dataset. This is a reasonable outcome given the dataset's size: EEGNet-style architectures typically need substantially more training data than the roughly 2,300 trials available per LOSO fold here to realize their advantage over hand-engineered features like CSP. Deep learning is not yet the stronger option for this project's scale, though it remains a candidate worth revisiting if more data (e.g., additional public MI datasets) is incorporated later.</w:t>
      </w:r>
    </w:p>
    <w:p>
      <w:pPr>
        <w:pStyle w:val="Heading1"/>
        <w:spacing w:after="140" w:before="320"/>
      </w:pPr>
      <w:r>
        <w:t xml:space="preserve">11. Results — Subject Adaptation</w:t>
      </w:r>
    </w:p>
    <w:p>
      <w:pPr>
        <w:spacing w:after="180" w:line="288"/>
        <w:jc w:val="both"/>
      </w:pPr>
      <w:r>
        <w:rPr>
          <w:rFonts w:ascii="Calibri" w:cs="Calibri" w:eastAsia="Calibri" w:hAnsi="Calibri"/>
          <w:sz w:val="22"/>
          <w:szCs w:val="22"/>
        </w:rPr>
        <w:t xml:space="preserve">Models were trained on all 8 other subjects' full training sessions plus an increasing fraction of the target subject's own training data (0%, 5%, 10%, 20%), then tested on that subject's separate evaluation session.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2100"/>
        <w:gridCol w:w="1800"/>
      </w:tblGrid>
      <w:tr>
        <w:trPr>
          <w:tblHeader/>
        </w:trPr>
        <w:tc>
          <w:tcPr>
            <w:tcW w:type="dxa" w:w="34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Target Data Used</w:t>
            </w:r>
          </w:p>
        </w:tc>
        <w:tc>
          <w:tcPr>
            <w:tcW w:type="dxa" w:w="21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Accuracy</w:t>
            </w:r>
          </w:p>
        </w:tc>
        <w:tc>
          <w:tcPr>
            <w:tcW w:type="dxa" w:w="21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Mean Macro F1</w:t>
            </w:r>
          </w:p>
        </w:tc>
        <w:tc>
          <w:tcPr>
            <w:tcW w:type="dxa" w:w="1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Improvement vs. 0%</w:t>
            </w:r>
          </w:p>
        </w:tc>
      </w:tr>
      <w:tr>
        <w:tc>
          <w:tcPr>
            <w:tcW w:type="dxa" w:w="34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 (no target data)</w:t>
            </w:r>
          </w:p>
        </w:tc>
        <w:tc>
          <w:tcPr>
            <w:tcW w:type="dxa" w:w="2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50.73% ± 14.82%</w:t>
            </w:r>
          </w:p>
        </w:tc>
        <w:tc>
          <w:tcPr>
            <w:tcW w:type="dxa" w:w="2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0.4737 ± 0.1822</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w:t>
            </w:r>
          </w:p>
        </w:tc>
      </w:tr>
      <w:tr>
        <w:tc>
          <w:tcPr>
            <w:tcW w:type="dxa" w:w="34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w:t>
            </w:r>
          </w:p>
        </w:tc>
        <w:tc>
          <w:tcPr>
            <w:tcW w:type="dxa" w:w="21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50.77% ± 14.69%</w:t>
            </w:r>
          </w:p>
        </w:tc>
        <w:tc>
          <w:tcPr>
            <w:tcW w:type="dxa" w:w="21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0.4682 ± 0.1656</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+0.04 pp</w:t>
            </w:r>
          </w:p>
        </w:tc>
      </w:tr>
      <w:tr>
        <w:tc>
          <w:tcPr>
            <w:tcW w:type="dxa" w:w="34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10%</w:t>
            </w:r>
          </w:p>
        </w:tc>
        <w:tc>
          <w:tcPr>
            <w:tcW w:type="dxa" w:w="2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54.19% ± 13.63%</w:t>
            </w:r>
          </w:p>
        </w:tc>
        <w:tc>
          <w:tcPr>
            <w:tcW w:type="dxa" w:w="21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0.5246 ± 0.1431</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+3.46 pp</w:t>
            </w:r>
          </w:p>
        </w:tc>
      </w:tr>
      <w:tr>
        <w:tc>
          <w:tcPr>
            <w:tcW w:type="dxa" w:w="34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20%</w:t>
            </w:r>
          </w:p>
        </w:tc>
        <w:tc>
          <w:tcPr>
            <w:tcW w:type="dxa" w:w="21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58.30% ± 11.98%</w:t>
            </w:r>
          </w:p>
        </w:tc>
        <w:tc>
          <w:tcPr>
            <w:tcW w:type="dxa" w:w="21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0.5704 ± 0.1276</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+7.56 pp</w:t>
            </w:r>
          </w:p>
        </w:tc>
      </w:tr>
    </w:tbl>
    <w:p>
      <w:pPr>
        <w:spacing w:after="220" w:before="70"/>
        <w:jc w:val="center"/>
      </w:pPr>
      <w:r>
        <w:rPr>
          <w:rFonts w:ascii="Calibri" w:cs="Calibri" w:eastAsia="Calibri" w:hAnsi="Calibri"/>
          <w:i/>
          <w:iCs/>
          <w:color w:val="444444"/>
          <w:sz w:val="19"/>
          <w:szCs w:val="19"/>
        </w:rPr>
        <w:t xml:space="preserve">Table 13. Subject-adaptation results across all 9 subjects, corrected dataset.</w:t>
      </w:r>
    </w:p>
    <w:p>
      <w:pPr>
        <w:pBdr>
          <w:left w:val="single" w:color="1C8577" w:sz="24" w:space="8"/>
        </w:pBdr>
        <w:shd w:fill="E8F7F5" w:val="clear"/>
        <w:spacing w:after="220" w:before="100"/>
      </w:pPr>
      <w:r>
        <w:rPr>
          <w:rFonts w:ascii="Calibri" w:cs="Calibri" w:eastAsia="Calibri" w:hAnsi="Calibri"/>
          <w:b/>
          <w:bCs/>
          <w:color w:val="1C8577"/>
          <w:sz w:val="22"/>
          <w:szCs w:val="22"/>
        </w:rPr>
        <w:t xml:space="preserve">✓ </w:t>
      </w:r>
      <w:r>
        <w:rPr>
          <w:rFonts w:ascii="Calibri" w:cs="Calibri" w:eastAsia="Calibri" w:hAnsi="Calibri"/>
          <w:i/>
          <w:iCs/>
          <w:color w:val="144A41"/>
          <w:sz w:val="21"/>
          <w:szCs w:val="21"/>
        </w:rPr>
        <w:t xml:space="preserve">This is the clearest positive result in this report. Every adaptation level improved on the 0% baseline, and — notably — the standard deviation dropped at every level too (14.82% -&gt; 11.98%), meaning results got both better and more consistent across subjects. Just 20% of a target subject's own calibration data closes roughly a quarter of the gap between LOSO (~31-38%) and true single-subject performance (83%).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rPr>
          <w:tblHeader/>
        </w:trPr>
        <w:tc>
          <w:tcPr>
            <w:tcW w:type="dxa" w:w="22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Subject</w:t>
            </w:r>
          </w:p>
        </w:tc>
        <w:tc>
          <w:tcPr>
            <w:tcW w:type="dxa" w:w="1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0%</w:t>
            </w:r>
          </w:p>
        </w:tc>
        <w:tc>
          <w:tcPr>
            <w:tcW w:type="dxa" w:w="1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5%</w:t>
            </w:r>
          </w:p>
        </w:tc>
        <w:tc>
          <w:tcPr>
            <w:tcW w:type="dxa" w:w="1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10%</w:t>
            </w:r>
          </w:p>
        </w:tc>
        <w:tc>
          <w:tcPr>
            <w:tcW w:type="dxa" w:w="1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20%</w:t>
            </w:r>
          </w:p>
        </w:tc>
      </w:tr>
      <w:tr>
        <w:tc>
          <w:tcPr>
            <w:tcW w:type="dxa" w:w="22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A01</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58.33%</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54.74%</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55.00%</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55.41%</w:t>
            </w:r>
          </w:p>
        </w:tc>
      </w:tr>
      <w:tr>
        <w:tc>
          <w:tcPr>
            <w:tcW w:type="dxa" w:w="22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A02</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39.93%</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43.43%</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47.31%</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52.38%</w:t>
            </w:r>
          </w:p>
        </w:tc>
      </w:tr>
      <w:tr>
        <w:tc>
          <w:tcPr>
            <w:tcW w:type="dxa" w:w="22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A03</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69.79%</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70.44%</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70.00%</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74.46%</w:t>
            </w:r>
          </w:p>
        </w:tc>
      </w:tr>
      <w:tr>
        <w:tc>
          <w:tcPr>
            <w:tcW w:type="dxa" w:w="22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A04</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43.06%</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36.50%</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45.00%</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47.19%</w:t>
            </w:r>
          </w:p>
        </w:tc>
      </w:tr>
      <w:tr>
        <w:tc>
          <w:tcPr>
            <w:tcW w:type="dxa" w:w="22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A05</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25.00%</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29.20%</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31.92%</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42.42%</w:t>
            </w:r>
          </w:p>
        </w:tc>
      </w:tr>
      <w:tr>
        <w:tc>
          <w:tcPr>
            <w:tcW w:type="dxa" w:w="22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A06</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34.38%</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37.59%</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40.00%</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45.89%</w:t>
            </w:r>
          </w:p>
        </w:tc>
      </w:tr>
      <w:tr>
        <w:tc>
          <w:tcPr>
            <w:tcW w:type="dxa" w:w="22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A07</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55.56%</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48.18%</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55.77%</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60.17%</w:t>
            </w:r>
          </w:p>
        </w:tc>
      </w:tr>
      <w:tr>
        <w:tc>
          <w:tcPr>
            <w:tcW w:type="dxa" w:w="22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A08</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63.89%</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70.80%</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71.92%</w:t>
            </w:r>
          </w:p>
        </w:tc>
        <w:tc>
          <w:tcPr>
            <w:tcW w:type="dxa" w:w="1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73.59%</w:t>
            </w:r>
          </w:p>
        </w:tc>
      </w:tr>
      <w:tr>
        <w:tc>
          <w:tcPr>
            <w:tcW w:type="dxa" w:w="22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A09</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66.67%</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66.06%</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70.77%</w:t>
            </w:r>
          </w:p>
        </w:tc>
        <w:tc>
          <w:tcPr>
            <w:tcW w:type="dxa" w:w="1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73.16%</w:t>
            </w:r>
          </w:p>
        </w:tc>
      </w:tr>
    </w:tbl>
    <w:p>
      <w:pPr>
        <w:spacing w:after="220" w:before="70"/>
        <w:jc w:val="center"/>
      </w:pPr>
      <w:r>
        <w:rPr>
          <w:rFonts w:ascii="Calibri" w:cs="Calibri" w:eastAsia="Calibri" w:hAnsi="Calibri"/>
          <w:i/>
          <w:iCs/>
          <w:color w:val="444444"/>
          <w:sz w:val="19"/>
          <w:szCs w:val="19"/>
        </w:rPr>
        <w:t xml:space="preserve">Table 14. Per-subject accuracy at each adaptation level.</w:t>
      </w:r>
    </w:p>
    <w:p>
      <w:pPr>
        <w:spacing w:after="180" w:line="288"/>
        <w:jc w:val="both"/>
      </w:pPr>
      <w:r>
        <w:rPr>
          <w:rFonts w:ascii="Calibri" w:cs="Calibri" w:eastAsia="Calibri" w:hAnsi="Calibri"/>
          <w:sz w:val="22"/>
          <w:szCs w:val="22"/>
        </w:rPr>
        <w:t xml:space="preserve">Subjects that generalize poorly with zero target data (A05: 25.0%, A02: 39.9%) show some of the largest relative gains from adaptation (A05 reaches 42.4% at 20%), suggesting subject adaptation is particularly valuable precisely for the hardest-to-generalize subjects.</w:t>
      </w:r>
    </w:p>
    <w:p>
      <w:pPr>
        <w:pStyle w:val="Heading1"/>
        <w:spacing w:after="140" w:before="320"/>
      </w:pPr>
      <w:r>
        <w:t xml:space="preserve">12. Results — Cross-Session Evaluation</w:t>
      </w:r>
    </w:p>
    <w:p>
      <w:pPr>
        <w:spacing w:after="180" w:line="288"/>
        <w:jc w:val="both"/>
      </w:pPr>
      <w:r>
        <w:rPr>
          <w:rFonts w:ascii="Calibri" w:cs="Calibri" w:eastAsia="Calibri" w:hAnsi="Calibri"/>
          <w:sz w:val="22"/>
          <w:szCs w:val="22"/>
        </w:rPr>
        <w:t xml:space="preserve">Each subject's model was trained only on that subject's own training session and tested on that same subject's separate evaluation session (recorded on a different day), isolating cross-session (day-to-day) variability from cross-subject variability. Subject A01 alone reaches 67.71% under this protocol; averaged across all 9 subjects the mean is 56.75% (std. 12.91%).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800"/>
      </w:tblGrid>
      <w:tr>
        <w:trPr>
          <w:tblHeader/>
        </w:trPr>
        <w:tc>
          <w:tcPr>
            <w:tcW w:type="dxa" w:w="3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Subject</w:t>
            </w:r>
          </w:p>
        </w:tc>
        <w:tc>
          <w:tcPr>
            <w:tcW w:type="dxa" w:w="2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Accuracy</w:t>
            </w:r>
          </w:p>
        </w:tc>
        <w:tc>
          <w:tcPr>
            <w:tcW w:type="dxa" w:w="2800"/>
            <w:shd w:fill="12294D" w:val="clear"/>
            <w:tcMar>
              <w:top w:type="dxa" w:w="70"/>
              <w:left w:type="dxa" w:w="90"/>
              <w:bottom w:type="dxa" w:w="70"/>
              <w:right w:type="dxa" w:w="90"/>
            </w:tcMar>
          </w:tcPr>
          <w:p>
            <w:pPr>
              <w:jc w:val="center"/>
            </w:pPr>
            <w:r>
              <w:rPr>
                <w:rFonts w:ascii="Calibri" w:cs="Calibri" w:eastAsia="Calibri" w:hAnsi="Calibri"/>
                <w:b/>
                <w:bCs/>
                <w:color w:val="FFFFFF"/>
                <w:sz w:val="19"/>
                <w:szCs w:val="19"/>
              </w:rPr>
              <w:t xml:space="preserve">Macro F1</w:t>
            </w:r>
          </w:p>
        </w:tc>
      </w:tr>
      <w:tr>
        <w:tc>
          <w:tcPr>
            <w:tcW w:type="dxa" w:w="3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A01</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67.71%</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0.6694</w:t>
            </w:r>
          </w:p>
        </w:tc>
      </w:tr>
      <w:tr>
        <w:tc>
          <w:tcPr>
            <w:tcW w:type="dxa" w:w="3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A02</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51.74%</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0.4868</w:t>
            </w:r>
          </w:p>
        </w:tc>
      </w:tr>
      <w:tr>
        <w:tc>
          <w:tcPr>
            <w:tcW w:type="dxa" w:w="3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A03</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69.79%</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0.6767</w:t>
            </w:r>
          </w:p>
        </w:tc>
      </w:tr>
      <w:tr>
        <w:tc>
          <w:tcPr>
            <w:tcW w:type="dxa" w:w="3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A04</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61.11%</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0.6035</w:t>
            </w:r>
          </w:p>
        </w:tc>
      </w:tr>
      <w:tr>
        <w:tc>
          <w:tcPr>
            <w:tcW w:type="dxa" w:w="3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A05</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28.82%</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0.2581</w:t>
            </w:r>
          </w:p>
        </w:tc>
      </w:tr>
      <w:tr>
        <w:tc>
          <w:tcPr>
            <w:tcW w:type="dxa" w:w="3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A06</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44.44%</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0.4198</w:t>
            </w:r>
          </w:p>
        </w:tc>
      </w:tr>
      <w:tr>
        <w:tc>
          <w:tcPr>
            <w:tcW w:type="dxa" w:w="3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A07</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52.78%</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0.4905</w:t>
            </w:r>
          </w:p>
        </w:tc>
      </w:tr>
      <w:tr>
        <w:tc>
          <w:tcPr>
            <w:tcW w:type="dxa" w:w="3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A08</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66.67%</w:t>
            </w:r>
          </w:p>
        </w:tc>
        <w:tc>
          <w:tcPr>
            <w:tcW w:type="dxa" w:w="2800"/>
            <w:shd w:fill="F1F3F6" w:val="clear"/>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0.6738</w:t>
            </w:r>
          </w:p>
        </w:tc>
      </w:tr>
      <w:tr>
        <w:tc>
          <w:tcPr>
            <w:tcW w:type="dxa" w:w="3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A09</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67.71%</w:t>
            </w:r>
          </w:p>
        </w:tc>
        <w:tc>
          <w:tcPr>
            <w:tcW w:type="dxa" w:w="2800"/>
            <w:tcMar>
              <w:top w:type="dxa" w:w="60"/>
              <w:left w:type="dxa" w:w="90"/>
              <w:bottom w:type="dxa" w:w="60"/>
              <w:right w:type="dxa" w:w="90"/>
            </w:tcMar>
          </w:tcPr>
          <w:p>
            <w:pPr>
              <w:jc w:val="center"/>
            </w:pPr>
            <w:r>
              <w:rPr>
                <w:rFonts w:ascii="Calibri" w:cs="Calibri" w:eastAsia="Calibri" w:hAnsi="Calibri"/>
                <w:b w:val="false"/>
                <w:bCs w:val="false"/>
                <w:sz w:val="19"/>
                <w:szCs w:val="19"/>
              </w:rPr>
              <w:t xml:space="preserve">0.6722</w:t>
            </w:r>
          </w:p>
        </w:tc>
      </w:tr>
    </w:tbl>
    <w:p>
      <w:pPr>
        <w:spacing w:after="220" w:before="70"/>
        <w:jc w:val="center"/>
      </w:pPr>
      <w:r>
        <w:rPr>
          <w:rFonts w:ascii="Calibri" w:cs="Calibri" w:eastAsia="Calibri" w:hAnsi="Calibri"/>
          <w:i/>
          <w:iCs/>
          <w:color w:val="444444"/>
          <w:sz w:val="19"/>
          <w:szCs w:val="19"/>
        </w:rPr>
        <w:t xml:space="preserve">Table 15. Cross-session (same-subject, different-day) accuracy per subject.</w:t>
      </w:r>
    </w:p>
    <w:p>
      <w:pPr>
        <w:spacing w:after="180" w:line="288"/>
        <w:jc w:val="both"/>
      </w:pPr>
      <w:r>
        <w:rPr>
          <w:rFonts w:ascii="Calibri" w:cs="Calibri" w:eastAsia="Calibri" w:hAnsi="Calibri"/>
          <w:sz w:val="22"/>
          <w:szCs w:val="22"/>
        </w:rPr>
        <w:t xml:space="preserve">Cross-session accuracy (56.75%) is dramatically higher than cross-subject LOSO accuracy (31-41% across all sweeps in Section 7), even though both involve training and testing on different recordings. This is strong evidence that inter-subject variability, not day-to-day session variability, is the dominant obstacle to generalization in this dataset — consistent with the subject-adaptation finding in Section 11 that even a small amount of target-subject-specific data produces a large accuracy jump.</w:t>
      </w:r>
    </w:p>
    <w:p>
      <w:pPr>
        <w:pStyle w:val="Heading1"/>
        <w:spacing w:after="140" w:before="320"/>
      </w:pPr>
      <w:r>
        <w:t xml:space="preserve">13. Discussion</w:t>
      </w:r>
    </w:p>
    <w:p>
      <w:pPr>
        <w:pStyle w:val="Heading2"/>
        <w:spacing w:after="100" w:before="220"/>
      </w:pPr>
      <w:r>
        <w:t xml:space="preserve">13.1 What Actually Moves the Needle</w:t>
      </w:r>
    </w:p>
    <w:p>
      <w:pPr>
        <w:spacing w:after="180" w:line="288"/>
        <w:jc w:val="both"/>
      </w:pPr>
      <w:r>
        <w:rPr>
          <w:rFonts w:ascii="Calibri" w:cs="Calibri" w:eastAsia="Calibri" w:hAnsi="Calibri"/>
          <w:sz w:val="22"/>
          <w:szCs w:val="22"/>
        </w:rPr>
        <w:t xml:space="preserve">Across every experiment in this report, one pattern is consistent: factors related to who the data comes from (single-subject vs. pooled, LOSO vs. cross-session, 0% vs. 20% target calibration data) produce large accuracy swings (25 to 55+ percentage points), while factors related to how the signal is processed (CSP components beyond 6, regularization method, frequency band, FBCSP vs. plain CSP, classical vs. deep learning) produce small ones (2-4 percentage points at most, often none). This strongly suggests that further gains in this project should prioritize subject-adaptation and personalization strategies over continued feature-engineering or model-architecture tuning.</w:t>
      </w:r>
    </w:p>
    <w:p>
      <w:pPr>
        <w:pStyle w:val="Heading2"/>
        <w:spacing w:after="100" w:before="220"/>
      </w:pPr>
      <w:r>
        <w:t xml:space="preserve">13.2 Single-Subject vs. Cross-Session vs. Cross-Subject</w:t>
      </w:r>
    </w:p>
    <w:p>
      <w:pPr>
        <w:spacing w:after="180" w:line="288"/>
        <w:jc w:val="both"/>
      </w:pPr>
      <w:r>
        <w:rPr>
          <w:rFonts w:ascii="Calibri" w:cs="Calibri" w:eastAsia="Calibri" w:hAnsi="Calibri"/>
          <w:sz w:val="22"/>
          <w:szCs w:val="22"/>
        </w:rPr>
        <w:t xml:space="preserve">The three evaluation protocols tested form a clear difficulty ordering: single-subject same-session (83.0%) &gt; single-subject cross-session (56.75% average, same subject, different day) &gt; pooled cross-subject LOSO (31-41% depending on configuration). CSP spatial filters are fit to the covariance structure of their training data, so they become tuned to the specific spatial and spectral characteristics of whoever they were trained on; day-to-day variability within one person is real but modest compared to the spatial/spectral differences between different people's brains and electrode placement.</w:t>
      </w:r>
    </w:p>
    <w:p>
      <w:pPr>
        <w:pStyle w:val="Heading2"/>
        <w:spacing w:after="100" w:before="220"/>
      </w:pPr>
      <w:r>
        <w:t xml:space="preserve">13.3 Why the Optimization Sweep Had Limited Effect</w:t>
      </w:r>
    </w:p>
    <w:p>
      <w:pPr>
        <w:spacing w:after="180" w:line="288"/>
        <w:jc w:val="both"/>
      </w:pPr>
      <w:r>
        <w:rPr>
          <w:rFonts w:ascii="Calibri" w:cs="Calibri" w:eastAsia="Calibri" w:hAnsi="Calibri"/>
          <w:sz w:val="22"/>
          <w:szCs w:val="22"/>
        </w:rPr>
        <w:t xml:space="preserve">Section 7's sweep of CSP components, classifier type, regularization, and frequency band shows the multi-subject LOSO ceiling sits around 38-41% regardless of these choices, with only the epoch time window (0-3s vs. 0-4s) producing a meaningful improvement. This suggests the bottleneck for cross-subject generalization is not signal processing detail but the fundamental mismatch between subjects' CSP-relevant statistics — a problem that hyperparameter tuning within a fixed method cannot solve.</w:t>
      </w:r>
    </w:p>
    <w:p>
      <w:pPr>
        <w:pStyle w:val="Heading2"/>
        <w:spacing w:after="100" w:before="220"/>
      </w:pPr>
      <w:r>
        <w:t xml:space="preserve">13.4 Classical vs. Deep Learning</w:t>
      </w:r>
    </w:p>
    <w:p>
      <w:pPr>
        <w:spacing w:after="180" w:line="288"/>
        <w:jc w:val="both"/>
      </w:pPr>
      <w:r>
        <w:rPr>
          <w:rFonts w:ascii="Calibri" w:cs="Calibri" w:eastAsia="Calibri" w:hAnsi="Calibri"/>
          <w:sz w:val="22"/>
          <w:szCs w:val="22"/>
        </w:rPr>
        <w:t xml:space="preserve">EEGNet (38.81%) did not outperform the best classical method (CSP+LDA, 38.31%) on this dataset. This is not surprising: EEGNet-style models typically require substantially more training data than is available here (roughly 2,300 trials per LOSO fold) to outperform hand-engineered features. This does not rule out deep learning for this project, but suggests it is not yet the most promising direction without a larger or augmented dataset.</w:t>
      </w:r>
    </w:p>
    <w:p>
      <w:pPr>
        <w:pStyle w:val="Heading2"/>
        <w:spacing w:after="100" w:before="220"/>
      </w:pPr>
      <w:r>
        <w:t xml:space="preserve">13.5 Limitations</w:t>
      </w:r>
    </w:p>
    <w:p>
      <w:pPr>
        <w:pStyle w:val="ListParagraph"/>
        <w:pStyle w:val="BulletBody"/>
        <w:numPr>
          <w:ilvl w:val="0"/>
          <w:numId w:val="1"/>
        </w:numPr>
        <w:spacing w:after="90" w:line="276"/>
      </w:pPr>
      <w:r>
        <w:t xml:space="preserve">Section 9's method-comparison cell (06_feature_extraction_comparison.ipynb) still prints outdated reference values for CSP+LDA and CSP+Normalization+LDA from before the data-integrity fix; the comparison in Table 11 above uses the corrected values instead.</w:t>
      </w:r>
    </w:p>
    <w:p>
      <w:pPr>
        <w:pStyle w:val="ListParagraph"/>
        <w:pStyle w:val="BulletBody"/>
        <w:numPr>
          <w:ilvl w:val="0"/>
          <w:numId w:val="1"/>
        </w:numPr>
        <w:spacing w:after="90" w:line="276"/>
      </w:pPr>
      <w:r>
        <w:t xml:space="preserve">The subject-adaptation protocol (Section 11) combines cross-session and partial cross-subject calibration in one experiment; a cleaner ablation would separately test same-session adaptation to isolate the two effects.</w:t>
      </w:r>
    </w:p>
    <w:p>
      <w:pPr>
        <w:pStyle w:val="ListParagraph"/>
        <w:pStyle w:val="BulletBody"/>
        <w:numPr>
          <w:ilvl w:val="0"/>
          <w:numId w:val="1"/>
        </w:numPr>
        <w:spacing w:after="90" w:line="276"/>
      </w:pPr>
      <w:r>
        <w:t xml:space="preserve">No dedicated artifact-correction step (e.g., ICA-based EOG correction) has been applied beyond outright removal of the EOG channels, in any notebook.</w:t>
      </w:r>
    </w:p>
    <w:p>
      <w:pPr>
        <w:pStyle w:val="ListParagraph"/>
        <w:pStyle w:val="BulletBody"/>
        <w:numPr>
          <w:ilvl w:val="0"/>
          <w:numId w:val="1"/>
        </w:numPr>
        <w:spacing w:after="90" w:line="276"/>
      </w:pPr>
      <w:r>
        <w:t xml:space="preserve">The command-mapping demonstration (Section 4.8) only shows that predictions map to command labels correctly in code; it does not constitute a real-time or hardware-connected control demonstration.</w:t>
      </w:r>
    </w:p>
    <w:p>
      <w:pPr>
        <w:pStyle w:val="Heading1"/>
        <w:spacing w:after="140" w:before="320"/>
      </w:pPr>
      <w:r>
        <w:t xml:space="preserve">14. Next Steps</w:t>
      </w:r>
    </w:p>
    <w:p>
      <w:pPr>
        <w:pStyle w:val="ListParagraph"/>
        <w:pStyle w:val="BulletBody"/>
        <w:numPr>
          <w:ilvl w:val="0"/>
          <w:numId w:val="1"/>
        </w:numPr>
        <w:spacing w:after="90" w:line="276"/>
      </w:pPr>
      <w:r>
        <w:t xml:space="preserve">Update the stale reference numbers in 06_feature_extraction_comparison.ipynb's comparison cell to reflect the corrected dataset.</w:t>
      </w:r>
    </w:p>
    <w:p>
      <w:pPr>
        <w:pStyle w:val="ListParagraph"/>
        <w:pStyle w:val="BulletBody"/>
        <w:numPr>
          <w:ilvl w:val="0"/>
          <w:numId w:val="1"/>
        </w:numPr>
        <w:spacing w:after="90" w:line="276"/>
      </w:pPr>
      <w:r>
        <w:t xml:space="preserve">Run a cleaner ablation isolating cross-session adaptation from cross-subject adaptation.</w:t>
      </w:r>
    </w:p>
    <w:p>
      <w:pPr>
        <w:pStyle w:val="ListParagraph"/>
        <w:pStyle w:val="BulletBody"/>
        <w:numPr>
          <w:ilvl w:val="0"/>
          <w:numId w:val="1"/>
        </w:numPr>
        <w:spacing w:after="90" w:line="276"/>
      </w:pPr>
      <w:r>
        <w:t xml:space="preserve">Test whether combining the two effective findings so far (0-3s epoch window and partial subject-adaptation) compounds their individual improvements.</w:t>
      </w:r>
    </w:p>
    <w:p>
      <w:pPr>
        <w:pStyle w:val="ListParagraph"/>
        <w:pStyle w:val="BulletBody"/>
        <w:numPr>
          <w:ilvl w:val="0"/>
          <w:numId w:val="1"/>
        </w:numPr>
        <w:spacing w:after="90" w:line="276"/>
      </w:pPr>
      <w:r>
        <w:t xml:space="preserve">Investigate the remaining large per-subject variability (e.g., A05, A02 consistently underperform across nearly every method) to determine whether it reflects genuine physiological differences or a further data-quality issue.</w:t>
      </w:r>
    </w:p>
    <w:p>
      <w:pPr>
        <w:pStyle w:val="ListParagraph"/>
        <w:pStyle w:val="BulletBody"/>
        <w:numPr>
          <w:ilvl w:val="0"/>
          <w:numId w:val="1"/>
        </w:numPr>
        <w:spacing w:after="90" w:line="276"/>
      </w:pPr>
      <w:r>
        <w:t xml:space="preserve">Explore subject-adaptive / transfer-learning approaches more deeply, given Section 11 shows this is the most promising direction found so far.</w:t>
      </w:r>
    </w:p>
    <w:p>
      <w:pPr>
        <w:pStyle w:val="ListParagraph"/>
        <w:pStyle w:val="BulletBody"/>
        <w:numPr>
          <w:ilvl w:val="0"/>
          <w:numId w:val="1"/>
        </w:numPr>
        <w:spacing w:after="90" w:line="276"/>
      </w:pPr>
      <w:r>
        <w:t xml:space="preserve">Extend the command-mapping demonstration toward an actual real-time / hardware-connected object-control prototype.</w:t>
      </w:r>
    </w:p>
    <w:p>
      <w:pPr>
        <w:pStyle w:val="ListParagraph"/>
        <w:pStyle w:val="BulletBody"/>
        <w:numPr>
          <w:ilvl w:val="0"/>
          <w:numId w:val="1"/>
        </w:numPr>
        <w:spacing w:after="90" w:line="276"/>
      </w:pPr>
      <w:r>
        <w:t xml:space="preserve">Consider whether EEGNet's relative performance improves with data augmentation, given its current parity with classical methods despite typically needing more data.</w:t>
      </w:r>
    </w:p>
    <w:p>
      <w:pPr>
        <w:pStyle w:val="Heading1"/>
        <w:spacing w:after="140" w:before="320"/>
      </w:pPr>
      <w:r>
        <w:t xml:space="preserve">15. Conclusion</w:t>
      </w:r>
    </w:p>
    <w:p>
      <w:pPr>
        <w:spacing w:after="180" w:line="288"/>
        <w:jc w:val="both"/>
      </w:pPr>
      <w:r>
        <w:rPr>
          <w:rFonts w:ascii="Calibri" w:cs="Calibri" w:eastAsia="Calibri" w:hAnsi="Calibri"/>
          <w:sz w:val="22"/>
          <w:szCs w:val="22"/>
        </w:rPr>
        <w:t xml:space="preserve">The single-subject pipeline remains this project's performance ceiling at 83.0% mean cross-validated accuracy (12 CSP components, linear SVM). A data-integrity issue affecting subject A04T's labels in the multi-subject dataset was identified through direct investigation, root-caused to a per-file event-code assumption in the loading pipeline, and fixed across all affected notebooks — confirmed by A04T's LOSO accuracy moving from below chance (17.4%) to at chance (25.0%).</w:t>
      </w:r>
    </w:p>
    <w:p>
      <w:pPr>
        <w:spacing w:after="180" w:line="288"/>
        <w:jc w:val="both"/>
      </w:pPr>
      <w:r>
        <w:rPr>
          <w:rFonts w:ascii="Calibri" w:cs="Calibri" w:eastAsia="Calibri" w:hAnsi="Calibri"/>
          <w:sz w:val="22"/>
          <w:szCs w:val="22"/>
        </w:rPr>
        <w:t xml:space="preserve">With the corrected dataset, a systematic sweep of CSP components, classifier type, regularization, frequency band, and epoch window shows multi-subject LOSO accuracy plateauing around 38-41%, with only the epoch time window producing a meaningful gain. Two independent, more promising directions emerged: cross-session evaluation shows day-to-day variability within one subject (56.75%) is far less damaging than cross-subject variability (31-41%), and subject adaptation shows that even 20% of a target subject's own data closes a meaningful fraction of that gap (58.30%, with reduced variance across subjects). Together these findings point clearly toward subject-adaptation and personalization strategies, rather than further feature-engineering or model tuning, as the most promising path to closing the remaining gap toward this project's long-term object-control goal.</w:t>
      </w:r>
    </w:p>
    <w:sectPr>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Body">
    <w:name w:val="Bullet Body"/>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2026-09-03T18:09:52.434Z</dcterms:created>
  <dcterms:modified xsi:type="dcterms:W3CDTF">2026-09-03T18:09:52.435Z</dcterms:modified>
</cp:coreProperties>
</file>

<file path=docProps/custom.xml><?xml version="1.0" encoding="utf-8"?>
<Properties xmlns="http://schemas.openxmlformats.org/officeDocument/2006/custom-properties" xmlns:vt="http://schemas.openxmlformats.org/officeDocument/2006/docPropsVTypes"/>
</file>