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Problem Statement and Methodology</w:t>
      </w:r>
    </w:p>
    <w:p>
      <w:pPr>
        <w:pStyle w:val="Subtitle"/>
        <w:spacing w:after="180"/>
      </w:pPr>
      <w:r>
        <w:t>FlowGuard network intrusion detection study</w:t>
      </w:r>
    </w:p>
    <w:p>
      <w:r>
        <w:t>This brief defines FlowGuard’s classification problem and summarizes how its feature and temporal experiments were prepared and evaluated. The study predicts one of seven known traffic labels from network-flow summaries; it is a research prototype for analysis, not a traffic-blocking system.</w:t>
      </w:r>
    </w:p>
    <w:p>
      <w:pPr>
        <w:pStyle w:val="Heading1"/>
      </w:pPr>
      <w:r>
        <w:t>Problem context</w:t>
      </w:r>
    </w:p>
    <w:p>
      <w:r>
        <w:t>Network monitoring produces many packet records, while an analyst often needs a compact view of communication behavior. A bidirectional flow groups related packets and summarizes duration, packet counts and lengths, rates, inter-arrival timing, and TCP flags. These statistics can support classification without feeding packet payloads to the model. However, benign and attack traffic can have overlapping summaries, class frequencies can be uneven, and rare categories may have too few examples for stable evaluation.</w:t>
      </w:r>
    </w:p>
    <w:p>
      <w:pPr>
        <w:pStyle w:val="Heading1"/>
      </w:pPr>
      <w:r>
        <w:t>Problem statement</w:t>
      </w:r>
    </w:p>
    <w:p>
      <w:r>
        <w:t>Given a completed flow represented by 24 numeric statistics, the system must assign it to one of the labels Benign, DoS, DDoS, Botnet, Port Scan, Brute Force, or Infiltration. The central research problem is whether a Transformer that models relationships among flow-feature tokens can provide useful multi-class predictions, and how its measured performance compares with standard machine-learning and neural baselines on the same held-out feature split. A separate experiment asks whether ordered context from nearby flows can inform prediction of a later flow.</w:t>
      </w:r>
    </w:p>
    <w:p>
      <w:pPr>
        <w:pStyle w:val="Heading1"/>
      </w:pPr>
      <w:r>
        <w:t>Objectives and research questions</w:t>
      </w:r>
    </w:p>
    <w:p>
      <w:pPr>
        <w:pStyle w:val="ListBullet"/>
        <w:spacing w:after="40" w:line="245" w:lineRule="auto"/>
        <w:ind w:left="403" w:hanging="230"/>
      </w:pPr>
      <w:r>
        <w:t>Build a reproducible supervised feature-classification pipeline with explicit data checks, saved preprocessing, checkpoints, and a local dashboard.</w:t>
      </w:r>
    </w:p>
    <w:p>
      <w:pPr>
        <w:pStyle w:val="ListBullet"/>
        <w:spacing w:after="40" w:line="245" w:lineRule="auto"/>
        <w:ind w:left="403" w:hanging="230"/>
      </w:pPr>
      <w:r>
        <w:t>Compare the feature-token Transformer with Logistic Regression, Random Forest, MLP, CNN, LSTM, and GRU under a shared split and feature schema.</w:t>
      </w:r>
    </w:p>
    <w:p>
      <w:pPr>
        <w:pStyle w:val="ListBullet"/>
        <w:spacing w:after="40" w:line="245" w:lineRule="auto"/>
        <w:ind w:left="403" w:hanging="230"/>
      </w:pPr>
      <w:r>
        <w:t>Evaluate a separate causal temporal model on non-overlapping chronological windows, and report its support and task definition alongside its scores.</w:t>
      </w:r>
    </w:p>
    <w:p>
      <w:pPr>
        <w:pStyle w:val="ListBullet"/>
        <w:spacing w:after="40" w:line="245" w:lineRule="auto"/>
        <w:ind w:left="403" w:hanging="230"/>
      </w:pPr>
      <w:r>
        <w:t>Measure class-balanced performance and benign false alarms, then state what the sample sizes and split design do and do not establish.</w:t>
      </w:r>
    </w:p>
    <w:p>
      <w:pPr>
        <w:pStyle w:val="Heading1"/>
      </w:pPr>
      <w:r>
        <w:t>Scope and intended use</w:t>
      </w:r>
    </w:p>
    <w:p>
      <w:r>
        <w:t>CIC-IDS2017 is the selected dataset for the reported experiments; other datasets named in the original project brief are alternatives, not completed evaluations. Predictions are intended to support inspection of known classes. The project does not establish zero-day detection, production readiness, or generalization to an unseen organization. Packet replay is included, but physical interface capture and parity between the custom extractor and the training feature definition remain to be validated.</w:t>
      </w:r>
    </w:p>
    <w:p>
      <w:r>
        <w:br w:type="page"/>
      </w:r>
    </w:p>
    <w:p>
      <w:pPr>
        <w:pStyle w:val="Heading1"/>
      </w:pPr>
      <w:r>
        <w:t>Methodology</w:t>
      </w:r>
    </w:p>
    <w:p>
      <w:pPr>
        <w:pStyle w:val="Heading2"/>
      </w:pPr>
      <w:r>
        <w:t>Data source and label construction</w:t>
      </w:r>
    </w:p>
    <w:p>
      <w:r>
        <w:t>The feature pipeline audited 2,130,459 rows across six pinned CIC-IDS2017 mirror CSV files. A separate contextual source contains 2,827,677 rows. Source revisions and checksums are recorded in project provenance; the mirrors were not independently byte-verified against the original UNB files. The extended feature benchmark uses a selected sample of 12,071 unique vectors across seven labels. DoS subtypes are grouped as DoS, Bot is named Botnet, PortScan is named Port Scan, and FTP-Patator/SSH-Patator are grouped as Brute Force. Unsupported labels are excluded rather than relabeled as benign.</w:t>
      </w:r>
    </w:p>
    <w:p>
      <w:r>
        <w:t>Before splitting, the preparation script audits source files and labels, removes duplicate selected-feature vectors, and removes conflicting labels attached to an identical selected-feature vector. Class sampling changes the original traffic prevalence, so benchmark class frequencies should not be interpreted as deployment prevalence. Infiltration is especially scarce: 34 selected vectors produce 24 training, five validation, and five test examples.</w:t>
      </w:r>
    </w:p>
    <w:p>
      <w:pPr>
        <w:pStyle w:val="Heading2"/>
      </w:pPr>
      <w:r>
        <w:t>Feature representation</w:t>
      </w:r>
    </w:p>
    <w:p>
      <w:r>
        <w:t>The core classifier receives 24 numeric statistics describing flow duration, packet totals and lengths, byte/packet rates, timing, and TCP-flag counts. Labels and unsupported columns are not prediction inputs. Context experiments use a separate 32-number schema with ports, protocol, endpoint-derived indicators, and a flag-derived connection-state proxy. Deterministic IP hash buckets can collide and can encode dataset-specific topology; they are experimental context rather than a universal network identity.</w:t>
      </w:r>
    </w:p>
    <w:p>
      <w:pPr>
        <w:pStyle w:val="Heading2"/>
      </w:pPr>
      <w:r>
        <w:t>Preprocessing and feature split</w:t>
      </w:r>
    </w:p>
    <w:p>
      <w:r>
        <w:t>After deduplication and sampling, the feature benchmark is divided into stratified 70/15/15 training, validation, and test partitions. The resulting counts are 8,449 training flows, 1,811 validation flows, and 1,811 test flows. Median imputation, signed log transformation, and standardization are fit using training rows only, then applied unchanged to validation and test rows. Validation macro-F1 selects neural checkpoints; the held-out test partition is reserved for final reporting.</w:t>
      </w:r>
    </w:p>
    <w:p>
      <w:pPr>
        <w:pStyle w:val="Heading2"/>
      </w:pPr>
      <w:r>
        <w:t>Separate chronological protocol</w:t>
      </w:r>
    </w:p>
    <w:p>
      <w:r>
        <w:t>For temporal experiments, source/day traffic is grouped into activity episodes using a 300-second idle gap. Episodes are partitioned chronologically into 70/15/15 blocks. Eight-flow windows are non-overlapping and stay within their source, day, episode, and partition; the target is the final flow in each window. The source clock lacks AM/PM, so the project applies a documented working-day correction that adds 12 hours to timestamps from 01:00 through 07:00. This assumption affects temporal ordering and remains a validity limitation.</w:t>
      </w:r>
    </w:p>
    <w:p>
      <w:r>
        <w:br w:type="page"/>
      </w:r>
    </w:p>
    <w:p>
      <w:pPr>
        <w:pStyle w:val="Heading1"/>
      </w:pPr>
      <w:r>
        <w:t>Models and experimental procedure</w:t>
      </w:r>
    </w:p>
    <w:p>
      <w:pPr>
        <w:pStyle w:val="Heading2"/>
      </w:pPr>
      <w:r>
        <w:t>Feature benchmark</w:t>
      </w:r>
    </w:p>
    <w:p>
      <w:r>
        <w:t>Each input statistic becomes a value token with a learned feature identity. A classification token (CLS) summarizes the token sequence. The feature Transformer uses two encoder layers, four attention heads, a hidden dimension of 32, and a seven-class output head. It attends across features within one flow; it does not represent the order of separate flows. Six baselines use the same 24 features and split: Logistic Regression, Random Forest, MLP, CNN, LSTM, and GRU. The recurrent baselines traverse the fixed feature order and are not temporal traffic models.</w:t>
      </w:r>
    </w:p>
    <w:p>
      <w:r>
        <w:t>Neural baseline training uses AdamW with a learning rate of 0.001, weighted cross-entropy, batch size 256, gradient clipping at 1, and up to 18 epochs. Validation macro-F1 determines checkpoint selection. Each model uses one declared configuration and seed; results form a controlled comparison on this sample, not an exhaustive tuning or multi-seed study.</w:t>
      </w:r>
    </w:p>
    <w:p>
      <w:pPr>
        <w:pStyle w:val="Heading2"/>
      </w:pPr>
      <w:r>
        <w:t>Evaluation measures</w:t>
      </w:r>
    </w:p>
    <w:p>
      <w:r>
        <w:t>The report includes accuracy, macro-F1, per-class precision/recall/F1, confusion matrices, and benign false-positive rate. Accuracy summarizes all rows and may be influenced by common classes. Macro-F1 averages class F1 scores equally, which makes rare classes visible but does not compensate for weak support. On the fixed seven-class feature test, Random Forest achieved macro-F1 0.9588 and accuracy 99.23%; the feature Transformer achieved macro-F1 0.9409 and accuracy 97.02%. Thus the Transformer was not the measured winner in this run. Its Infiltration recall was 0.60 (three of five test examples), an unstable estimate because the denominator is five.</w:t>
      </w:r>
    </w:p>
    <w:p>
      <w:pPr>
        <w:pStyle w:val="Heading2"/>
      </w:pPr>
      <w:r>
        <w:t>Temporal and context experiments</w:t>
      </w:r>
    </w:p>
    <w:p>
      <w:r>
        <w:t>The Temporal Transformer predicts window endpoints, not individual rows from the feature benchmark. It scored 93.88% accuracy and 0.8003 seven-label macro-F1 on 196 endpoints. That test contained no Infiltration endpoint and only six Benign endpoints, so the score is not directly comparable with the feature benchmark. Context encoders, a flow-grid ViT, and a shared-endpoint graph model use additional inputs and distinct protocols; their results are reported as separate experiments, not as one controlled ranking with the core feature models.</w:t>
      </w:r>
    </w:p>
    <w:p>
      <w:pPr>
        <w:pStyle w:val="Heading2"/>
      </w:pPr>
      <w:r>
        <w:t>Validity limits</w:t>
      </w:r>
    </w:p>
    <w:p>
      <w:r>
        <w:t>A random stratified split can leave related hosts or campaigns in multiple partitions. The temporal protocol preserves order within selected episodes, but sampling omits intervening flows and the timestamp correction is heuristic. The custom packet extractor has not been shown equivalent to CICFlowMeter; Npcap-based physical capture was not verified on the prepared computer. Synthetic replay demonstrates pipeline operation, not attack-detection accuracy or production throughput. These limits motivate more rare-class sequences, host/campaign holdouts, repeated seeds, external datasets, extraction-parity checks, and target-network false-alert measurements.</w:t>
      </w:r>
    </w:p>
    <w:p>
      <w:pPr>
        <w:pStyle w:val="Heading1"/>
      </w:pPr>
      <w:r>
        <w:t>References</w:t>
      </w:r>
    </w:p>
    <w:p>
      <w:pPr>
        <w:spacing w:after="40"/>
      </w:pPr>
      <w:r>
        <w:t>[1] Sharafaldin, Lashkari, and Ghorbani (2018). Toward Generating a New Intrusion Detection Dataset and Intrusion Traffic Characterization. CIC-IDS2017.</w:t>
      </w:r>
    </w:p>
    <w:p>
      <w:pPr>
        <w:spacing w:after="40"/>
      </w:pPr>
      <w:r>
        <w:t>[2] Vaswani et al. (2017). Attention Is All You Need.</w:t>
      </w:r>
    </w:p>
    <w:p>
      <w:pPr>
        <w:spacing w:after="40"/>
      </w:pPr>
      <w:r>
        <w:t>[3] FlowGuard project report, data provenance, model artifacts, and result files supplied with the project.</w:t>
      </w:r>
    </w:p>
    <w:sectPr w:rsidR="00FC693F" w:rsidRPr="0006063C" w:rsidSect="00034616">
      <w:headerReference w:type="default" r:id="rId9"/>
      <w:footerReference w:type="default" r:id="rId10"/>
      <w:pgSz w:w="12240" w:h="15840"/>
      <w:pgMar w:top="965"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00000"/>
        <w:sz w:val="16"/>
      </w:rPr>
      <w:t xml:space="preserve">Project brief  •  29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FLOWGUARD  |  PROJECT METHODS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 and Methodology</dc:title>
  <dc:subject>FlowGuard network intrusion detection study</dc:subject>
  <dc:creator>FlowGuard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