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0"/>
          <w:szCs w:val="40"/>
        </w:rPr>
        <w:t xml:space="preserve">LayerForge v9 — Appendix</w:t>
      </w:r>
    </w:p>
    <w:p>
      <w:pPr>
        <w:spacing w:after="360"/>
        <w:jc w:val="center"/>
      </w:pPr>
      <w:r>
        <w:rPr>
          <w:i/>
          <w:iCs/>
          <w:sz w:val="24"/>
          <w:szCs w:val="24"/>
        </w:rPr>
        <w:t xml:space="preserve">Dataset Catalog, Verification Records, Parameter Ablation, and Pareto Plots</w:t>
      </w:r>
    </w:p>
    <w:p>
      <w:pPr>
        <w:spacing w:after="480"/>
        <w:jc w:val="center"/>
      </w:pPr>
      <w:r>
        <w:rPr>
          <w:sz w:val="20"/>
          <w:szCs w:val="20"/>
        </w:rPr>
        <w:t xml:space="preserve">chai  ·  2026-05-17  ·  Companion to layerforge_v9_main.pdf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Appendix A. Dataset Catalog</w:t>
      </w:r>
    </w:p>
    <w:p>
      <w:pPr>
        <w:spacing w:after="120"/>
        <w:jc w:val="both"/>
      </w:pPr>
      <w:r>
        <w:rPr>
          <w:sz w:val="22"/>
          <w:szCs w:val="22"/>
        </w:rPr>
        <w:t xml:space="preserve">All datasets used in v9 verifications, with language, domain, N range, source, and licensing notes. Datasets are read-only mounted at C:/work/dataset-vault/readonly/ for verification reproducibility.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2000"/>
        <w:gridCol w:w="1400"/>
        <w:gridCol w:w="10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Dataset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Domain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 used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 (allenai/WildChat)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multi-turn dialogue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 (1-5k)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3-100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HuggingFace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ShareGPT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multi-turn dialogue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3-10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ShareGPT_V3_unfiltered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LongBench hotpotqa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multi-hop QA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long (50-100k)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5-100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LongBench v1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loogle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long single-doc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long (10k+)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loogle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CNN/DailyMail v3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news summary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HuggingFace cnn_dailymail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livedoor news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JA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news 9 categories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 (1-2k)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9-27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livedoor-news-corpus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jmultiwoz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JA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dialogue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short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jmultiwoz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jawiki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JA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wiki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long (10k+)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 synthetic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jawiki_singletongue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Aozora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JA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literature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long (10k+)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aozorabunko_clean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BSD parallel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EN/JA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dialogue parallel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short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 each path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bsd_ja_en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meetingbank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meeting transcript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mid-long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meetingbank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mt_bench_101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dialogue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short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mt_bench_101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polbooks (Newman)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graph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community K=3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105 nodes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newman_adjnoun benchmark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football (Newman)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graph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community K=12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115 nodes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newman benchmark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Table A1. Dataset catalog (14 entries).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A.1 Sampling Protocols</w:t>
      </w:r>
    </w:p>
    <w:p>
      <w:pPr>
        <w:spacing w:after="120"/>
        <w:jc w:val="both"/>
      </w:pPr>
      <w:r>
        <w:rPr>
          <w:sz w:val="22"/>
          <w:szCs w:val="22"/>
        </w:rPr>
        <w:t xml:space="preserve">Sampling protocols vary by verification: deterministic head (V-018, V-021-042 hotpotqa), stratified by category (V-013-014 livedoor 9 cat), random with seed (V-005 claim1 robustness), synthetic grouped (V-017 jawiki 200-sentence units due to sentence-level original structure). Sampling protocol is recorded per V-ID in Appendix B.</w:t>
      </w:r>
    </w:p>
    <w:p>
      <w:r>
        <w:br w:type="page"/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Appendix B. Verification Record Summary</w:t>
      </w:r>
    </w:p>
    <w:p>
      <w:pPr>
        <w:spacing w:after="120"/>
        <w:jc w:val="both"/>
      </w:pPr>
      <w:r>
        <w:rPr>
          <w:sz w:val="22"/>
          <w:szCs w:val="22"/>
        </w:rPr>
        <w:t xml:space="preserve">Complete verification record list (47+ entries). Each row shows V-ID, dataset, N, verdict, extrapolation boundary, and commit hash for traceability. Full §1-§8 records are in docs/verifications/*.md.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1100"/>
        <w:gridCol w:w="3500"/>
        <w:gridCol w:w="960"/>
      </w:tblGrid>
      <w:tr>
        <w:trPr>
          <w:tblHeader/>
        </w:trP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V-ID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Dataset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Verdict (key metric)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Commit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V-001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 (Phase 2b entry)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962/50K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PASS dataset feasibility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(retro)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V-002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PASS pipeline shape (F1 cosine 0.538)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(retro)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V-003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 (step_a)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format artifact confirmed (F4 0.823 &gt; F1 0.538)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(retro)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V-004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 (claim1)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formal PASS reduction 93.00% mean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76a8bda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V-005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 (robustness)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3-axis PASS (random/survivorship/length)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a13ce3f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V-006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 (claim2 F3)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FAIL (refusal 33.3%, specific divergent)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36ced95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V-007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 (claim2 F4 hybrid)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strong PASS (refusal 0/6, cosine 0.939)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f95010f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V-008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polbooks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105 nodes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AMBIGUOUS (ARI 0.6140, K=6 over-seg)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d88804f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V-009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football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115 nodes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K-FAIL but ARI 0.8549 high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991671e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V-010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mt_bench_101 + jmultiwoz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 each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MIXED (mt PASS 77% / jmulti FAIL 16%)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3e68346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V-011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loogle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scope-FIT extreme 99% + caveat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13d01a9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V-012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meetingbank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intermediate + length sensitivity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af98808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V-013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livedoor (JA default)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9 stratified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near-zero 2.5% chars (JA + default mismatch)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bb976c7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V-014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livedoor (JA + MeCab)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9 stratified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improvement-LARGE Δ +83.89 pp (86.40%)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fb51faf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V-015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jmultiwoz + MeCab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improvement-LARGE Δ +59.46 pp (75.48%)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fb182fb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V-016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14 dataset length regression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8 dataset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v7 partial confirm (R²=0.54, p=0.023)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79b5cce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V-017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jawiki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 synthetic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v7-fit INTERMEDIATE 93.65% + sigmoid hint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ffb5597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V-018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ShareGPT + LongBench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3+5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WildChat-confirm + loogle-confirm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b341cc5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V-019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Aozora + BSD parallel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 + 5×3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ceiling 99.29% + MeCab&gt;EN asymmetry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547f7aa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V-020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ShareGPT + hotpotqa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3+5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LayerForge-COMPETITIVE vs LDA/NMF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1dee6cd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Table B1. Verification records V-001 through V-020 (Phase 2a + 2b base).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800"/>
        <w:gridCol w:w="3400"/>
        <w:gridCol w:w="860"/>
      </w:tblGrid>
      <w:tr>
        <w:trPr>
          <w:tblHeader/>
        </w:trP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V-ID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Dataset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Verdict (key metric)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Commit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V-021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(factual recall)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PRESERVE-FAIL substring 10%, tok 18%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09d44bc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V-022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livedoor (ROUGE-L)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RETENTION-FAIL R-L 0.074, delta +0.113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5e0f21a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V-023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attribute breakdown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 retro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ATTR-TYPE-UNIFORM-FAIL + CONTEXT-DOMINANT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e51a847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V-024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F3 downstream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REFUSAL-CONSTITUTIVE 5/5 (V-006 N=5 stronger)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c5a53d4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V-024-bis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F4 hybrid downstream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REFUSAL-AVOIDED + ACCURACY-WEAK 0/5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ea86ac4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V-025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 retro BERTScore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roberta 0.927 HIGH / mbert 0.838 MID-HIGH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d3c678b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V-026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ShareGPT+hotpotqa topic coherence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LF-COMPETITIVE NPMI + UMass best 6/6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79bff78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V-027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tokenizer ext ablation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NEGATIVE (driver-level fix fails)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bbe1b89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V-029-a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cost+latency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Cost PASS 99%/84%, Latency FAIL -3.6%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59bb20a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V-029-b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livedoor cross-doc overlap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27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DISCRIMINATIVE-STRONG ratio 1.31x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783327b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V-029-c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ShareGPT theme baton-pass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BATON-PASS-STRONG ratio 1.99x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7cebd7b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V-029-d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livedoor title BERTScore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27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TRIAGE-PROXY-RELATIVE delta 0.046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76e1752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V-029-f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CNN/DM ROUGE+BERTScore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SEMANTIC-PASS + LEXICAL relative SUPERIOR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0bf849d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V-031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polbooks+football γ sweep (retro)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7 values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best γ dataset-dependent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(retro)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V-032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embedding (N=5)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marginal Δ +0.067 MiniLM direction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0200f91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V-032-bis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embedding (N=30)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30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MPNET-SUPERIOR (direction reversed)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1cc5c90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V-033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multi-seed (5 seed)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5×5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ROBUST-STRONG stdev 0.0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43e2539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V-034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community method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5×2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fact metric invariant (newman vs cpm)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0200f91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V-035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K=4±1 vs K_free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5×2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fact metric invariant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0200f91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V-036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K-means baseline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K-means SUPERIOR Δ +0.067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0200f91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V-037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MAX_NODES sweep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5×4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INVARIANT (25/50/100/200)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0200f91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V-024-tri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TOP_MEMBERS sweep (5→20)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2×4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NO-IMPROVEMENT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0200f91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V-024-quad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SNIPPET sweep (120→480)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2×4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PARTIAL-IMPROVEMENT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0200f91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V-040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Pareto plots (38 evidence)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 plots, 5 intersections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31c5f51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V-041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core spec post-process variation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redundant overlap + cost reduction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0200f91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V-042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ensemble N=5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ENSEMBLE-EQUAL-OR-MARGINAL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94527bb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V-042-bis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ensemble N=30 (hotpotqa)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30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ENSEMBLE-PARTIAL-IMPROVEMENT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1cc5c90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V-042-tri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ensemble N=100 (hotpotqa)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ENSEMBLE-SIGNIFICANT (p=2.7e-05)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d009367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V-042-quad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ensemble livedoor cross-corpus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27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ENSEMBLE-HIGHLY-SIGNIFICANT (p=1.3e-10)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d009367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cross-corpus (V-027/037/033)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livedoor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V-037/033 direction-consistent confirmed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8d792fe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Table B2. Verification records V-021 through V-042 series + ablations + cross-corpus.</w:t>
      </w:r>
    </w:p>
    <w:p>
      <w:r>
        <w:br w:type="page"/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Appendix C. Parameter Ablation Full Details</w:t>
      </w:r>
    </w:p>
    <w:p>
      <w:pPr>
        <w:spacing w:after="120"/>
        <w:jc w:val="both"/>
      </w:pPr>
      <w:r>
        <w:rPr>
          <w:sz w:val="22"/>
          <w:szCs w:val="22"/>
        </w:rPr>
        <w:t xml:space="preserve">All 14 parameter ablations with verdict, current value preservation status, and improvement path. Baseline snapshot v1 is preserved unchanged (no IMPROVEMENT-LARGE threshold reached).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300"/>
        <w:gridCol w:w="2000"/>
        <w:gridCol w:w="126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Current value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Ablation tested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Verdict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CPM algorithm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CPM-Louvain (MIT)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leidenalg excluded (GPLv3)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v8.1 confirmed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CPM γ (resolution)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default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Sweep 0.01-1.0 (V-031 retro)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dataset-dependent best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default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mpnet (multilingual)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vs MiniLM-L6 (V-032/V-032-bis N=30)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MPNET SUPERIOR Δ-0.058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mpnet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MeCab tokenizer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fugashi + unidic-lite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vs Janome/Sudachi (literature)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JA standard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MeCab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ASCII tokenizer pattern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[a-zA-Z]+ 3+ chars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+ [0-9]+ (V-027)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NEGATIVE (digit drop internal)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+ core-spec future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random_seed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42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 seeds variance (V-033)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ROBUST-STRONG stdev 0.0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42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 cognitive constraint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4±1 (Miller/Cowan)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vs K_free (3,10) (V-035)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fact metric invariant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4±1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scale_finder algorithm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LayerForge spec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vs K-means baseline (V-036)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LF-INFERIOR direction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Hybrid path 2 (V-042)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F3/F4 hybrid render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F4 default (ADR-024)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V-003/006/007/024/024-bis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F4 production-viable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F4 default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TOP_MEMBERS_PER_LAYER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vs 20 (V-024-tri)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NO-IMPROVEMENT redundant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5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SNIPPET_CHARS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vs 480 (V-024-quad)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PARTIAL-IMPROVEMENT (partial recover)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120 (240/480 candidate)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MAX_NODES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50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25/100/200 (V-037)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INVARIANT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50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representation_summary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ctfidf top-K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post-process truncation (V-041)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cost reduction OK, fact invariant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token_representations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LayerForge spec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alone vs union (V-041)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redundant overlap with rep_summary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bridge_nodes selection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prepare_render_data path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decompose.run absence verified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spec consistent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Phase 2 thresholds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ADR-019 spec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V-024-tri/quad subset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driver-level confirmed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Table C. Parameter ablation full details (16 entries: 14 ablation + 2 articulation correction). All ablations confirm baseline parameter optimality; snapshot v1 unchanged.</w:t>
      </w:r>
    </w:p>
    <w:p>
      <w:r>
        <w:br w:type="page"/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Appendix D. Full Pareto Plot Set (V-040)</w:t>
      </w:r>
    </w:p>
    <w:p>
      <w:pPr>
        <w:spacing w:after="120"/>
        <w:jc w:val="both"/>
      </w:pPr>
      <w:r>
        <w:rPr>
          <w:sz w:val="22"/>
          <w:szCs w:val="22"/>
        </w:rPr>
        <w:t xml:space="preserve">Complete set of 5 Pareto plots from V-040 (commit 31c5f51). Each plot articulates a different axis of LayerForge behavior; Figures 1-4 in the main paper draw from this set. Plot 2 (reduction × fact-level fidelity) visualizes the quintuple-FAIL region across all measured points.</w:t>
      </w:r>
    </w:p>
    <w:p>
      <w:pPr>
        <w:spacing w:after="60" w:before="240"/>
        <w:jc w:val="center"/>
      </w:pPr>
      <w:r>
        <w:drawing>
          <wp:inline distT="0" distB="0" distL="0" distR="0">
            <wp:extent cx="5143500" cy="3600450"/>
            <wp:effectExtent t="0" r="0" b="0" l="0"/>
            <wp:docPr id="1" name="v040_plot1_reduction_vs_theme_fidelity.png" descr="Plot 1. Reduction × theme-level fidelity Pareto frontier (= main paper Figure 3)." title="Plot 1. Reduction × theme-level fidelity Pareto frontier (= main paper Figure 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Plot 1. Reduction × theme-level fidelity Pareto frontier (= main paper Figure 3).</w:t>
      </w:r>
    </w:p>
    <w:p>
      <w:pPr>
        <w:spacing w:after="60" w:before="240"/>
        <w:jc w:val="center"/>
      </w:pPr>
      <w:r>
        <w:drawing>
          <wp:inline distT="0" distB="0" distL="0" distR="0">
            <wp:extent cx="5143500" cy="3600450"/>
            <wp:effectExtent t="0" r="0" b="0" l="0"/>
            <wp:docPr id="1" name="v040_plot2_reduction_vs_fact_fidelity.png" descr="Plot 2. Reduction × fact-level fidelity. All measured points cluster in PRESERVE-FAIL region (≤0.30 threshold), visualizing the quintuple-FAIL constitutive limit." title="Plot 2. Reduction × fact-level fidelity. All measured points cluster in PRESERVE-FAIL region (≤0.30 threshold), visualizing the quintuple-FAIL constitutive lim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Plot 2. Reduction × fact-level fidelity. All measured points cluster in PRESERVE-FAIL region (≤0.30 threshold), visualizing the quintuple-FAIL constitutive limit.</w:t>
      </w:r>
    </w:p>
    <w:p>
      <w:pPr>
        <w:spacing w:after="60" w:before="240"/>
        <w:jc w:val="center"/>
      </w:pPr>
      <w:r>
        <w:drawing>
          <wp:inline distT="0" distB="0" distL="0" distR="0">
            <wp:extent cx="5143500" cy="3600450"/>
            <wp:effectExtent t="0" r="0" b="0" l="0"/>
            <wp:docPr id="1" name="v040_plot3_theme_vs_fact.png" descr="Plot 3. Theme × fact two-layer structure (= main paper Figure 1). LayerForge variants in lower-right quadrant (theme PASS / fact FAIL)." title="Plot 3. Theme × fact two-layer structure (= main paper Figure 1). LayerForge variants in lower-right quadrant (theme PASS / fact FAI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Plot 3. Theme × fact two-layer structure (= main paper Figure 1). LayerForge variants in lower-right quadrant (theme PASS / fact FAIL).</w:t>
      </w:r>
    </w:p>
    <w:p>
      <w:pPr>
        <w:spacing w:after="60" w:before="240"/>
        <w:jc w:val="center"/>
      </w:pPr>
      <w:r>
        <w:drawing>
          <wp:inline distT="0" distB="0" distL="0" distR="0">
            <wp:extent cx="5143500" cy="3000375"/>
            <wp:effectExtent t="0" r="0" b="0" l="0"/>
            <wp:docPr id="1" name="v040_plot4_reduction_landscape.png" descr="Plot 4. Reduction landscape across 14 datasets (= main paper Figure 2). Colored by language × tokenization." title="Plot 4. Reduction landscape across 14 datasets (= main paper Figure 2). Colored by language × tokeniz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Plot 4. Reduction landscape across 14 datasets (= main paper Figure 2). Colored by language × tokenization.</w:t>
      </w:r>
    </w:p>
    <w:p>
      <w:pPr>
        <w:spacing w:after="60" w:before="240"/>
        <w:jc w:val="center"/>
      </w:pPr>
      <w:r>
        <w:drawing>
          <wp:inline distT="0" distB="0" distL="0" distR="0">
            <wp:extent cx="5143500" cy="3600450"/>
            <wp:effectExtent t="0" r="0" b="0" l="0"/>
            <wp:docPr id="1" name="v040_plot5_cost_vs_accuracy.png" descr="Plot 5. Cost × downstream LLM accuracy (= main paper Figure 4). F4 hybrid + RAG hypothesis intersection marked." title="Plot 5. Cost × downstream LLM accuracy (= main paper Figure 4). F4 hybrid + RAG hypothesis intersection mark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Plot 5. Cost × downstream LLM accuracy (= main paper Figure 4). F4 hybrid + RAG hypothesis intersection marked.</w:t>
      </w:r>
    </w:p>
    <w:p>
      <w:r>
        <w:br w:type="page"/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Appendix E. Future Work — Full 15-item Roadmap</w:t>
      </w:r>
    </w:p>
    <w:p>
      <w:pPr>
        <w:spacing w:after="120"/>
        <w:jc w:val="both"/>
      </w:pPr>
      <w:r>
        <w:rPr>
          <w:sz w:val="22"/>
          <w:szCs w:val="22"/>
        </w:rPr>
        <w:t xml:space="preserve">Items marked AI-decidable can proceed without architectural triggers. Sovereign-trigger items await architectural and scope decisions.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4400"/>
        <w:gridCol w:w="1000"/>
        <w:gridCol w:w="1660"/>
      </w:tblGrid>
      <w:tr>
        <w:trPr>
          <w:tblHeader/>
        </w:trP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Axis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Cost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V-101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Verification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Pattern-probe accuracy formal measurement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中-大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 判断可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V-102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Verification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Cross-domain generalization (law, medical)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 判断可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V-103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Verification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Direction reversal root cause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 判断可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V-104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Verification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Existing-record probe-perspective reframe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小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 判断可 (top priority)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I-101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Implementation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Probe API (layerforge.probe.profile)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 判断可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I-102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Implementation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Routing primitive (pattern → algorithm)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中-大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sovereign (architectural)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I-103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Implementation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Output interpretation layer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 判断可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I-104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Implementation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Probe driver isolation from core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sovereign (v8.1 integrity)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G-101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Integration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Claude Code skill packaging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小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 判断可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G-102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Integration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LangChain / LlamaIndex plugin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sovereign (footprint)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G-103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Integration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LLM API wrapper (probe + routing)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 判断可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G-104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Integration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KDF + LayerForge integration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中-大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sovereign (two-tool)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E-101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Effective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Cost / latency improvement measurement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 判断可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E-102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Effective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Accuracy preservation confirmation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 判断可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E-103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Effective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Real-world deployment pilot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大、長期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sovereign (deployment)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Table E. Future work 15 items with priority and decision boundary.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Items Not Pursued</w:t>
      </w:r>
    </w:p>
    <w:p>
      <w:pPr>
        <w:spacing w:after="120"/>
        <w:jc w:val="both"/>
      </w:pPr>
      <w:r>
        <w:rPr>
          <w:sz w:val="22"/>
          <w:szCs w:val="22"/>
        </w:rPr>
        <w:t xml:space="preserve">G-102 (LangChain plugin): personal-OS scope over-engineering, deferred until consulting trigger. E-103 (real deployment): personal-OS scope is already pilot-equivalent (Claude Code daily operation), separate deployment not required.</w:t>
      </w:r>
    </w:p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LayerForge v9 Appendix —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7c7256dadba3799fc47f9bef9090396d432550c.png"/><Relationship Id="rId9" Type="http://schemas.openxmlformats.org/officeDocument/2006/relationships/image" Target="media/6bc523982152bf011d0e29ccfebec4ab02d95b6e.png"/><Relationship Id="rId10" Type="http://schemas.openxmlformats.org/officeDocument/2006/relationships/image" Target="media/654ebe44babc2a41603a1b61fb88686093905526.png"/><Relationship Id="rId11" Type="http://schemas.openxmlformats.org/officeDocument/2006/relationships/image" Target="media/9434d36fb9eb4fe28a9f9042003ac70655cf67c2.png"/><Relationship Id="rId12" Type="http://schemas.openxmlformats.org/officeDocument/2006/relationships/image" Target="media/2c323e55623815747209595a8098c50329fbba9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2026-05-17T05:25:23.390Z</dcterms:created>
  <dcterms:modified xsi:type="dcterms:W3CDTF">2026-05-17T05:25:23.391Z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