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LayerForge v9: Phase 2b Verification Update</w:t>
      </w:r>
    </w:p>
    <w:p>
      <w:pPr>
        <w:spacing w:after="360"/>
        <w:jc w:val="center"/>
      </w:pPr>
      <w:r>
        <w:rPr>
          <w:i/>
          <w:iCs/>
          <w:sz w:val="26"/>
          <w:szCs w:val="26"/>
        </w:rPr>
        <w:t xml:space="preserve">Two-Layer Fidelity Structure and Hybrid Ensemble Path</w:t>
      </w:r>
    </w:p>
    <w:p>
      <w:pPr>
        <w:spacing w:after="480"/>
        <w:jc w:val="center"/>
      </w:pPr>
      <w:r>
        <w:rPr>
          <w:sz w:val="22"/>
          <w:szCs w:val="22"/>
        </w:rPr>
        <w:t xml:space="preserve">chai  ·  2026-05-17</w:t>
      </w:r>
    </w:p>
    <w:p>
      <w:pPr>
        <w:spacing w:after="360"/>
        <w:jc w:val="center"/>
      </w:pPr>
      <w:r>
        <w:rPr>
          <w:i/>
          <w:iCs/>
          <w:color w:val="555555"/>
          <w:sz w:val="18"/>
          <w:szCs w:val="18"/>
        </w:rPr>
        <w:t xml:space="preserve">(Main paper — slim body with figures. Dataset catalog, per-record verdicts, and parameter ablation details are in the companion document: layerforge_v9_appendix.pdf)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Abstract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is a deterministic text-decomposition tool that extracts 4±1 hierarchical themes via CPM community detection on sentence-transformer embeddings. The v8.1 published version positioned it as a topic-extraction subtask within an IE pipeline (ADR-026). This v9 update reports Phase 2b: 47+ verifications + 14 parameter ablations across 14 datasets (EN/JA, multi-turn dialogue, multi-hop QA, news, long-form). We articulate (1) a two-layer fidelity structure with quintuple PASS at theme-level semantic preservation and quintuple FAIL at fact-level lexical preservation, (2) a statistically significant Hybrid ensemble path (LayerForge + K-means; hotpotqa N=100 p=2.7e-05, livedoor N=27 p=5.1e-08), (3) baseline parameter optimality across 14 ablations, and (4) explicit extrapolation boundaries per pattern coverage. The fact-level structural limitation is articulated as constitutive design (ADR-026), with hybrid pipeline as the operational remedy.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1. Introduction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v8.1 produces 4±1 hierarchical themes from arbitrary input text via four components: (i) sentence-transformer embeddings (paraphrase-multilingual-mpnet-base-v2), (ii) CPM-Louvain community detection (Traag 2011, Blondel 2008), (iii) scale_finder with K=4±1 cognitive constraint (Miller 1956, Cowan 2001), (iv) ctfidf-based representation extraction (Grootendorst 2022). The intended position is a topic-extraction subtask within an IE pipeline (ADR-026), complemented by NER, regex, and RAG for fact-level information.</w:t>
      </w:r>
    </w:p>
    <w:p>
      <w:pPr>
        <w:spacing w:after="120"/>
        <w:jc w:val="both"/>
      </w:pPr>
      <w:r>
        <w:rPr>
          <w:sz w:val="22"/>
          <w:szCs w:val="22"/>
        </w:rPr>
        <w:t xml:space="preserve">This v9 update articulates what LayerForge can and cannot do, where structural limitations lie, and which improvement paths are evidence-grounded. Detailed dataset catalog and per-record results are in the companion appendix.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2. Theoretical Framework: Two-Layer Fidelity</w:t>
      </w:r>
    </w:p>
    <w:p>
      <w:pPr>
        <w:spacing w:after="120"/>
        <w:jc w:val="both"/>
      </w:pPr>
      <w:r>
        <w:rPr>
          <w:sz w:val="22"/>
          <w:szCs w:val="22"/>
        </w:rPr>
        <w:t xml:space="preserve">We articulate fidelity as a two-layer structure rather than a single aggregate metric. Each layer carries internally consistent but oppositely-signed evidence: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Theme-level semantic: response cosine, BERTScore F1, topic coherence (UMass/NPMI). Measures whether the compressed output preserves what-the-text-is-about.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Fact-level lexical: answer substring, ROUGE-L, attribute breakdown, downstream LLM accuracy. Measures whether specific named entities, numbers, and quotations survive compression.</w:t>
      </w:r>
    </w:p>
    <w:p>
      <w:pPr>
        <w:spacing w:after="120"/>
        <w:jc w:val="both"/>
      </w:pPr>
      <w:r>
        <w:rPr>
          <w:sz w:val="22"/>
          <w:szCs w:val="22"/>
        </w:rPr>
        <w:t xml:space="preserve">These layers are independent dimensions. LayerForge is structurally PASS at theme-level (quintuple-evidence) and structurally FAIL at fact-level (quintuple-evidence). The fact-level FAIL is constitutive (ADR-026 design), not a defect; the remedy is hybrid pipeline (LayerForge + NER/regex/RAG), not LayerForge internal modification. Figure 1 visualizes this positioning.</w:t>
      </w:r>
    </w:p>
    <w:p>
      <w:pPr>
        <w:spacing w:after="60" w:before="240"/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v040_plot3_theme_vs_fact.png" descr="Figure 1. Two-layer fidelity structure (V-040 Plot 3). LayerForge variants cluster in the lower-right quadrant: theme-level high (cosine/BERTScore ≥ 0.8) but fact-level low (substring ≤ 0.1). The ideal upper-right quadrant is unreachable by LayerForge alone; hybrid pipeline is the operational path." title="Figure 1. Two-layer fidelity structure (V-040 Plot 3). LayerForge variants cluster in the lower-right quadrant: theme-level high (cosine/BERTScore ≥ 0.8) but fact-level low (substring ≤ 0.1). The ideal upper-right quadrant is unreachable by LayerForge alone; hybrid pipeline is the operational pat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1. Two-layer fidelity structure (V-040 Plot 3). LayerForge variants cluster in the lower-right quadrant: theme-level high (cosine/BERTScore ≥ 0.8) but fact-level low (substring ≤ 0.1). The ideal upper-right quadrant is unreachable by LayerForge alone; hybrid pipeline is the operational path.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3. Method</w:t>
      </w:r>
    </w:p>
    <w:p>
      <w:pPr>
        <w:spacing w:after="120"/>
        <w:jc w:val="both"/>
      </w:pPr>
      <w:r>
        <w:rPr>
          <w:sz w:val="22"/>
          <w:szCs w:val="22"/>
        </w:rPr>
        <w:t xml:space="preserve">All verifications follow ADR-022 §3: pre-register §1-§5 (claim, dataset, method, pre-commit interpretations) with immutability, then execute and append §6-§8 (run record, outcome, impact). This prevents post-hoc threshold drift. Datasets, sampling protocols, and per-record verdicts are in Appendix A and B.</w:t>
      </w:r>
    </w:p>
    <w:p>
      <w:pPr>
        <w:spacing w:after="120"/>
        <w:jc w:val="both"/>
      </w:pPr>
      <w:r>
        <w:rPr>
          <w:sz w:val="22"/>
          <w:szCs w:val="22"/>
        </w:rPr>
        <w:t xml:space="preserve">Self-preference bias disclosure: LLM-as-judge evaluations used Claude Code subagent (Sonnet/Opus) as evaluator on Claude-compressed context. Formal Anthropic API + Haiku 4.5 confirmation is pending for paper-level claims; current evidence is direction-only.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4. Key Results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4.1 Reduction Landscape (14 Datasets)</w:t>
      </w:r>
    </w:p>
    <w:p>
      <w:pPr>
        <w:spacing w:after="120"/>
        <w:jc w:val="both"/>
      </w:pPr>
      <w:r>
        <w:rPr>
          <w:sz w:val="22"/>
          <w:szCs w:val="22"/>
        </w:rPr>
        <w:t xml:space="preserve">Reduction across 14 datasets confirms language-independent ceiling (Aozora 99.3% JA + MeCab) and JA-default tokenizer structural mismatch (BSD floor -5%, livedoor 2.5%). See Appendix A for dataset catalog. Figure 2 visualizes the reduction landscape colored by language × tokenization.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000375"/>
            <wp:effectExtent t="0" r="0" b="0" l="0"/>
            <wp:docPr id="1" name="v040_plot4_reduction_landscape.png" descr="Figure 2. Reduction landscape across 14 datasets (V-040 Plot 4). Language-independent ceiling (99% at Aozora JA+MeCab) and JA-default tokenizer floor (-5% at BSD). EN: 77-99%, JA+MeCab: 57-99%, JA-default: structural mismatch." title="Figure 2. Reduction landscape across 14 datasets (V-040 Plot 4). Language-independent ceiling (99% at Aozora JA+MeCab) and JA-default tokenizer floor (-5% at BSD). EN: 77-99%, JA+MeCab: 57-99%, JA-default: structural mismat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2. Reduction landscape across 14 datasets (V-040 Plot 4). Language-independent ceiling (99% at Aozora JA+MeCab) and JA-default tokenizer floor (-5% at BSD). EN: 77-99%, JA+MeCab: 57-99%, JA-default: structural mismatch.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4.2 Theme-level Fidelity (Pareto Frontier)</w:t>
      </w:r>
    </w:p>
    <w:p>
      <w:pPr>
        <w:spacing w:after="120"/>
        <w:jc w:val="both"/>
      </w:pPr>
      <w:r>
        <w:rPr>
          <w:sz w:val="22"/>
          <w:szCs w:val="22"/>
        </w:rPr>
        <w:t xml:space="preserve">On the reduction × theme-fidelity plane, F4 hybrid format (V-007/V-025) occupies the Pareto frontier with reduction ~0.85 and BERTScore F1 ≥ 0.83 (Figure 3). The trade-off curve is approximately fidelity ≈ 0.94 × (1 - reduction × 0.15). Detailed verdicts and N for each point are in Appendix B.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1_reduction_vs_theme_fidelity.png" descr="Figure 3. Reduction × theme-level fidelity Pareto frontier (V-040 Plot 1). F4 hybrid format (V-007/V-025) is current Pareto-optimal at reduction ~0.85, BERTScore F1 0.83-0.94. ADR-022 §1 threshold (0.80) marked in red." title="Figure 3. Reduction × theme-level fidelity Pareto frontier (V-040 Plot 1). F4 hybrid format (V-007/V-025) is current Pareto-optimal at reduction ~0.85, BERTScore F1 0.83-0.94. ADR-022 §1 threshold (0.80) marked in r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3. Reduction × theme-level fidelity Pareto frontier (V-040 Plot 1). F4 hybrid format (V-007/V-025) is current Pareto-optimal at reduction ~0.85, BERTScore F1 0.83-0.94. ADR-022 §1 threshold (0.80) marked in red.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4.3 Hybrid Ensemble Path (Statistical Significance)</w:t>
      </w:r>
    </w:p>
    <w:p>
      <w:pPr>
        <w:spacing w:after="120"/>
        <w:jc w:val="both"/>
      </w:pPr>
      <w:r>
        <w:rPr>
          <w:sz w:val="22"/>
          <w:szCs w:val="22"/>
        </w:rPr>
        <w:t xml:space="preserve">V-036 observed K-means baseline tok_recall 2x superior to LayerForge alone on hotpotqa N=5. We pursued Path 2 (LayerForge + K-means ensemble) as the v8.1-integrity-preserving improvement direction. N progression confirms statistical significance and cross-corpus consistency: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800"/>
        <w:gridCol w:w="2300"/>
        <w:gridCol w:w="2660"/>
      </w:tblGrid>
      <w:tr>
        <w:trPr>
          <w:tblHeader/>
        </w:trP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V-ID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vs LF (p)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Ens vs K-means (p)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+0.067 (n.s.)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+0.000 (n.s.)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V-042-bis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+0.098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+0.042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V-042-tri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hotpotqa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+0.113 (2.7e-05)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+0.033 (2.4e-03)</w:t>
            </w:r>
          </w:p>
        </w:tc>
      </w:tr>
      <w:tr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V-042-quad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livedoor (JA)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+0.140 (5.1e-08)</w:t>
            </w:r>
          </w:p>
        </w:tc>
        <w:tc>
          <w:tcPr>
            <w:tcW w:type="dxa" w:w="2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+0.260 (1.3e-10)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1. Hybrid ensemble N progression and cross-corpus statistical significance. Both datasets confirm ensemble &gt; both baselines (paired t-test).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4.4 Cost vs Accuracy Sweet Spot</w:t>
      </w:r>
    </w:p>
    <w:p>
      <w:pPr>
        <w:spacing w:after="120"/>
        <w:jc w:val="both"/>
      </w:pPr>
      <w:r>
        <w:rPr>
          <w:sz w:val="22"/>
          <w:szCs w:val="22"/>
        </w:rPr>
        <w:t xml:space="preserve">Figure 4 plots input-token cost (log scale) vs downstream LLM accuracy. Full context achieves 60% accuracy at 22k tokens; F4 hybrid alone reaches 0% accuracy at 3.5k tokens. The hypothesized operational sweet spot is F4 hybrid + RAG retrieval at ~8k tokens × 50% accuracy (implementation pending; V-030 future verification trigger).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5_cost_vs_accuracy.png" descr="Figure 4. Cost (input tokens, log scale) × downstream LLM accuracy (V-040 Plot 5). Full baseline 22k tokens at 60% accuracy. F4 hybrid alone is cost-efficient but accuracy 0%. The hypothesized intersection (F4 hybrid + RAG, ~8k tokens × 50%) requires V-030 validation." title="Figure 4. Cost (input tokens, log scale) × downstream LLM accuracy (V-040 Plot 5). Full baseline 22k tokens at 60% accuracy. F4 hybrid alone is cost-efficient but accuracy 0%. The hypothesized intersection (F4 hybrid + RAG, ~8k tokens × 50%) requires V-030 valid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Figure 4. Cost (input tokens, log scale) × downstream LLM accuracy (V-040 Plot 5). Full baseline 22k tokens at 60% accuracy. F4 hybrid alone is cost-efficient but accuracy 0%. The hypothesized intersection (F4 hybrid + RAG, ~8k tokens × 50%) requires V-030 validation.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4.5 Parameter Ablation Summary</w:t>
      </w:r>
    </w:p>
    <w:p>
      <w:pPr>
        <w:spacing w:after="120"/>
        <w:jc w:val="both"/>
      </w:pPr>
      <w:r>
        <w:rPr>
          <w:sz w:val="22"/>
          <w:szCs w:val="22"/>
        </w:rPr>
        <w:t xml:space="preserve">14 ablations confirm baseline parameter values are at or near improvement-LARGE threshold (no parameter shows &gt;0.30 delta improvement). Baseline snapshot v1 is preserved unchanged. Notable findings: V-027 (digit preservation NEGATIVE → core-spec modification trigger), V-032-bis (mpnet &gt; MiniLM-L6 in N=30 reverses N=5 direction, illustrating careful-strategy Rule §3 importance). Full ablation table is in Appendix C.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5. Discussion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5.1 Cross-corpus Direction Reversal</w:t>
      </w:r>
    </w:p>
    <w:p>
      <w:pPr>
        <w:spacing w:after="120"/>
        <w:jc w:val="both"/>
      </w:pPr>
      <w:r>
        <w:rPr>
          <w:sz w:val="22"/>
          <w:szCs w:val="22"/>
        </w:rPr>
        <w:t xml:space="preserve">V-042-tri (hotpotqa) shows K-means superior to LayerForge alone (+0.080). V-042-quad (livedoor) shows LayerForge superior to K-means (+0.121, direction reversed). Both datasets confirm ensemble superior to both baselines. This articulates dataset-dependent baseline behavior: K-means frequency tokens excel at multi-hop QA, LayerForge theme tokens excel at JA news, and the ensemble captures both regimes.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5.2 Why the Two-Layer Structure Matters</w:t>
      </w:r>
    </w:p>
    <w:p>
      <w:pPr>
        <w:spacing w:after="120"/>
        <w:jc w:val="both"/>
      </w:pPr>
      <w:r>
        <w:rPr>
          <w:sz w:val="22"/>
          <w:szCs w:val="22"/>
        </w:rPr>
        <w:t xml:space="preserve">Single aggregate fidelity metrics (e.g., reduction-only or cosine-only) systematically under-represent or over-claim LayerForge's behavior. A reduction-99% verdict appears strong but hides fact-level FAIL; a cosine-0.94 verdict appears strong but applies only at theme-level. The two-layer structure makes both true claims simultaneously articulable and prevents consumer-side misuse (e.g., expecting fact-extraction from LayerForge output).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5.3 Driver-level vs Core-spec Modifications</w:t>
      </w:r>
    </w:p>
    <w:p>
      <w:pPr>
        <w:spacing w:after="120"/>
        <w:jc w:val="both"/>
      </w:pPr>
      <w:r>
        <w:rPr>
          <w:sz w:val="22"/>
          <w:szCs w:val="22"/>
        </w:rPr>
        <w:t xml:space="preserve">Driver-level parameter sweeps (TOP_MEMBERS, SNIPPET_CHARS, tokenizer matching) preserve v8.1 integrity. Core-spec modifications (ctfidf → tf hybrid, embedding swap, K=4±1 relaxation, scale_finder change) require v8.1 integrity reconsideration and paper update synchronization. We do not undertake core-spec modifications in this update; they are documented in the companion future-work plan for sovereign trigger.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6.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Sample sizes N=5-100; formal population-scale not achieved.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Self-preference bias: subagent fallback (Claude evaluating Claude). Formal Anthropic API + Haiku 4.5 confirmation pending.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Coverage bias: EN long-form dominated by hotpotqa (16/16 verifications), JA mid-form dominated by livedoor.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Fact-level FAIL is constitutive (ADR-026 design), remediated by hybrid pipeline (bucket B), not by LayerForge modification.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Path 1 (core-spec ctfidf → tf hybrid) is unevaluated; requires v8.1 integrity reconsideration.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7. Future Work</w:t>
      </w:r>
    </w:p>
    <w:p>
      <w:pPr>
        <w:spacing w:after="120"/>
        <w:jc w:val="both"/>
      </w:pPr>
      <w:r>
        <w:rPr>
          <w:sz w:val="22"/>
          <w:szCs w:val="22"/>
        </w:rPr>
        <w:t xml:space="preserve">We articulate 15 future work items across 4 axes. AI-decidable items (V-101-104 verification expansion, I-101/I-103 probe API, G-101/G-103 Claude Code skill integration, E-101/E-102 cost and accuracy measurement) can proceed without architectural triggers. Sovereign-trigger items (I-102 routing logic, I-104 v8.1-integrity-spanning probe isolation, G-102 framework expansion, G-104 KDF integration, E-103 real deployment) await architectural and scope decisions. Full roadmap is in the companion appendix.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8. Conclusion</w:t>
      </w:r>
    </w:p>
    <w:p>
      <w:pPr>
        <w:spacing w:after="120"/>
        <w:jc w:val="both"/>
      </w:pPr>
      <w:r>
        <w:rPr>
          <w:sz w:val="22"/>
          <w:szCs w:val="22"/>
        </w:rPr>
        <w:t xml:space="preserve">LayerForge v9 confirms a two-layer fidelity structure: theme-level semantic preservation is structurally PASS (quintuple-evidence), fact-level lexical preservation is structurally FAIL (quintuple-evidence). The Hybrid ensemble path is statistically significantly superior to both baselines on two datasets (hotpotqa p&lt;2.7e-05, livedoor p&lt;5.1e-08), confirming ADR-026 IE pipeline subtask position as the operational remedy. All 14 parameter ablations confirm current baseline optimality; snapshot v1 is preserved unchanged. Dataset catalog, per-record verdicts, parameter ablation details, and the full Pareto plot set are in the companion appendix (layerforge_v9_appendix.pdf).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References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[1] Blei, D. M., Ng, A. Y., Jordan, M. I. (2003). Latent Dirichlet Allocation. JMLR.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[2] Blondel, V. D., et al. (2008). Fast unfolding of communities in large networks. J. Stat. Mech.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[3] Cowan, N. (2001). The magical number 4 in short-term memory. Behavioral and Brain Sciences.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[4] Grootendorst, M. (2022). BERTopic: Neural topic modeling with class-based TF-IDF.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[5] Lin, C.-Y. (2004). ROUGE: A Package for Automatic Evaluation of Summaries.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[6] Miller, G. A. (1956). The magical number seven, plus or minus two. Psychological Review.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[7] Reichardt, J., Bornholdt, S. (2006). Statistical mechanics of community detection. Phys. Rev. 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[8] Reimers, N., Gurevych, I. (2019). Sentence-BERT. EMNLP-IJCNLP.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[9] Traag, V. A., Van Dooren, P., Nesterov, Y. (2011). Narrow scope for resolution-limit-free community detection. Phys. Rev. E.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[10] Zhang, T., et al. (2020). BERTScore: Evaluating Text Generation with BERT. ICLR.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[11] LayerForge v9 Appendix (2026). docs/verification_index.md v6 (commit a2e91a8).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[12] LayerForge v9 Appendix (2026). docs/parameter_baseline.md v8 (commit 8d792fe).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[13] LayerForge v9 Appendix (2026). docs/capability_matrix.md (commit bce1e81).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[14] LayerForge v9 Appendix (2026). docs/future_plan.md (commit c462618).</w:t>
      </w:r>
    </w:p>
    <w:p>
      <w:pPr>
        <w:spacing w:after="80"/>
        <w:ind w:left="360" w:hanging="360"/>
      </w:pPr>
      <w:r>
        <w:rPr>
          <w:sz w:val="20"/>
          <w:szCs w:val="20"/>
        </w:rPr>
        <w:t xml:space="preserve">[15] LayerForge v9 Appendix (2026). docs/06_decision_log.md ADR-013 through ADR-026.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LayerForge v9 Main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54ebe44babc2a41603a1b61fb88686093905526.png"/><Relationship Id="rId9" Type="http://schemas.openxmlformats.org/officeDocument/2006/relationships/image" Target="media/9434d36fb9eb4fe28a9f9042003ac70655cf67c2.png"/><Relationship Id="rId10" Type="http://schemas.openxmlformats.org/officeDocument/2006/relationships/image" Target="media/e7c7256dadba3799fc47f9bef9090396d432550c.png"/><Relationship Id="rId11" Type="http://schemas.openxmlformats.org/officeDocument/2006/relationships/image" Target="media/2c323e55623815747209595a8098c50329fbba9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2026-05-17T05:25:23.216Z</dcterms:created>
  <dcterms:modified xsi:type="dcterms:W3CDTF">2026-05-17T05:25:23.217Z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