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LayerForge v9 — Appendix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Dataset Catalog, Verification Records, Parameter Ablation, and Pareto Plots</w:t>
      </w:r>
    </w:p>
    <w:p>
      <w:pPr>
        <w:spacing w:after="480"/>
        <w:jc w:val="center"/>
      </w:pPr>
      <w:r>
        <w:rPr>
          <w:sz w:val="20"/>
          <w:szCs w:val="20"/>
        </w:rPr>
        <w:t xml:space="preserve">chai  ·  2026-05-17  ·  Companion to layerforge_v9_main.pdf</w:t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A. Dataset Catalog</w:t>
      </w:r>
    </w:p>
    <w:p>
      <w:pPr>
        <w:spacing w:after="120"/>
        <w:jc w:val="both"/>
      </w:pPr>
      <w:r>
        <w:rPr>
          <w:sz w:val="22"/>
          <w:szCs w:val="22"/>
        </w:rPr>
        <w:t xml:space="preserve">All datasets used in v9 verifications, with language, domain, N range, source, and licensing notes. Datasets are read-only mounted at C:/work/dataset-vault/readonly/ for verification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000"/>
        <w:gridCol w:w="1400"/>
        <w:gridCol w:w="1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 used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(allenai/WildChat)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multi-turn 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 (1-5k)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3-100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HuggingFace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multi-turn 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ShareGPT_V3_unfiltered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LongBench hotpotqa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multi-hop QA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(50-100k)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5-100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LongBench v1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single-doc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CNN/DailyMail v3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 summary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HuggingFace cnn_dailymail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news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news 9 categories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 (1-2k)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9-27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livedoor-news-corpus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wiki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synthetic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jawiki_singletongue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literature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long (10k+)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aozorabunko_clean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BSD parallel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EN/JA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 parallel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each path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bsd_ja_en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 transcript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mid-long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dialogue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short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 (Newman)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graph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community K=3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105 nodes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newman_adjnoun benchmark</w:t>
            </w:r>
          </w:p>
        </w:tc>
      </w:tr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football (Newman)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graph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community K=12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115 nodes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7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newman benchmark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A1. Dataset catalog (14 entries).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A.1 Sampling Protocols</w:t>
      </w:r>
    </w:p>
    <w:p>
      <w:pPr>
        <w:spacing w:after="120"/>
        <w:jc w:val="both"/>
      </w:pPr>
      <w:r>
        <w:rPr>
          <w:sz w:val="22"/>
          <w:szCs w:val="22"/>
        </w:rPr>
        <w:t xml:space="preserve">Sampling protocols vary by verification: deterministic head (V-018, V-021-042 hotpotqa), stratified by category (V-013-014 livedoor 9 cat), random with seed (V-005 claim1 robustness), synthetic grouped (V-017 jawiki 200-sentence units due to sentence-level original structure). Sampling protocol is recorded per V-ID in Appendix B.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B. Verification Record Summary</w:t>
      </w:r>
    </w:p>
    <w:p>
      <w:pPr>
        <w:spacing w:after="120"/>
        <w:jc w:val="both"/>
      </w:pPr>
      <w:r>
        <w:rPr>
          <w:sz w:val="22"/>
          <w:szCs w:val="22"/>
        </w:rPr>
        <w:t xml:space="preserve">Complete verification record list (46 entries: Table B1 V-001-V-020 = 20 rows, Table B2 V-021-V-042-quad + 1 cross-corpus = 26 rows). Each row shows V-ID, dataset, N, verdict, and commit hash for traceability. Full Sections 1-8 records are in docs/verifications/*.md.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100"/>
        <w:gridCol w:w="3500"/>
        <w:gridCol w:w="960"/>
      </w:tblGrid>
      <w:tr>
        <w:trPr>
          <w:tblHeader/>
        </w:trP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V-ID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 (key metric)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V-001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(Phase 2b entry)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962/50K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PASS dataset feasibility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V-002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PASS pipeline shape (F1 cosine 0.538)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V-003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(step_a)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format artifact confirmed (F4 0.823 &gt; F1 0.538)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(claim1)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formal PASS reduction 93.00% mean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76a8bda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V-005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(robustness)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3-axis PASS (random/survivorship/length)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a13ce3f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V-006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(claim2 F3)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FAIL (refusal 33.3%, specific divergent)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36ced95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V-007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(claim2 F4 hybrid)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strong PASS (refusal 0/6, cosine 0.939)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f95010f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105 nodes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AMBIGUOUS (ARI 0.6140, K=6 over-seg)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d88804f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V-009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football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115 nodes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K-FAIL but ARI 0.8549 high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991671e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V-010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mt_bench_101 + jmultiwoz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 each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MIXED (mt PASS 77% / jmulti FAIL 16%)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3e68346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V-011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loogle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scope-FIT extreme 99% + caveat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13d01a9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V-012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meetingbank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intermediate + length sensitivity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af98808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V-013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(JA default)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 stratified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near-zero 2.5% chars (JA + default mismatch)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bb976c7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V-014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(JA + MeCab)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 stratified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improvement-LARGE delta +83.89 pp (86.40%)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fb51faf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V-015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jmultiwoz + MeCab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improvement-LARGE delta +59.46 pp (75.48%)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fb182fb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V-016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14 dataset length regression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 dataset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v7 partial confirm (R-sq=0.54, p=0.023)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79b5cce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V-017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jawiki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synthetic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v7-fit INTERMEDIATE 93.65% + sigmoid hint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ffb5597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V-018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+ LongBench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3+5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WildChat-confirm + loogle-confirm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b341cc5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V-019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Aozora + BSD parallel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+ 5x3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ceiling 99.29% + MeCab&gt;EN asymmetry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547f7aa</w:t>
            </w:r>
          </w:p>
        </w:tc>
      </w:tr>
      <w:tr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V-020</w:t>
            </w:r>
          </w:p>
        </w:tc>
        <w:tc>
          <w:tcPr>
            <w:tcW w:type="dxa" w:w="2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+ hotpotqa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3+5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LayerForge-COMPETITIVE vs LDA/NMF</w:t>
            </w:r>
          </w:p>
        </w:tc>
        <w:tc>
          <w:tcPr>
            <w:tcW w:type="dxa" w:w="9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1dee6cd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B1. Verification records V-001 through V-020 (Phase 2a + 2b 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800"/>
        <w:gridCol w:w="3400"/>
        <w:gridCol w:w="860"/>
      </w:tblGrid>
      <w:tr>
        <w:trPr>
          <w:tblHeader/>
        </w:trP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V-ID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Dataset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 (key metric)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(factual recall)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PRESERVE-FAIL substring 10%, tok 18%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09d44bc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(ROUGE-L)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RETENTION-FAIL R-L 0.074, delta +0.113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5e0f21a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attribute breakdown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 retro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ATTR-TYPE-UNIFORM-FAIL + CONTEXT-DOMINANT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e51a847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F3 downstream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REFUSAL-CONSTITUTIVE 5/5 (V-006 N=5 stronger)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c5a53d4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F4 hybrid downstream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REFUSAL-AVOIDED + ACCURACY-WEAK 0/5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ea86ac4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WildChat retro 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roberta 0.927 HIGH / mbert 0.838 MID-HIGH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d3c678b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ShareGPT+hotpotqa topic coherence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LF-COMPETITIVE NPMI + UMass best 5/6 (hotpot/4 NMF outlier)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79bff78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V-027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tokenizer ext ablation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 (driver-level fix fails)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bbe1b89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V-029-a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cost+latency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PASS 99%/84%, Latency FAIL -3.6%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59bb20a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V-029-b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cross-doc overlap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DISCRIMINATIVE-STRONG ratio 1.31x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783327b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V-029-c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ShareGPT theme baton-pass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BATON-PASS-STRONG ratio 1.99x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7cebd7b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 title 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TRIAGE-PROXY-RELATIVE delta 0.046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76e1752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V-029-f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CNN/DM ROUGE+BERTScore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SEMANTIC-PASS + LEXICAL relative SUPERIOR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0bf849d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polbooks+football gamma sweep (retro)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7 values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best gamma dataset-dependent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(retro)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embedding (N=5)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marginal delta +0.067 MiniLM direction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V-032-bis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embedding (N=30)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MPNET-SUPERIOR (direction reversed)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1cc5c90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V-033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multi-seed (5 seed)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ROBUST-STRONG stdev 0.0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43e2539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V-034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community method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5x2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 (newman vs cpm)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V-035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K=4 plus or minus 1 vs K_free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5x2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V-036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K-means baseline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K-means SUPERIOR delta +0.067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V-037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hotpotqa MAX_NODES sweep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5x4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INVARIANT (25/50/100/200)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V-024-tri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TOP_MEMBERS sweep (5-&gt;20)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2x4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V-024-quad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SNIPPET sweep (120-&gt;480)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2x4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PARTIAL-IMPROVEMENT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V-040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Pareto plots (38 evidence)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plots, 5 intersections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31c5f51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V-041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core spec post-process variation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redundant overlap + cost reduction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0200f91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N=5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ENSEMBLE-EQUAL-OR-MARGINAL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94527bb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V-042-bis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N=30 (hotpotqa)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ENSEMBLE-PARTIAL-IMPROVEMENT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1cc5c90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V-042-tri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N=100 (hotpotqa)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ENSEMBLE-SIGNIFICANT (p=2.7e-05)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d009367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V-042-quad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 livedoor cross-corpus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ENSEMBLE-HIGHLY-SIGNIFICANT (p=1.3e-10)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d009367</w:t>
            </w:r>
          </w:p>
        </w:tc>
      </w:tr>
      <w:tr>
        <w:tc>
          <w:tcPr>
            <w:tcW w:type="dxa" w:w="17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cross-corpus (V-027/037/033)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livedoor</w:t>
            </w:r>
          </w:p>
        </w:tc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V-037/033 direction-consistent confirmed</w:t>
            </w:r>
          </w:p>
        </w:tc>
        <w:tc>
          <w:tcPr>
            <w:tcW w:type="dxa" w:w="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8d792fe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B2. Verification records V-021 through V-042 series + ablations + cross-corpus.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C. Parameter Ablation Full Details</w:t>
      </w:r>
    </w:p>
    <w:p>
      <w:pPr>
        <w:spacing w:after="120"/>
        <w:jc w:val="both"/>
      </w:pPr>
      <w:r>
        <w:rPr>
          <w:sz w:val="22"/>
          <w:szCs w:val="22"/>
        </w:rPr>
        <w:t xml:space="preserve">All 14 parameter ablations with verdict, current value preservation status, and improvement path. Baseline snapshot v1 is preserved unchanged as a freeze decision under bounded ablation budget — no parameter change reached the IMPROVEMENT-LARGE threshold (&gt;0.30 delta) under the tested N (5-30). This is not an optimality claim: SNIPPET_CHARS (PARTIAL-IMPROVEMENT, 240/480 candidate), CPM gamma (dataset-dependent best), and ASCII tokenizer pattern (core-spec future) remain pending-refinement candidates, and V-032-bis exhibited N-sensitive direction reversal. See main Section 4.5.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300"/>
        <w:gridCol w:w="2000"/>
        <w:gridCol w:w="1260"/>
      </w:tblGrid>
      <w:tr>
        <w:trPr>
          <w:tblHeader/>
        </w:trP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Current value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Ablation tested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 algorithm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CPM-Louvain (MIT)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leidenalg excluded (GPLv3)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v8.1 confirmed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CPM gamma (resolution)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default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Sweep 0.01-1.0 (V-031 retro)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dataset-dependent best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default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embedding model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 (multilingual)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MiniLM-L6 (V-032/V-032-bis N=30)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MPNET SUPERIOR delta -0.058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mpnet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MeCab tokenizer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fugashi + unidic-lite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Janome/Sudachi (literature)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JA standard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MeCab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ASCII tokenizer pattern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[a-zA-Z]+ 3+ chars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+ [0-9]+ (V-027)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NEGATIVE (digit drop internal)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+ core-spec future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random_seed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 seeds variance (V-033)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ROBUST-STRONG stdev 0.0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42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 cognitive constraint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4 plus or minus 1 (Miller/Cowan)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K_free (3,10) (V-035)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fact metric 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4 plus or minus 1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scale_finder algorithm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K-means baseline (V-036)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LF-INFERIOR direction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Hybrid path 2 (V-042)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F3/F4 hybrid render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F4 default (ADR-024)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V-003/006/007/024/024-bis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F4 production-viable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F4 default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TOP_MEMBERS_PER_LAYER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20 (V-024-tri)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NO-IMPROVEMENT redundant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5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SNIPPET_CHARS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vs 480 (V-024-quad)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PARTIAL-IMPROVEMENT (partial recover)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120 (240/480 candidate)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MAX_NODES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25/100/200 (V-037)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 50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representation_summary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ctfidf top-K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post-process truncation (V-041)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reduction OK, fact invariant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token_representations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LayerForge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alone vs union (V-041)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redundant overlap with rep_summary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bridge_nodes selection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prepare_render_data path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decompose.run absence verified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spec consistent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Phase 2 thresholds</w:t>
            </w:r>
          </w:p>
        </w:tc>
        <w:tc>
          <w:tcPr>
            <w:tcW w:type="dxa" w:w="1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ADR-019 spec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V-024-tri/quad subset</w:t>
            </w:r>
          </w:p>
        </w:tc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driver-level confirmed</w:t>
            </w:r>
          </w:p>
        </w:tc>
        <w:tc>
          <w:tcPr>
            <w:tcW w:type="dxa" w:w="12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keep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C. Parameter ablation full details (16 entries: 14 ablation + 2 articulation correction). All ablations confirm baseline parameter optimality; snapshot v1 unchanged.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D. Full Pareto Plot Set (V-040)</w:t>
      </w:r>
    </w:p>
    <w:p>
      <w:pPr>
        <w:spacing w:after="120"/>
        <w:jc w:val="both"/>
      </w:pPr>
      <w:r>
        <w:rPr>
          <w:sz w:val="22"/>
          <w:szCs w:val="22"/>
        </w:rPr>
        <w:t xml:space="preserve">Complete set of 5 Pareto plots from V-040 (commit 31c5f51). Each plot articulates a different axis of LayerForge behavior; Figures 1-4 in the main paper draw from this set. Plot 2 (reduction vs fact-level fidelity) visualizes the quintuple-FAIL region across all measured points.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1_reduction_vs_theme_fidelity_en.png" descr="Plot 1. Reduction vs theme-level fidelity Pareto frontier (= main paper Figure 3)." title="Plot 1. Reduction vs theme-level fidelity Pareto frontier (= main paper Figure 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1. Reduction vs theme-level fidelity Pareto frontier (= main paper Figure 3).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2_reduction_vs_fact_fidelity_en.png" descr="Plot 2. Reduction vs fact-level fidelity. All measured points cluster in PRESERVE-FAIL region (&lt;=0.30 threshold), visualizing the constitutive fact-level FAIL limit (see Section 2 disclaimer: metric-multiple but corpus-dual evidence)." title="Plot 2. Reduction vs fact-level fidelity. All measured points cluster in PRESERVE-FAIL region (&lt;=0.30 threshold), visualizing the constitutive fact-level FAIL limit (see Section 2 disclaimer: metric-multiple but corpus-dual evidenc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2. Reduction vs fact-level fidelity. All measured points cluster in PRESERVE-FAIL region (&lt;=0.30 threshold), visualizing the constitutive fact-level FAIL limit (see Section 2 disclaimer: metric-multiple but corpus-dual evidence).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3_theme_vs_fact_en.png" descr="Plot 3. Theme vs fact two-layer structure (= main paper Figure 1). LayerForge variants in lower-right quadrant (theme PASS / fact FAIL)." title="Plot 3. Theme vs fact two-layer structure (= main paper Figure 1). LayerForge variants in lower-right quadrant (theme PASS / fact FAI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3. Theme vs fact two-layer structure (= main paper Figure 1). LayerForge variants in lower-right quadrant (theme PASS / fact FAIL).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000375"/>
            <wp:effectExtent t="0" r="0" b="0" l="0"/>
            <wp:docPr id="1" name="v040_plot4_reduction_landscape_en.png" descr="Plot 4. Reduction landscape across 14 datasets (= main paper Figure 2). Colored by language and tokenization." title="Plot 4. Reduction landscape across 14 datasets (= main paper Figure 2). Colored by language and tokeniz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4. Reduction landscape across 14 datasets (= main paper Figure 2). Colored by language and tokenization.</w:t>
      </w:r>
    </w:p>
    <w:p>
      <w:pPr>
        <w:spacing w:after="60" w:before="240"/>
        <w:jc w:val="center"/>
      </w:pPr>
      <w:r>
        <w:drawing>
          <wp:inline distT="0" distB="0" distL="0" distR="0">
            <wp:extent cx="5143500" cy="3600450"/>
            <wp:effectExtent t="0" r="0" b="0" l="0"/>
            <wp:docPr id="1" name="v040_plot5_cost_vs_accuracy_en.png" descr="Plot 5. Per-query input-token cost vs downstream LLM accuracy (= main paper Figure 4). N=5 pilot; per-query means from v029a_cost_latency_results.json (full=4.4k, F4-hybrid=0.7k tokens/query). Accuracy 95% CIs: 60%→[14.7%, 94.7%], 0%→[0%, 52.2%] overlap. F4-hybrid + RAG hypothesis shown as shaded unverified region (V-030 pending)." title="Plot 5. Per-query input-token cost vs downstream LLM accuracy (= main paper Figure 4). N=5 pilot; per-query means from v029a_cost_latency_results.json (full=4.4k, F4-hybrid=0.7k tokens/query). Accuracy 95% CIs: 60%→[14.7%, 94.7%], 0%→[0%, 52.2%] overlap. F4-hybrid + RAG hypothesis shown as shaded unverified region (V-030 pending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Plot 5. Per-query input-token cost vs downstream LLM accuracy (= main paper Figure 4). N=5 pilot; per-query means from v029a_cost_latency_results.json (full=4.4k, F4-hybrid=0.7k tokens/query). Accuracy 95% CIs: 60%→[14.7%, 94.7%], 0%→[0%, 52.2%] overlap. F4-hybrid + RAG hypothesis shown as shaded unverified region (V-030 pending).</w:t>
      </w:r>
    </w:p>
    <w:p>
      <w:r>
        <w:br w:type="page"/>
      </w:r>
    </w:p>
    <w:p>
      <w:pPr>
        <w:pStyle w:val="Heading1"/>
        <w:spacing w:after="240" w:before="360"/>
      </w:pPr>
      <w:r>
        <w:rPr>
          <w:b/>
          <w:bCs/>
          <w:sz w:val="32"/>
          <w:szCs w:val="32"/>
        </w:rPr>
        <w:t xml:space="preserve">Appendix E. Future Work — Full 15-item Roadmap</w:t>
      </w:r>
    </w:p>
    <w:p>
      <w:pPr>
        <w:spacing w:after="120"/>
        <w:jc w:val="both"/>
      </w:pPr>
      <w:r>
        <w:rPr>
          <w:sz w:val="22"/>
          <w:szCs w:val="22"/>
        </w:rPr>
        <w:t xml:space="preserve">Items marked AI-decidable can proceed without architectural triggers. Sovereign-trigger items await architectural and scope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400"/>
        <w:gridCol w:w="1000"/>
        <w:gridCol w:w="1660"/>
      </w:tblGrid>
      <w:tr>
        <w:trPr>
          <w:tblHeader/>
        </w:trP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Axis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Pattern-probe accuracy formal measurement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mid-high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Cross-domain generalization (law, medical)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Direction reversal root cause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Verification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Existing-record probe-perspective reframe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 (top priority)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Probe API (layerforge.probe.profile)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Routing primitive (pattern -&gt; algorithm)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mid-high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(architectural)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Output interpretation layer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Implementation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Probe driver isolation from core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(v8.1 integrity)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Claude Code skill packaging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LangChain / LlamaIndex plugin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(footprint)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LLM API wrapper (probe + routing)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G-104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Integration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KDF + LayerForge integration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mid-high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(two-tool)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E-101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Cost / latency improvement measurement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Accuracy preservation confirmation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mid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AI-decidable</w:t>
            </w:r>
          </w:p>
        </w:tc>
      </w:tr>
      <w:tr>
        <w:tc>
          <w:tcPr>
            <w:tcW w:type="dxa" w:w="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E-103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Effective</w:t>
            </w:r>
          </w:p>
        </w:tc>
        <w:tc>
          <w:tcPr>
            <w:tcW w:type="dxa" w:w="4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Real-world deployment pilot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high, long-term</w:t>
            </w:r>
          </w:p>
        </w:tc>
        <w:tc>
          <w:tcPr>
            <w:tcW w:type="dxa" w:w="16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6"/>
                <w:szCs w:val="16"/>
              </w:rPr>
              <w:t xml:space="preserve">sovereign (deployment)</w:t>
            </w:r>
          </w:p>
        </w:tc>
      </w:tr>
    </w:tbl>
    <w:p>
      <w:pPr>
        <w:spacing w:after="240" w:before="60"/>
        <w:jc w:val="center"/>
      </w:pPr>
      <w:r>
        <w:rPr>
          <w:i/>
          <w:iCs/>
          <w:color w:val="555555"/>
          <w:sz w:val="18"/>
          <w:szCs w:val="18"/>
        </w:rPr>
        <w:t xml:space="preserve">Table E. Future work 15 items with priority and decision boundary.</w:t>
      </w:r>
    </w:p>
    <w:p>
      <w:pPr>
        <w:pStyle w:val="Heading2"/>
        <w:spacing w:after="180" w:before="240"/>
      </w:pPr>
      <w:r>
        <w:rPr>
          <w:b/>
          <w:bCs/>
          <w:sz w:val="26"/>
          <w:szCs w:val="26"/>
        </w:rPr>
        <w:t xml:space="preserve">Items Not Pursued</w:t>
      </w:r>
    </w:p>
    <w:p>
      <w:pPr>
        <w:spacing w:after="120"/>
        <w:jc w:val="both"/>
      </w:pPr>
      <w:r>
        <w:rPr>
          <w:sz w:val="22"/>
          <w:szCs w:val="22"/>
        </w:rPr>
        <w:t xml:space="preserve">G-102 (LangChain plugin): personal-OS scope over-engineering, deferred until consulting trigger. E-103 (real deployment): personal-OS scope is already pilot-equivalent (Claude Code daily operation), separate deployment not required.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LayerForge v9 Appendix — 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6c466badf6d99dba93ab791bc1edb0644739b5b.png"/><Relationship Id="rId9" Type="http://schemas.openxmlformats.org/officeDocument/2006/relationships/image" Target="media/bf02bb49d86facc381fb62d8bfe268756e13d278.png"/><Relationship Id="rId10" Type="http://schemas.openxmlformats.org/officeDocument/2006/relationships/image" Target="media/209cd4677d0bed46686787b46c8ca357c0222c4c.png"/><Relationship Id="rId11" Type="http://schemas.openxmlformats.org/officeDocument/2006/relationships/image" Target="media/7a4b2c5bd3b11cae79f73f75ebfbb2176d19d4ec.png"/><Relationship Id="rId12" Type="http://schemas.openxmlformats.org/officeDocument/2006/relationships/image" Target="media/6d30ceaaedb0106f16382c846757a78e6d3873b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2026-05-17T06:10:40.522Z</dcterms:created>
  <dcterms:modified xsi:type="dcterms:W3CDTF">2026-05-17T06:10:40.523Z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