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E8F2" w14:textId="09575E3E" w:rsidR="00E959BF" w:rsidRPr="00130BEA" w:rsidRDefault="00000000" w:rsidP="00130BEA">
      <w:pPr>
        <w:pStyle w:val="Heading1"/>
        <w:spacing w:after="160"/>
        <w:rPr>
          <w:rFonts w:ascii="Palatino Linotype" w:hAnsi="Palatino Linotype"/>
          <w:color w:val="auto"/>
        </w:rPr>
      </w:pPr>
      <w:r w:rsidRPr="00130BEA">
        <w:rPr>
          <w:rFonts w:ascii="Palatino Linotype" w:hAnsi="Palatino Linotype"/>
          <w:b/>
          <w:bCs/>
          <w:color w:val="auto"/>
          <w:sz w:val="28"/>
          <w:szCs w:val="28"/>
        </w:rPr>
        <w:t>Introduction</w:t>
      </w:r>
    </w:p>
    <w:p w14:paraId="363D744A" w14:textId="77777777" w:rsidR="00E959BF" w:rsidRPr="00130BEA" w:rsidRDefault="00000000" w:rsidP="00130BEA">
      <w:pPr>
        <w:spacing w:line="300" w:lineRule="auto"/>
        <w:ind w:firstLine="360"/>
        <w:jc w:val="both"/>
        <w:rPr>
          <w:rFonts w:ascii="Palatino Linotype" w:hAnsi="Palatino Linotype"/>
        </w:rPr>
      </w:pPr>
      <w:r w:rsidRPr="00130BEA">
        <w:rPr>
          <w:rFonts w:ascii="Palatino Linotype" w:hAnsi="Palatino Linotype"/>
        </w:rPr>
        <w:t>Most of the classical vehicle dynamics books focus on consistent, on-road conditions. The on-road assumptions include consistent tire performance, a rigid and geometrically flat road, suspension travel within a few centimeters and so on. These assumptions are practical approximations to derive the equations of ride and handling and stay true while being applicable to most of the passenger/performance cars.</w:t>
      </w:r>
    </w:p>
    <w:p w14:paraId="6EA315B2" w14:textId="0D22209E" w:rsidR="00E959BF" w:rsidRPr="00130BEA" w:rsidRDefault="00000000" w:rsidP="00130BEA">
      <w:pPr>
        <w:spacing w:line="300" w:lineRule="auto"/>
        <w:ind w:firstLine="360"/>
        <w:jc w:val="both"/>
        <w:rPr>
          <w:rFonts w:ascii="Palatino Linotype" w:hAnsi="Palatino Linotype"/>
        </w:rPr>
      </w:pPr>
      <w:r w:rsidRPr="00130BEA">
        <w:rPr>
          <w:rFonts w:ascii="Palatino Linotype" w:hAnsi="Palatino Linotype"/>
        </w:rPr>
        <w:t xml:space="preserve">The domain of off-road mobility quietly deviates </w:t>
      </w:r>
      <w:r w:rsidR="00A85591">
        <w:rPr>
          <w:rFonts w:ascii="Palatino Linotype" w:hAnsi="Palatino Linotype"/>
        </w:rPr>
        <w:t>from</w:t>
      </w:r>
      <w:r w:rsidRPr="00130BEA">
        <w:rPr>
          <w:rFonts w:ascii="Palatino Linotype" w:hAnsi="Palatino Linotype"/>
        </w:rPr>
        <w:t xml:space="preserve"> the moment tire rolls on the soft </w:t>
      </w:r>
      <w:r w:rsidR="00A85591" w:rsidRPr="00130BEA">
        <w:rPr>
          <w:rFonts w:ascii="Palatino Linotype" w:hAnsi="Palatino Linotype"/>
        </w:rPr>
        <w:t>ground;</w:t>
      </w:r>
      <w:r w:rsidRPr="00130BEA">
        <w:rPr>
          <w:rFonts w:ascii="Palatino Linotype" w:hAnsi="Palatino Linotype"/>
        </w:rPr>
        <w:t xml:space="preserve"> the ground itself becomes a load carrying medium dictating the performance of the vehicle. Add the uneven terrain to this, and you have a problem where the tire forces are not consistent, vehicles need to have high suspension travel, and you need to design the suspension to mitigate vehicle rollover while tackling the obstacles. The purpose of this opening seminar is to map exactly where the classical picture breaks, why it breaks, and what we will replace it with over next sessions.</w:t>
      </w:r>
    </w:p>
    <w:p w14:paraId="01842D34" w14:textId="77777777" w:rsidR="00E959BF" w:rsidRPr="00130BEA" w:rsidRDefault="00000000" w:rsidP="00130BEA">
      <w:pPr>
        <w:spacing w:after="160" w:line="300" w:lineRule="auto"/>
        <w:ind w:firstLine="360"/>
        <w:jc w:val="both"/>
        <w:rPr>
          <w:rFonts w:ascii="Palatino Linotype" w:hAnsi="Palatino Linotype"/>
        </w:rPr>
      </w:pPr>
      <w:r w:rsidRPr="00130BEA">
        <w:rPr>
          <w:rFonts w:ascii="Palatino Linotype" w:hAnsi="Palatino Linotype"/>
        </w:rPr>
        <w:t>I will go over the concepts of vehicle dynamics from an on-road perspective first as it is necessary to understand and apply concepts at fundamental level. Here are the reference books, which I followed in the order, for studying vehicle dynamics.</w:t>
      </w:r>
    </w:p>
    <w:p w14:paraId="46C6C7C8" w14:textId="3CC7190A" w:rsidR="00E959BF" w:rsidRPr="00130BEA" w:rsidRDefault="00106B79" w:rsidP="00130BEA">
      <w:pPr>
        <w:pStyle w:val="ListParagraph"/>
        <w:numPr>
          <w:ilvl w:val="0"/>
          <w:numId w:val="2"/>
        </w:numPr>
        <w:spacing w:line="300" w:lineRule="auto"/>
        <w:ind w:left="360"/>
        <w:rPr>
          <w:rFonts w:ascii="Palatino Linotype" w:hAnsi="Palatino Linotype"/>
        </w:rPr>
      </w:pPr>
      <w:r w:rsidRPr="00130BEA">
        <w:rPr>
          <w:rFonts w:ascii="Palatino Linotype" w:hAnsi="Palatino Linotype"/>
        </w:rPr>
        <w:t>Race Car Vehicle Dynamics</w:t>
      </w:r>
      <w:r>
        <w:rPr>
          <w:rFonts w:ascii="Palatino Linotype" w:hAnsi="Palatino Linotype"/>
        </w:rPr>
        <w:t>,</w:t>
      </w:r>
      <w:r w:rsidRPr="00130BEA">
        <w:rPr>
          <w:rFonts w:ascii="Palatino Linotype" w:hAnsi="Palatino Linotype"/>
        </w:rPr>
        <w:t xml:space="preserve"> W. F. Milliken and D. L. Milliken</w:t>
      </w:r>
      <w:r>
        <w:rPr>
          <w:rFonts w:ascii="Palatino Linotype" w:hAnsi="Palatino Linotype"/>
        </w:rPr>
        <w:t>.</w:t>
      </w:r>
    </w:p>
    <w:p w14:paraId="52EB1DB8" w14:textId="2F8E790C" w:rsidR="00E959BF" w:rsidRPr="00130BEA" w:rsidRDefault="00106B79" w:rsidP="00130BEA">
      <w:pPr>
        <w:pStyle w:val="ListParagraph"/>
        <w:numPr>
          <w:ilvl w:val="0"/>
          <w:numId w:val="2"/>
        </w:numPr>
        <w:spacing w:line="300" w:lineRule="auto"/>
        <w:ind w:left="360"/>
        <w:rPr>
          <w:rFonts w:ascii="Palatino Linotype" w:hAnsi="Palatino Linotype"/>
        </w:rPr>
      </w:pPr>
      <w:r w:rsidRPr="00130BEA">
        <w:rPr>
          <w:rFonts w:ascii="Palatino Linotype" w:hAnsi="Palatino Linotype"/>
        </w:rPr>
        <w:t xml:space="preserve">Tire and Vehicle Dynamics, H. B. </w:t>
      </w:r>
      <w:proofErr w:type="spellStart"/>
      <w:r w:rsidRPr="00130BEA">
        <w:rPr>
          <w:rFonts w:ascii="Palatino Linotype" w:hAnsi="Palatino Linotype"/>
        </w:rPr>
        <w:t>Pacejka</w:t>
      </w:r>
      <w:proofErr w:type="spellEnd"/>
      <w:r>
        <w:rPr>
          <w:rFonts w:ascii="Palatino Linotype" w:hAnsi="Palatino Linotype"/>
        </w:rPr>
        <w:t>.</w:t>
      </w:r>
    </w:p>
    <w:p w14:paraId="20E00DE3" w14:textId="698A61B5" w:rsidR="00E959BF" w:rsidRPr="00130BEA" w:rsidRDefault="00106B79" w:rsidP="00130BEA">
      <w:pPr>
        <w:pStyle w:val="ListParagraph"/>
        <w:numPr>
          <w:ilvl w:val="0"/>
          <w:numId w:val="2"/>
        </w:numPr>
        <w:spacing w:line="300" w:lineRule="auto"/>
        <w:ind w:left="360"/>
        <w:rPr>
          <w:rFonts w:ascii="Palatino Linotype" w:hAnsi="Palatino Linotype"/>
        </w:rPr>
      </w:pPr>
      <w:r w:rsidRPr="00130BEA">
        <w:rPr>
          <w:rFonts w:ascii="Palatino Linotype" w:hAnsi="Palatino Linotype"/>
        </w:rPr>
        <w:t>Terramechanics and Off-Road Vehicle Engineering</w:t>
      </w:r>
      <w:r>
        <w:rPr>
          <w:rFonts w:ascii="Palatino Linotype" w:hAnsi="Palatino Linotype"/>
        </w:rPr>
        <w:t>,</w:t>
      </w:r>
      <w:r w:rsidRPr="00130BEA">
        <w:rPr>
          <w:rFonts w:ascii="Palatino Linotype" w:hAnsi="Palatino Linotype"/>
        </w:rPr>
        <w:t xml:space="preserve"> J. Y. Wong</w:t>
      </w:r>
      <w:r>
        <w:rPr>
          <w:rFonts w:ascii="Palatino Linotype" w:hAnsi="Palatino Linotype"/>
        </w:rPr>
        <w:t>.</w:t>
      </w:r>
    </w:p>
    <w:p w14:paraId="4E818279" w14:textId="25A0E275" w:rsidR="00E959BF" w:rsidRPr="00130BEA" w:rsidRDefault="00000000" w:rsidP="00130BEA">
      <w:pPr>
        <w:pStyle w:val="Heading1"/>
        <w:spacing w:before="320" w:after="160"/>
        <w:rPr>
          <w:rFonts w:ascii="Palatino Linotype" w:hAnsi="Palatino Linotype"/>
          <w:color w:val="auto"/>
        </w:rPr>
      </w:pPr>
      <w:r w:rsidRPr="00130BEA">
        <w:rPr>
          <w:rFonts w:ascii="Palatino Linotype" w:hAnsi="Palatino Linotype"/>
          <w:b/>
          <w:bCs/>
          <w:color w:val="auto"/>
          <w:sz w:val="28"/>
          <w:szCs w:val="28"/>
        </w:rPr>
        <w:t>What vehicle dynamics covers</w:t>
      </w:r>
    </w:p>
    <w:p w14:paraId="597740F6" w14:textId="047D49E5" w:rsidR="00E959BF" w:rsidRPr="00130BEA" w:rsidRDefault="00000000" w:rsidP="00A85591">
      <w:pPr>
        <w:tabs>
          <w:tab w:val="left" w:pos="0"/>
        </w:tabs>
        <w:spacing w:line="300" w:lineRule="auto"/>
        <w:ind w:firstLine="360"/>
        <w:jc w:val="both"/>
        <w:rPr>
          <w:rFonts w:ascii="Palatino Linotype" w:hAnsi="Palatino Linotype"/>
        </w:rPr>
      </w:pPr>
      <w:r w:rsidRPr="00130BEA">
        <w:rPr>
          <w:rFonts w:ascii="Palatino Linotype" w:hAnsi="Palatino Linotype"/>
        </w:rPr>
        <w:t xml:space="preserve">Vehicle dynamics is a broad field which covers a lot of domains. In this series, I am going to focus on suspension and steering concepts applicable to a collegiate team. </w:t>
      </w:r>
      <w:r w:rsidR="00A85591">
        <w:rPr>
          <w:rFonts w:ascii="Palatino Linotype" w:hAnsi="Palatino Linotype"/>
        </w:rPr>
        <w:t>The</w:t>
      </w:r>
      <w:r w:rsidRPr="00130BEA">
        <w:rPr>
          <w:rFonts w:ascii="Palatino Linotype" w:hAnsi="Palatino Linotype"/>
        </w:rPr>
        <w:t xml:space="preserve"> longitudinal (traction and braking) dynamics are deliberately outside the scope of this series. The domains covered in this series are:</w:t>
      </w:r>
    </w:p>
    <w:p w14:paraId="4F03F183" w14:textId="77777777" w:rsidR="00E959BF" w:rsidRPr="00130BEA" w:rsidRDefault="00000000" w:rsidP="00130BEA">
      <w:pPr>
        <w:pStyle w:val="ListParagraph"/>
        <w:numPr>
          <w:ilvl w:val="0"/>
          <w:numId w:val="3"/>
        </w:numPr>
        <w:tabs>
          <w:tab w:val="left" w:pos="360"/>
        </w:tabs>
        <w:spacing w:line="300" w:lineRule="auto"/>
        <w:ind w:left="360" w:hanging="360"/>
        <w:rPr>
          <w:rFonts w:ascii="Palatino Linotype" w:hAnsi="Palatino Linotype"/>
        </w:rPr>
      </w:pPr>
      <w:r w:rsidRPr="00130BEA">
        <w:rPr>
          <w:rFonts w:ascii="Palatino Linotype" w:hAnsi="Palatino Linotype"/>
          <w:b/>
          <w:bCs/>
        </w:rPr>
        <w:t xml:space="preserve">Ride: </w:t>
      </w:r>
      <w:r w:rsidRPr="00130BEA">
        <w:rPr>
          <w:rFonts w:ascii="Palatino Linotype" w:hAnsi="Palatino Linotype"/>
        </w:rPr>
        <w:t>How the vehicle isolates its occupants from terrain inputs, i.e. vibrations and gross body motions over rough ground.</w:t>
      </w:r>
    </w:p>
    <w:p w14:paraId="655507C1" w14:textId="77777777" w:rsidR="00E959BF" w:rsidRPr="00130BEA" w:rsidRDefault="00000000" w:rsidP="00130BEA">
      <w:pPr>
        <w:pStyle w:val="ListParagraph"/>
        <w:numPr>
          <w:ilvl w:val="0"/>
          <w:numId w:val="3"/>
        </w:numPr>
        <w:tabs>
          <w:tab w:val="left" w:pos="360"/>
        </w:tabs>
        <w:spacing w:line="300" w:lineRule="auto"/>
        <w:ind w:left="360" w:hanging="360"/>
        <w:rPr>
          <w:rFonts w:ascii="Palatino Linotype" w:hAnsi="Palatino Linotype"/>
        </w:rPr>
      </w:pPr>
      <w:r w:rsidRPr="00130BEA">
        <w:rPr>
          <w:rFonts w:ascii="Palatino Linotype" w:hAnsi="Palatino Linotype"/>
          <w:b/>
          <w:bCs/>
        </w:rPr>
        <w:t xml:space="preserve">Handling: </w:t>
      </w:r>
      <w:r w:rsidRPr="00130BEA">
        <w:rPr>
          <w:rFonts w:ascii="Palatino Linotype" w:hAnsi="Palatino Linotype"/>
        </w:rPr>
        <w:t>How the vehicle responds to driver steering inputs; the mapping from handwheel angle to path curvature, and the balance between the front and rear axles.</w:t>
      </w:r>
    </w:p>
    <w:p w14:paraId="0A1756CD" w14:textId="77777777" w:rsidR="00E959BF" w:rsidRPr="00130BEA" w:rsidRDefault="00000000" w:rsidP="00130BEA">
      <w:pPr>
        <w:pStyle w:val="ListParagraph"/>
        <w:numPr>
          <w:ilvl w:val="0"/>
          <w:numId w:val="3"/>
        </w:numPr>
        <w:tabs>
          <w:tab w:val="left" w:pos="360"/>
        </w:tabs>
        <w:spacing w:line="300" w:lineRule="auto"/>
        <w:ind w:left="360" w:hanging="360"/>
        <w:rPr>
          <w:rFonts w:ascii="Palatino Linotype" w:hAnsi="Palatino Linotype"/>
        </w:rPr>
      </w:pPr>
      <w:r w:rsidRPr="00130BEA">
        <w:rPr>
          <w:rFonts w:ascii="Palatino Linotype" w:hAnsi="Palatino Linotype"/>
          <w:b/>
          <w:bCs/>
        </w:rPr>
        <w:t xml:space="preserve">Stability: </w:t>
      </w:r>
      <w:r w:rsidRPr="00130BEA">
        <w:rPr>
          <w:rFonts w:ascii="Palatino Linotype" w:hAnsi="Palatino Linotype"/>
        </w:rPr>
        <w:t>Whether the vehicle remains upright and pointed in the intended direction, rollover margins, yaw stability, and the diagrams that quantify them.</w:t>
      </w:r>
    </w:p>
    <w:p w14:paraId="3C69A83A" w14:textId="77777777" w:rsidR="00E959BF" w:rsidRPr="00130BEA" w:rsidRDefault="00000000" w:rsidP="00130BEA">
      <w:pPr>
        <w:pStyle w:val="ListParagraph"/>
        <w:numPr>
          <w:ilvl w:val="0"/>
          <w:numId w:val="3"/>
        </w:numPr>
        <w:tabs>
          <w:tab w:val="left" w:pos="360"/>
        </w:tabs>
        <w:spacing w:line="300" w:lineRule="auto"/>
        <w:ind w:left="360" w:hanging="360"/>
        <w:rPr>
          <w:rFonts w:ascii="Palatino Linotype" w:hAnsi="Palatino Linotype"/>
        </w:rPr>
      </w:pPr>
      <w:r w:rsidRPr="00130BEA">
        <w:rPr>
          <w:rFonts w:ascii="Palatino Linotype" w:hAnsi="Palatino Linotype"/>
          <w:b/>
          <w:bCs/>
        </w:rPr>
        <w:t xml:space="preserve">Loads: </w:t>
      </w:r>
      <w:r w:rsidRPr="00130BEA">
        <w:rPr>
          <w:rFonts w:ascii="Palatino Linotype" w:hAnsi="Palatino Linotype"/>
        </w:rPr>
        <w:t>The forces the structure, suspension, and driveline must survive which, off-road, are dominated by discrete severe events rather than smooth-road spectra.</w:t>
      </w:r>
    </w:p>
    <w:p w14:paraId="3C6783ED" w14:textId="528810A6" w:rsidR="00E959BF" w:rsidRPr="00130BEA" w:rsidRDefault="00000000" w:rsidP="00130BEA">
      <w:pPr>
        <w:pStyle w:val="Heading1"/>
        <w:spacing w:before="320" w:after="160"/>
        <w:rPr>
          <w:rFonts w:ascii="Palatino Linotype" w:hAnsi="Palatino Linotype"/>
          <w:color w:val="auto"/>
        </w:rPr>
      </w:pPr>
      <w:r w:rsidRPr="00130BEA">
        <w:rPr>
          <w:rFonts w:ascii="Palatino Linotype" w:hAnsi="Palatino Linotype"/>
          <w:b/>
          <w:bCs/>
          <w:color w:val="auto"/>
          <w:sz w:val="28"/>
          <w:szCs w:val="28"/>
        </w:rPr>
        <w:lastRenderedPageBreak/>
        <w:t>On-road assumptions: strengths and limitations</w:t>
      </w:r>
    </w:p>
    <w:p w14:paraId="6A3CE02E" w14:textId="552A5646" w:rsidR="00E959BF" w:rsidRPr="00130BEA" w:rsidRDefault="00000000" w:rsidP="00130BEA">
      <w:pPr>
        <w:spacing w:after="160" w:line="300" w:lineRule="auto"/>
        <w:ind w:firstLine="360"/>
        <w:jc w:val="both"/>
        <w:rPr>
          <w:rFonts w:ascii="Palatino Linotype" w:hAnsi="Palatino Linotype"/>
        </w:rPr>
      </w:pPr>
      <w:r w:rsidRPr="00130BEA">
        <w:rPr>
          <w:rFonts w:ascii="Palatino Linotype" w:hAnsi="Palatino Linotype"/>
        </w:rPr>
        <w:t xml:space="preserve">The </w:t>
      </w:r>
      <w:r w:rsidR="00106B79">
        <w:rPr>
          <w:rFonts w:ascii="Palatino Linotype" w:hAnsi="Palatino Linotype"/>
        </w:rPr>
        <w:t xml:space="preserve">classical on-road vehicle dynamics is simplified based </w:t>
      </w:r>
      <w:proofErr w:type="gramStart"/>
      <w:r w:rsidR="00106B79">
        <w:rPr>
          <w:rFonts w:ascii="Palatino Linotype" w:hAnsi="Palatino Linotype"/>
        </w:rPr>
        <w:t>of</w:t>
      </w:r>
      <w:proofErr w:type="gramEnd"/>
      <w:r w:rsidR="00106B79">
        <w:rPr>
          <w:rFonts w:ascii="Palatino Linotype" w:hAnsi="Palatino Linotype"/>
        </w:rPr>
        <w:t xml:space="preserve"> a few assumptions, which make it easier for users to formulate the problem and understand the isolated vehicle response while neglecting the more complex phenomenon. Let us understand a few of them and how they fare in off-road conditions.</w:t>
      </w:r>
    </w:p>
    <w:p w14:paraId="3C7130AF" w14:textId="77777777" w:rsidR="00E959BF" w:rsidRPr="00130BEA" w:rsidRDefault="00000000" w:rsidP="00130BEA">
      <w:pPr>
        <w:pStyle w:val="ListParagraph"/>
        <w:numPr>
          <w:ilvl w:val="0"/>
          <w:numId w:val="4"/>
        </w:numPr>
        <w:spacing w:line="300" w:lineRule="auto"/>
        <w:ind w:left="360"/>
        <w:rPr>
          <w:rFonts w:ascii="Palatino Linotype" w:hAnsi="Palatino Linotype"/>
        </w:rPr>
      </w:pPr>
      <w:r w:rsidRPr="00130BEA">
        <w:rPr>
          <w:rFonts w:ascii="Palatino Linotype" w:hAnsi="Palatino Linotype"/>
          <w:b/>
          <w:bCs/>
        </w:rPr>
        <w:t>The rigid flat road</w:t>
      </w:r>
    </w:p>
    <w:p w14:paraId="5D657999" w14:textId="32E2D2B7" w:rsidR="00E959BF" w:rsidRPr="00130BEA" w:rsidRDefault="00000000" w:rsidP="00130BEA">
      <w:pPr>
        <w:spacing w:line="300" w:lineRule="auto"/>
        <w:ind w:firstLine="360"/>
        <w:jc w:val="both"/>
        <w:rPr>
          <w:rFonts w:ascii="Palatino Linotype" w:hAnsi="Palatino Linotype"/>
        </w:rPr>
      </w:pPr>
      <w:r w:rsidRPr="00130BEA">
        <w:rPr>
          <w:rFonts w:ascii="Palatino Linotype" w:hAnsi="Palatino Linotype"/>
        </w:rPr>
        <w:t xml:space="preserve">It turns the road into a known, deterministic boundary condition. All compliance is assigned to the tire and suspension, so the contact patch geometry is known, the normal load path is simple, and the road profile becomes a clean displacement input at the tire. This single assumption is what allows ride analysis to treat the road as an input signal and the vehicle as a system, and it lets a tire </w:t>
      </w:r>
      <w:proofErr w:type="gramStart"/>
      <w:r w:rsidRPr="00130BEA">
        <w:rPr>
          <w:rFonts w:ascii="Palatino Linotype" w:hAnsi="Palatino Linotype"/>
        </w:rPr>
        <w:t>tested</w:t>
      </w:r>
      <w:proofErr w:type="gramEnd"/>
      <w:r w:rsidRPr="00130BEA">
        <w:rPr>
          <w:rFonts w:ascii="Palatino Linotype" w:hAnsi="Palatino Linotype"/>
        </w:rPr>
        <w:t xml:space="preserve"> on a flat-track machine represent the tire on any paved road.</w:t>
      </w:r>
    </w:p>
    <w:p w14:paraId="18F6BC20" w14:textId="4CFDBE56" w:rsidR="00E959BF" w:rsidRPr="00130BEA" w:rsidRDefault="00000000" w:rsidP="00130BEA">
      <w:pPr>
        <w:spacing w:after="200" w:line="300" w:lineRule="auto"/>
        <w:ind w:firstLine="360"/>
        <w:jc w:val="both"/>
        <w:rPr>
          <w:rFonts w:ascii="Palatino Linotype" w:hAnsi="Palatino Linotype"/>
        </w:rPr>
      </w:pPr>
      <w:r w:rsidRPr="00130BEA">
        <w:rPr>
          <w:rFonts w:ascii="Palatino Linotype" w:hAnsi="Palatino Linotype"/>
        </w:rPr>
        <w:t xml:space="preserve">On soft soil the ground is no longer a boundary condition; it is a second deformable body in series with the tire. The soil compacts under normal load, shears under the tire, and dissipates energy that on pavement would simply not exist, which is the origin of motion resistance due to sinkage. </w:t>
      </w:r>
      <w:r w:rsidR="00A85591">
        <w:rPr>
          <w:rFonts w:ascii="Palatino Linotype" w:hAnsi="Palatino Linotype"/>
        </w:rPr>
        <w:t xml:space="preserve">Dr. </w:t>
      </w:r>
      <w:r w:rsidRPr="00130BEA">
        <w:rPr>
          <w:rFonts w:ascii="Palatino Linotype" w:hAnsi="Palatino Linotype"/>
        </w:rPr>
        <w:t xml:space="preserve">Wong formalizes this through pressure-sinkage relations (the Bekker equation) and shear stress-displacement relations. </w:t>
      </w:r>
      <w:r w:rsidR="00130BEA">
        <w:rPr>
          <w:rFonts w:ascii="Palatino Linotype" w:hAnsi="Palatino Linotype"/>
        </w:rPr>
        <w:t>For uneven terrain, the tire loses contact going over obstacles and simple point contact models become obsolete</w:t>
      </w:r>
      <w:r w:rsidRPr="00130BEA">
        <w:rPr>
          <w:rFonts w:ascii="Palatino Linotype" w:hAnsi="Palatino Linotype"/>
        </w:rPr>
        <w:t>.</w:t>
      </w:r>
    </w:p>
    <w:p w14:paraId="4C9BCD6C" w14:textId="77777777" w:rsidR="00E959BF" w:rsidRPr="00130BEA" w:rsidRDefault="00000000" w:rsidP="00ED469C">
      <w:pPr>
        <w:pStyle w:val="ListParagraph"/>
        <w:numPr>
          <w:ilvl w:val="0"/>
          <w:numId w:val="4"/>
        </w:numPr>
        <w:spacing w:line="300" w:lineRule="auto"/>
        <w:ind w:left="0" w:firstLine="360"/>
        <w:rPr>
          <w:rFonts w:ascii="Palatino Linotype" w:hAnsi="Palatino Linotype"/>
        </w:rPr>
      </w:pPr>
      <w:r w:rsidRPr="00130BEA">
        <w:rPr>
          <w:rFonts w:ascii="Palatino Linotype" w:hAnsi="Palatino Linotype"/>
          <w:b/>
          <w:bCs/>
        </w:rPr>
        <w:t>Small suspension travel</w:t>
      </w:r>
    </w:p>
    <w:p w14:paraId="1024921C" w14:textId="642A7960" w:rsidR="00E959BF" w:rsidRPr="00130BEA" w:rsidRDefault="00000000" w:rsidP="00ED469C">
      <w:pPr>
        <w:spacing w:line="300" w:lineRule="auto"/>
        <w:ind w:firstLine="360"/>
        <w:jc w:val="both"/>
        <w:rPr>
          <w:rFonts w:ascii="Palatino Linotype" w:hAnsi="Palatino Linotype"/>
        </w:rPr>
      </w:pPr>
      <w:r w:rsidRPr="00130BEA">
        <w:rPr>
          <w:rFonts w:ascii="Palatino Linotype" w:hAnsi="Palatino Linotype"/>
        </w:rPr>
        <w:t xml:space="preserve">Kinematic quantities such as camber, toe, and roll-center height </w:t>
      </w:r>
      <w:r w:rsidR="00ED469C">
        <w:rPr>
          <w:rFonts w:ascii="Palatino Linotype" w:hAnsi="Palatino Linotype"/>
        </w:rPr>
        <w:t xml:space="preserve">do not vary much and </w:t>
      </w:r>
      <w:r w:rsidRPr="00130BEA">
        <w:rPr>
          <w:rFonts w:ascii="Palatino Linotype" w:hAnsi="Palatino Linotype"/>
        </w:rPr>
        <w:t>can be linearized about the design position. Constants can be tabulated</w:t>
      </w:r>
      <w:r w:rsidR="00ED469C">
        <w:rPr>
          <w:rFonts w:ascii="Palatino Linotype" w:hAnsi="Palatino Linotype"/>
        </w:rPr>
        <w:t xml:space="preserve"> and </w:t>
      </w:r>
      <w:r w:rsidRPr="00130BEA">
        <w:rPr>
          <w:rFonts w:ascii="Palatino Linotype" w:hAnsi="Palatino Linotype"/>
        </w:rPr>
        <w:t>compared between designs</w:t>
      </w:r>
      <w:r w:rsidR="00ED469C">
        <w:rPr>
          <w:rFonts w:ascii="Palatino Linotype" w:hAnsi="Palatino Linotype"/>
        </w:rPr>
        <w:t>. This allows engineers to ensure the suspension parameters stay within the range and tire maintains required traction at extreme operating conditions as well.</w:t>
      </w:r>
    </w:p>
    <w:p w14:paraId="660608E5" w14:textId="3D7BD1D8" w:rsidR="00E959BF" w:rsidRPr="00130BEA" w:rsidRDefault="00000000" w:rsidP="00130BEA">
      <w:pPr>
        <w:spacing w:after="200" w:line="300" w:lineRule="auto"/>
        <w:ind w:firstLine="360"/>
        <w:jc w:val="both"/>
        <w:rPr>
          <w:rFonts w:ascii="Palatino Linotype" w:hAnsi="Palatino Linotype"/>
        </w:rPr>
      </w:pPr>
      <w:r w:rsidRPr="00130BEA">
        <w:rPr>
          <w:rFonts w:ascii="Palatino Linotype" w:hAnsi="Palatino Linotype"/>
        </w:rPr>
        <w:t>Off-road suspensions routinely provide 250 to 350 millimeters of wheel travel</w:t>
      </w:r>
      <w:r w:rsidR="00ED469C">
        <w:rPr>
          <w:rFonts w:ascii="Palatino Linotype" w:hAnsi="Palatino Linotype"/>
        </w:rPr>
        <w:t xml:space="preserve"> or more based on the application</w:t>
      </w:r>
      <w:r w:rsidRPr="00130BEA">
        <w:rPr>
          <w:rFonts w:ascii="Palatino Linotype" w:hAnsi="Palatino Linotype"/>
        </w:rPr>
        <w:t>. Over such strokes, camber can sweep through several degrees, the roll center can migrate by large fractions of its nominal height, and spring and damper motion ratios change meaningfully. Constants become curves</w:t>
      </w:r>
      <w:r w:rsidR="00C04FC8">
        <w:rPr>
          <w:rFonts w:ascii="Palatino Linotype" w:hAnsi="Palatino Linotype"/>
        </w:rPr>
        <w:t xml:space="preserve"> and packaging, and compliance issues increase</w:t>
      </w:r>
      <w:r w:rsidR="00A85591">
        <w:rPr>
          <w:rFonts w:ascii="Palatino Linotype" w:hAnsi="Palatino Linotype"/>
        </w:rPr>
        <w:t>,</w:t>
      </w:r>
      <w:r w:rsidR="00C04FC8">
        <w:rPr>
          <w:rFonts w:ascii="Palatino Linotype" w:hAnsi="Palatino Linotype"/>
        </w:rPr>
        <w:t xml:space="preserve"> making all design decisions trade-offs according to one’s vehicle goals and performance targets.</w:t>
      </w:r>
    </w:p>
    <w:p w14:paraId="10903966" w14:textId="77777777" w:rsidR="00E959BF" w:rsidRPr="00130BEA" w:rsidRDefault="00000000" w:rsidP="00130BEA">
      <w:pPr>
        <w:pStyle w:val="ListParagraph"/>
        <w:numPr>
          <w:ilvl w:val="0"/>
          <w:numId w:val="4"/>
        </w:numPr>
        <w:spacing w:after="80" w:line="300" w:lineRule="auto"/>
        <w:ind w:left="0" w:firstLine="360"/>
        <w:rPr>
          <w:rFonts w:ascii="Palatino Linotype" w:hAnsi="Palatino Linotype"/>
        </w:rPr>
      </w:pPr>
      <w:r w:rsidRPr="00130BEA">
        <w:rPr>
          <w:rFonts w:ascii="Palatino Linotype" w:hAnsi="Palatino Linotype"/>
          <w:b/>
          <w:bCs/>
        </w:rPr>
        <w:t>Linear tire behavior at small slip angles</w:t>
      </w:r>
    </w:p>
    <w:p w14:paraId="07F6A95E" w14:textId="02F474D8" w:rsidR="00E959BF" w:rsidRPr="00130BEA" w:rsidRDefault="00000000" w:rsidP="00C04FC8">
      <w:pPr>
        <w:spacing w:line="300" w:lineRule="auto"/>
        <w:ind w:firstLine="360"/>
        <w:jc w:val="both"/>
        <w:rPr>
          <w:rFonts w:ascii="Palatino Linotype" w:hAnsi="Palatino Linotype"/>
        </w:rPr>
      </w:pPr>
      <w:r w:rsidRPr="00130BEA">
        <w:rPr>
          <w:rFonts w:ascii="Palatino Linotype" w:hAnsi="Palatino Linotype"/>
        </w:rPr>
        <w:t xml:space="preserve">It reduces the tire, the most complex component on the vehicle, to a single number: cornering stiffness. With that number, the bicycle model closes, the understeer gradient exists, and steering response can be predicted with algebra instead of simulation. Nearly the entire steady-state </w:t>
      </w:r>
      <w:r w:rsidRPr="00130BEA">
        <w:rPr>
          <w:rFonts w:ascii="Palatino Linotype" w:hAnsi="Palatino Linotype"/>
        </w:rPr>
        <w:lastRenderedPageBreak/>
        <w:t xml:space="preserve">handling framework of Milliken rests on this linearization, and on smooth pavement at moderate lateral acceleration it is </w:t>
      </w:r>
      <w:r w:rsidR="00C04FC8" w:rsidRPr="00130BEA">
        <w:rPr>
          <w:rFonts w:ascii="Palatino Linotype" w:hAnsi="Palatino Linotype"/>
        </w:rPr>
        <w:t>genuinely</w:t>
      </w:r>
      <w:r w:rsidRPr="00130BEA">
        <w:rPr>
          <w:rFonts w:ascii="Palatino Linotype" w:hAnsi="Palatino Linotype"/>
        </w:rPr>
        <w:t xml:space="preserve"> accurate.</w:t>
      </w:r>
    </w:p>
    <w:p w14:paraId="1CCC2E2D" w14:textId="4E62E40A" w:rsidR="00E959BF" w:rsidRPr="00130BEA" w:rsidRDefault="00000000" w:rsidP="00130BEA">
      <w:pPr>
        <w:spacing w:after="200" w:line="300" w:lineRule="auto"/>
        <w:ind w:firstLine="360"/>
        <w:jc w:val="both"/>
        <w:rPr>
          <w:rFonts w:ascii="Palatino Linotype" w:hAnsi="Palatino Linotype"/>
        </w:rPr>
      </w:pPr>
      <w:r w:rsidRPr="00130BEA">
        <w:rPr>
          <w:rFonts w:ascii="Palatino Linotype" w:hAnsi="Palatino Linotype"/>
        </w:rPr>
        <w:t>Cornering stiffness is not one number off-road. It varies with normal load (which varies constantly over rough terrain), with inflation pressure (which off-road vehicles deliberately change), and with the surface</w:t>
      </w:r>
      <w:r w:rsidR="00C04FC8">
        <w:rPr>
          <w:rFonts w:ascii="Palatino Linotype" w:hAnsi="Palatino Linotype"/>
        </w:rPr>
        <w:t>/terrain</w:t>
      </w:r>
      <w:r w:rsidRPr="00130BEA">
        <w:rPr>
          <w:rFonts w:ascii="Palatino Linotype" w:hAnsi="Palatino Linotype"/>
        </w:rPr>
        <w:t xml:space="preserve"> itself. Handling metrics therefore become operating-point-dependent: every understeer gradient we compute in this series will carry an explicit statement of the load, pressure, and surface it assumes.</w:t>
      </w:r>
    </w:p>
    <w:p w14:paraId="60144292" w14:textId="77777777" w:rsidR="00E959BF" w:rsidRPr="00130BEA" w:rsidRDefault="00000000" w:rsidP="00130BEA">
      <w:pPr>
        <w:pStyle w:val="ListParagraph"/>
        <w:numPr>
          <w:ilvl w:val="0"/>
          <w:numId w:val="4"/>
        </w:numPr>
        <w:spacing w:after="80" w:line="300" w:lineRule="auto"/>
        <w:ind w:left="0" w:firstLine="360"/>
        <w:rPr>
          <w:rFonts w:ascii="Palatino Linotype" w:hAnsi="Palatino Linotype"/>
        </w:rPr>
      </w:pPr>
      <w:r w:rsidRPr="00130BEA">
        <w:rPr>
          <w:rFonts w:ascii="Palatino Linotype" w:hAnsi="Palatino Linotype"/>
          <w:b/>
          <w:bCs/>
        </w:rPr>
        <w:t>Steady friction</w:t>
      </w:r>
    </w:p>
    <w:p w14:paraId="044ACD29" w14:textId="42D33DA8" w:rsidR="00E959BF" w:rsidRPr="00130BEA" w:rsidRDefault="00000000" w:rsidP="00C04FC8">
      <w:pPr>
        <w:spacing w:line="300" w:lineRule="auto"/>
        <w:ind w:firstLine="360"/>
        <w:jc w:val="both"/>
        <w:rPr>
          <w:rFonts w:ascii="Palatino Linotype" w:hAnsi="Palatino Linotype"/>
        </w:rPr>
      </w:pPr>
      <w:r w:rsidRPr="00130BEA">
        <w:rPr>
          <w:rFonts w:ascii="Palatino Linotype" w:hAnsi="Palatino Linotype"/>
        </w:rPr>
        <w:t>A single friction coefficient, roughly constant along the road, closes the force equations. It gives rise to the friction circle, to meaningful limit envelopes, and to the entire steady-state handling apparatus of understeer gradients and stability derivatives. It also means a result measured on one section of pavement transfers to another, which is what makes proving-ground testing representative at all.</w:t>
      </w:r>
    </w:p>
    <w:p w14:paraId="44AD4382" w14:textId="747BDBEB" w:rsidR="00E959BF" w:rsidRPr="00130BEA" w:rsidRDefault="00000000" w:rsidP="00130BEA">
      <w:pPr>
        <w:spacing w:after="200" w:line="300" w:lineRule="auto"/>
        <w:ind w:firstLine="360"/>
        <w:jc w:val="both"/>
        <w:rPr>
          <w:rFonts w:ascii="Palatino Linotype" w:hAnsi="Palatino Linotype"/>
        </w:rPr>
      </w:pPr>
      <w:r w:rsidRPr="00130BEA">
        <w:rPr>
          <w:rFonts w:ascii="Palatino Linotype" w:hAnsi="Palatino Linotype"/>
        </w:rPr>
        <w:t>Grip off-road varies meter by meter with soil composition, moisture, slope, the normal load itself</w:t>
      </w:r>
      <w:r w:rsidR="00C04FC8">
        <w:rPr>
          <w:rFonts w:ascii="Palatino Linotype" w:hAnsi="Palatino Linotype"/>
        </w:rPr>
        <w:t xml:space="preserve"> and many other parameters</w:t>
      </w:r>
      <w:r w:rsidRPr="00130BEA">
        <w:rPr>
          <w:rFonts w:ascii="Palatino Linotype" w:hAnsi="Palatino Linotype"/>
        </w:rPr>
        <w:t xml:space="preserve">. The friction-circle picture holds only locally, </w:t>
      </w:r>
      <w:r w:rsidR="00C04FC8">
        <w:rPr>
          <w:rFonts w:ascii="Palatino Linotype" w:hAnsi="Palatino Linotype"/>
        </w:rPr>
        <w:t xml:space="preserve">but </w:t>
      </w:r>
      <w:r w:rsidRPr="00130BEA">
        <w:rPr>
          <w:rFonts w:ascii="Palatino Linotype" w:hAnsi="Palatino Linotype"/>
        </w:rPr>
        <w:t xml:space="preserve">the lateral grip available to the suspension and steering </w:t>
      </w:r>
      <w:r w:rsidR="00C04FC8">
        <w:rPr>
          <w:rFonts w:ascii="Palatino Linotype" w:hAnsi="Palatino Linotype"/>
        </w:rPr>
        <w:t>depends on the strength of the soil</w:t>
      </w:r>
      <w:r w:rsidRPr="00130BEA">
        <w:rPr>
          <w:rFonts w:ascii="Palatino Linotype" w:hAnsi="Palatino Linotype"/>
        </w:rPr>
        <w:t xml:space="preserve">. </w:t>
      </w:r>
      <w:r w:rsidR="00C04FC8">
        <w:rPr>
          <w:rFonts w:ascii="Palatino Linotype" w:hAnsi="Palatino Linotype"/>
        </w:rPr>
        <w:t>If the shear strength of the terrain is reached, the vehicle slips or skids, even if the forces are below the limiting friction bounds. This leads to overestimation of vehicle performance when you consider off-road scenarios.</w:t>
      </w:r>
    </w:p>
    <w:p w14:paraId="55E56E0E" w14:textId="1DAE4560" w:rsidR="00E959BF" w:rsidRPr="00130BEA" w:rsidRDefault="00000000" w:rsidP="00106B79">
      <w:pPr>
        <w:pStyle w:val="Heading1"/>
        <w:spacing w:before="320" w:after="160"/>
        <w:rPr>
          <w:rFonts w:ascii="Palatino Linotype" w:hAnsi="Palatino Linotype"/>
          <w:color w:val="auto"/>
        </w:rPr>
      </w:pPr>
      <w:r w:rsidRPr="00130BEA">
        <w:rPr>
          <w:rFonts w:ascii="Palatino Linotype" w:hAnsi="Palatino Linotype"/>
          <w:b/>
          <w:bCs/>
          <w:color w:val="auto"/>
          <w:sz w:val="28"/>
          <w:szCs w:val="28"/>
        </w:rPr>
        <w:t>Model quality limits analysis quality</w:t>
      </w:r>
    </w:p>
    <w:p w14:paraId="054F5260" w14:textId="345A89DF" w:rsidR="00564E91" w:rsidRPr="00564E91" w:rsidRDefault="00564E91" w:rsidP="00564E91">
      <w:pPr>
        <w:spacing w:line="300" w:lineRule="auto"/>
        <w:ind w:firstLine="360"/>
        <w:jc w:val="both"/>
        <w:rPr>
          <w:rFonts w:ascii="Palatino Linotype" w:hAnsi="Palatino Linotype"/>
        </w:rPr>
      </w:pPr>
      <w:r w:rsidRPr="00564E91">
        <w:rPr>
          <w:rFonts w:ascii="Palatino Linotype" w:hAnsi="Palatino Linotype"/>
        </w:rPr>
        <w:t>Most of the models in this series are 'transient' models, in which the response depends on the system's state and evolves over time rather than following the instantaneous input alone. However, the data required to parameterize a true transient tire model for handling</w:t>
      </w:r>
      <w:r>
        <w:rPr>
          <w:rFonts w:ascii="Palatino Linotype" w:hAnsi="Palatino Linotype"/>
        </w:rPr>
        <w:t>,</w:t>
      </w:r>
      <w:r w:rsidRPr="00564E91">
        <w:rPr>
          <w:rFonts w:ascii="Palatino Linotype" w:hAnsi="Palatino Linotype"/>
        </w:rPr>
        <w:t xml:space="preserve"> relaxation behavior and accurate small-slip-angle stiffness</w:t>
      </w:r>
      <w:r>
        <w:rPr>
          <w:rFonts w:ascii="Palatino Linotype" w:hAnsi="Palatino Linotype"/>
        </w:rPr>
        <w:t>,</w:t>
      </w:r>
      <w:r w:rsidRPr="00564E91">
        <w:rPr>
          <w:rFonts w:ascii="Palatino Linotype" w:hAnsi="Palatino Linotype"/>
        </w:rPr>
        <w:t xml:space="preserve"> can only be obtained through extensive flat-track and on-vehicle testing. Hence, we exclude transient handling and on-center steering analysis.</w:t>
      </w:r>
    </w:p>
    <w:p w14:paraId="64093737" w14:textId="1067F28D" w:rsidR="00564E91" w:rsidRPr="00564E91" w:rsidRDefault="00564E91" w:rsidP="00564E91">
      <w:pPr>
        <w:spacing w:line="300" w:lineRule="auto"/>
        <w:ind w:firstLine="360"/>
        <w:jc w:val="both"/>
        <w:rPr>
          <w:rFonts w:ascii="Palatino Linotype" w:hAnsi="Palatino Linotype"/>
        </w:rPr>
      </w:pPr>
      <w:r w:rsidRPr="00564E91">
        <w:rPr>
          <w:rFonts w:ascii="Palatino Linotype" w:hAnsi="Palatino Linotype"/>
        </w:rPr>
        <w:t>The quarter-car and 7-DOF ride models are inherently transient: they are differential equations solved in the time and frequency domains, and ride analysis is precisely the study of their dynamic response to terrain inputs. Ride models escape this problem because they need only the tire's vertical stiffness and damping, which can be characterized with simple static and drop tests.</w:t>
      </w:r>
    </w:p>
    <w:p w14:paraId="797501A6" w14:textId="7C877FA9" w:rsidR="00564E91" w:rsidRPr="00564E91" w:rsidRDefault="00564E91" w:rsidP="00564E91">
      <w:pPr>
        <w:spacing w:line="300" w:lineRule="auto"/>
        <w:ind w:firstLine="360"/>
        <w:jc w:val="both"/>
        <w:rPr>
          <w:rFonts w:ascii="Palatino Linotype" w:hAnsi="Palatino Linotype"/>
        </w:rPr>
      </w:pPr>
      <w:r w:rsidRPr="00564E91">
        <w:rPr>
          <w:rFonts w:ascii="Palatino Linotype" w:hAnsi="Palatino Linotype"/>
        </w:rPr>
        <w:t xml:space="preserve">We therefore restrict ourselves to what our models can genuinely support: kinematics, transient ride, steady-state handling, quasi-static stability, and terramechanics-based off-road traction. Inertias estimated from CAD and soil parameters drawn from published literature will </w:t>
      </w:r>
      <w:r w:rsidRPr="00564E91">
        <w:rPr>
          <w:rFonts w:ascii="Palatino Linotype" w:hAnsi="Palatino Linotype"/>
        </w:rPr>
        <w:lastRenderedPageBreak/>
        <w:t>limit the precision of individual results, and compliance data such as bushing and mount stiffnesses is difficult to obtain even for a software-based K&amp;C test; we will state each approximation where it applies.</w:t>
      </w:r>
    </w:p>
    <w:p w14:paraId="79950760" w14:textId="62E1364D" w:rsidR="00E959BF" w:rsidRPr="00130BEA" w:rsidRDefault="00564E91" w:rsidP="00564E91">
      <w:pPr>
        <w:spacing w:line="300" w:lineRule="auto"/>
        <w:ind w:firstLine="360"/>
        <w:jc w:val="both"/>
        <w:rPr>
          <w:rFonts w:ascii="Palatino Linotype" w:hAnsi="Palatino Linotype"/>
        </w:rPr>
      </w:pPr>
      <w:r w:rsidRPr="00564E91">
        <w:rPr>
          <w:rFonts w:ascii="Palatino Linotype" w:hAnsi="Palatino Linotype"/>
        </w:rPr>
        <w:t xml:space="preserve">This is a limitation of the series, but also its central lesson. Model quality limits analysis quality. </w:t>
      </w:r>
      <w:r>
        <w:rPr>
          <w:rFonts w:ascii="Palatino Linotype" w:hAnsi="Palatino Linotype"/>
        </w:rPr>
        <w:t>Understanding</w:t>
      </w:r>
      <w:r w:rsidRPr="00564E91">
        <w:rPr>
          <w:rFonts w:ascii="Palatino Linotype" w:hAnsi="Palatino Linotype"/>
        </w:rPr>
        <w:t xml:space="preserve"> which questions your model can answer, and refusing to answer the ones it cannot, </w:t>
      </w:r>
      <w:r>
        <w:rPr>
          <w:rFonts w:ascii="Palatino Linotype" w:hAnsi="Palatino Linotype"/>
        </w:rPr>
        <w:t xml:space="preserve">is necessary before using the model. </w:t>
      </w:r>
    </w:p>
    <w:p w14:paraId="6548DD97" w14:textId="2C926853" w:rsidR="00E959BF" w:rsidRPr="00130BEA" w:rsidRDefault="00000000" w:rsidP="00106B79">
      <w:pPr>
        <w:pStyle w:val="Heading1"/>
        <w:spacing w:before="320" w:after="160"/>
        <w:rPr>
          <w:rFonts w:ascii="Palatino Linotype" w:hAnsi="Palatino Linotype"/>
          <w:color w:val="auto"/>
        </w:rPr>
      </w:pPr>
      <w:r w:rsidRPr="00130BEA">
        <w:rPr>
          <w:rFonts w:ascii="Palatino Linotype" w:hAnsi="Palatino Linotype"/>
          <w:b/>
          <w:bCs/>
          <w:color w:val="auto"/>
          <w:sz w:val="28"/>
          <w:szCs w:val="28"/>
        </w:rPr>
        <w:t>Series roadmap</w:t>
      </w:r>
    </w:p>
    <w:p w14:paraId="3769E377" w14:textId="73C14F9C" w:rsidR="00E959BF" w:rsidRPr="00130BEA" w:rsidRDefault="00000000" w:rsidP="00130BEA">
      <w:pPr>
        <w:spacing w:after="160" w:line="300" w:lineRule="auto"/>
        <w:ind w:firstLine="360"/>
        <w:jc w:val="both"/>
        <w:rPr>
          <w:rFonts w:ascii="Palatino Linotype" w:hAnsi="Palatino Linotype"/>
        </w:rPr>
      </w:pPr>
      <w:r w:rsidRPr="00130BEA">
        <w:rPr>
          <w:rFonts w:ascii="Palatino Linotype" w:hAnsi="Palatino Linotype"/>
        </w:rPr>
        <w:t xml:space="preserve">Every plot in the posts ahead will be generated from a single, progressively growing Python codebase: one shared tire function, kinematics tools, quarter-car through 7-DOF ride models, a full-car steady-state handling model, a Bekker soil model, etc. Table </w:t>
      </w:r>
      <w:r w:rsidR="00106B79">
        <w:rPr>
          <w:rFonts w:ascii="Palatino Linotype" w:hAnsi="Palatino Linotype"/>
        </w:rPr>
        <w:t>1</w:t>
      </w:r>
      <w:r w:rsidRPr="00130BEA">
        <w:rPr>
          <w:rFonts w:ascii="Palatino Linotype" w:hAnsi="Palatino Linotype"/>
        </w:rPr>
        <w:t xml:space="preserve"> shows the route.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27"/>
        <w:gridCol w:w="3118"/>
        <w:gridCol w:w="5315"/>
      </w:tblGrid>
      <w:tr w:rsidR="00E959BF" w:rsidRPr="00130BEA" w14:paraId="65114557" w14:textId="77777777" w:rsidTr="00106B79">
        <w:trPr>
          <w:tblHeader/>
        </w:trPr>
        <w:tc>
          <w:tcPr>
            <w:tcW w:w="927" w:type="dxa"/>
            <w:shd w:val="clear" w:color="auto" w:fill="D9E2F3"/>
            <w:tcMar>
              <w:top w:w="80" w:type="dxa"/>
              <w:left w:w="120" w:type="dxa"/>
              <w:bottom w:w="80" w:type="dxa"/>
              <w:right w:w="120" w:type="dxa"/>
            </w:tcMar>
          </w:tcPr>
          <w:p w14:paraId="74481E80"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b/>
                <w:bCs/>
                <w:sz w:val="19"/>
                <w:szCs w:val="19"/>
              </w:rPr>
              <w:t>Module</w:t>
            </w:r>
          </w:p>
        </w:tc>
        <w:tc>
          <w:tcPr>
            <w:tcW w:w="3118" w:type="dxa"/>
            <w:shd w:val="clear" w:color="auto" w:fill="D9E2F3"/>
            <w:tcMar>
              <w:top w:w="80" w:type="dxa"/>
              <w:left w:w="120" w:type="dxa"/>
              <w:bottom w:w="80" w:type="dxa"/>
              <w:right w:w="120" w:type="dxa"/>
            </w:tcMar>
          </w:tcPr>
          <w:p w14:paraId="0DC6FF47"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b/>
                <w:bCs/>
                <w:sz w:val="19"/>
                <w:szCs w:val="19"/>
              </w:rPr>
              <w:t>Topic</w:t>
            </w:r>
          </w:p>
        </w:tc>
        <w:tc>
          <w:tcPr>
            <w:tcW w:w="5315" w:type="dxa"/>
            <w:shd w:val="clear" w:color="auto" w:fill="D9E2F3"/>
            <w:tcMar>
              <w:top w:w="80" w:type="dxa"/>
              <w:left w:w="120" w:type="dxa"/>
              <w:bottom w:w="80" w:type="dxa"/>
              <w:right w:w="120" w:type="dxa"/>
            </w:tcMar>
          </w:tcPr>
          <w:p w14:paraId="263BF420"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b/>
                <w:bCs/>
                <w:sz w:val="19"/>
                <w:szCs w:val="19"/>
              </w:rPr>
              <w:t>What we build in Python</w:t>
            </w:r>
          </w:p>
        </w:tc>
      </w:tr>
      <w:tr w:rsidR="00E959BF" w:rsidRPr="00130BEA" w14:paraId="3DD1E48E" w14:textId="77777777" w:rsidTr="00106B79">
        <w:tc>
          <w:tcPr>
            <w:tcW w:w="927" w:type="dxa"/>
            <w:tcMar>
              <w:top w:w="80" w:type="dxa"/>
              <w:left w:w="120" w:type="dxa"/>
              <w:bottom w:w="80" w:type="dxa"/>
              <w:right w:w="120" w:type="dxa"/>
            </w:tcMar>
          </w:tcPr>
          <w:p w14:paraId="629E1303"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1</w:t>
            </w:r>
          </w:p>
        </w:tc>
        <w:tc>
          <w:tcPr>
            <w:tcW w:w="3118" w:type="dxa"/>
            <w:tcMar>
              <w:top w:w="80" w:type="dxa"/>
              <w:left w:w="120" w:type="dxa"/>
              <w:bottom w:w="80" w:type="dxa"/>
              <w:right w:w="120" w:type="dxa"/>
            </w:tcMar>
          </w:tcPr>
          <w:p w14:paraId="654C5652"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Foundations and tires</w:t>
            </w:r>
          </w:p>
        </w:tc>
        <w:tc>
          <w:tcPr>
            <w:tcW w:w="5315" w:type="dxa"/>
            <w:tcMar>
              <w:top w:w="80" w:type="dxa"/>
              <w:left w:w="120" w:type="dxa"/>
              <w:bottom w:w="80" w:type="dxa"/>
              <w:right w:w="120" w:type="dxa"/>
            </w:tcMar>
          </w:tcPr>
          <w:p w14:paraId="3C9867C6" w14:textId="766EF48A"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 xml:space="preserve">The single shared tire functions </w:t>
            </w:r>
          </w:p>
        </w:tc>
      </w:tr>
      <w:tr w:rsidR="00E959BF" w:rsidRPr="00130BEA" w14:paraId="4B500162" w14:textId="77777777" w:rsidTr="00106B79">
        <w:tc>
          <w:tcPr>
            <w:tcW w:w="927" w:type="dxa"/>
            <w:tcMar>
              <w:top w:w="80" w:type="dxa"/>
              <w:left w:w="120" w:type="dxa"/>
              <w:bottom w:w="80" w:type="dxa"/>
              <w:right w:w="120" w:type="dxa"/>
            </w:tcMar>
          </w:tcPr>
          <w:p w14:paraId="3839FC52"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2</w:t>
            </w:r>
          </w:p>
        </w:tc>
        <w:tc>
          <w:tcPr>
            <w:tcW w:w="3118" w:type="dxa"/>
            <w:tcMar>
              <w:top w:w="80" w:type="dxa"/>
              <w:left w:w="120" w:type="dxa"/>
              <w:bottom w:w="80" w:type="dxa"/>
              <w:right w:w="120" w:type="dxa"/>
            </w:tcMar>
          </w:tcPr>
          <w:p w14:paraId="23919C60"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Suspension and steering geometry</w:t>
            </w:r>
          </w:p>
        </w:tc>
        <w:tc>
          <w:tcPr>
            <w:tcW w:w="5315" w:type="dxa"/>
            <w:tcMar>
              <w:top w:w="80" w:type="dxa"/>
              <w:left w:w="120" w:type="dxa"/>
              <w:bottom w:w="80" w:type="dxa"/>
              <w:right w:w="120" w:type="dxa"/>
            </w:tcMar>
          </w:tcPr>
          <w:p w14:paraId="2428C666"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Kinematics tools: camber, toe, roll centers, steering axis</w:t>
            </w:r>
          </w:p>
        </w:tc>
      </w:tr>
      <w:tr w:rsidR="00E959BF" w:rsidRPr="00130BEA" w14:paraId="7E901758" w14:textId="77777777" w:rsidTr="00106B79">
        <w:tc>
          <w:tcPr>
            <w:tcW w:w="927" w:type="dxa"/>
            <w:tcMar>
              <w:top w:w="80" w:type="dxa"/>
              <w:left w:w="120" w:type="dxa"/>
              <w:bottom w:w="80" w:type="dxa"/>
              <w:right w:w="120" w:type="dxa"/>
            </w:tcMar>
          </w:tcPr>
          <w:p w14:paraId="5751EDA2"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3</w:t>
            </w:r>
          </w:p>
        </w:tc>
        <w:tc>
          <w:tcPr>
            <w:tcW w:w="3118" w:type="dxa"/>
            <w:tcMar>
              <w:top w:w="80" w:type="dxa"/>
              <w:left w:w="120" w:type="dxa"/>
              <w:bottom w:w="80" w:type="dxa"/>
              <w:right w:w="120" w:type="dxa"/>
            </w:tcMar>
          </w:tcPr>
          <w:p w14:paraId="7D16424E"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Suspension design process incl. K&amp;C</w:t>
            </w:r>
          </w:p>
        </w:tc>
        <w:tc>
          <w:tcPr>
            <w:tcW w:w="5315" w:type="dxa"/>
            <w:tcMar>
              <w:top w:w="80" w:type="dxa"/>
              <w:left w:w="120" w:type="dxa"/>
              <w:bottom w:w="80" w:type="dxa"/>
              <w:right w:w="120" w:type="dxa"/>
            </w:tcMar>
          </w:tcPr>
          <w:p w14:paraId="59FA9E19"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A design workflow anchored in kinematics and compliance</w:t>
            </w:r>
          </w:p>
        </w:tc>
      </w:tr>
      <w:tr w:rsidR="00E959BF" w:rsidRPr="00130BEA" w14:paraId="47C98388" w14:textId="77777777" w:rsidTr="00106B79">
        <w:tc>
          <w:tcPr>
            <w:tcW w:w="927" w:type="dxa"/>
            <w:tcMar>
              <w:top w:w="80" w:type="dxa"/>
              <w:left w:w="120" w:type="dxa"/>
              <w:bottom w:w="80" w:type="dxa"/>
              <w:right w:w="120" w:type="dxa"/>
            </w:tcMar>
          </w:tcPr>
          <w:p w14:paraId="78DC8B3E"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4</w:t>
            </w:r>
          </w:p>
        </w:tc>
        <w:tc>
          <w:tcPr>
            <w:tcW w:w="3118" w:type="dxa"/>
            <w:tcMar>
              <w:top w:w="80" w:type="dxa"/>
              <w:left w:w="120" w:type="dxa"/>
              <w:bottom w:w="80" w:type="dxa"/>
              <w:right w:w="120" w:type="dxa"/>
            </w:tcMar>
          </w:tcPr>
          <w:p w14:paraId="3FD6C887"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Ride, incl. damper characterization</w:t>
            </w:r>
          </w:p>
        </w:tc>
        <w:tc>
          <w:tcPr>
            <w:tcW w:w="5315" w:type="dxa"/>
            <w:tcMar>
              <w:top w:w="80" w:type="dxa"/>
              <w:left w:w="120" w:type="dxa"/>
              <w:bottom w:w="80" w:type="dxa"/>
              <w:right w:w="120" w:type="dxa"/>
            </w:tcMar>
          </w:tcPr>
          <w:p w14:paraId="2DD7B863"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Quarter-car to 7-DOF ride models over ISO 8608 terrain</w:t>
            </w:r>
          </w:p>
        </w:tc>
      </w:tr>
      <w:tr w:rsidR="00E959BF" w:rsidRPr="00130BEA" w14:paraId="08701BD9" w14:textId="77777777" w:rsidTr="00106B79">
        <w:tc>
          <w:tcPr>
            <w:tcW w:w="927" w:type="dxa"/>
            <w:tcMar>
              <w:top w:w="80" w:type="dxa"/>
              <w:left w:w="120" w:type="dxa"/>
              <w:bottom w:w="80" w:type="dxa"/>
              <w:right w:w="120" w:type="dxa"/>
            </w:tcMar>
          </w:tcPr>
          <w:p w14:paraId="18C7E2E2"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5</w:t>
            </w:r>
          </w:p>
        </w:tc>
        <w:tc>
          <w:tcPr>
            <w:tcW w:w="3118" w:type="dxa"/>
            <w:tcMar>
              <w:top w:w="80" w:type="dxa"/>
              <w:left w:w="120" w:type="dxa"/>
              <w:bottom w:w="80" w:type="dxa"/>
              <w:right w:w="120" w:type="dxa"/>
            </w:tcMar>
          </w:tcPr>
          <w:p w14:paraId="4757AFD9"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Steady-state handling</w:t>
            </w:r>
          </w:p>
        </w:tc>
        <w:tc>
          <w:tcPr>
            <w:tcW w:w="5315" w:type="dxa"/>
            <w:tcMar>
              <w:top w:w="80" w:type="dxa"/>
              <w:left w:w="120" w:type="dxa"/>
              <w:bottom w:w="80" w:type="dxa"/>
              <w:right w:w="120" w:type="dxa"/>
            </w:tcMar>
          </w:tcPr>
          <w:p w14:paraId="0A01F712"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Full-car steady-state model; suspension-handling interactions</w:t>
            </w:r>
          </w:p>
        </w:tc>
      </w:tr>
      <w:tr w:rsidR="00E959BF" w:rsidRPr="00130BEA" w14:paraId="5A4DD280" w14:textId="77777777" w:rsidTr="00106B79">
        <w:tc>
          <w:tcPr>
            <w:tcW w:w="927" w:type="dxa"/>
            <w:tcMar>
              <w:top w:w="80" w:type="dxa"/>
              <w:left w:w="120" w:type="dxa"/>
              <w:bottom w:w="80" w:type="dxa"/>
              <w:right w:w="120" w:type="dxa"/>
            </w:tcMar>
          </w:tcPr>
          <w:p w14:paraId="4FE9110C"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6</w:t>
            </w:r>
          </w:p>
        </w:tc>
        <w:tc>
          <w:tcPr>
            <w:tcW w:w="3118" w:type="dxa"/>
            <w:tcMar>
              <w:top w:w="80" w:type="dxa"/>
              <w:left w:w="120" w:type="dxa"/>
              <w:bottom w:w="80" w:type="dxa"/>
              <w:right w:w="120" w:type="dxa"/>
            </w:tcMar>
          </w:tcPr>
          <w:p w14:paraId="3B3FE28F"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Stability and diagrams</w:t>
            </w:r>
          </w:p>
        </w:tc>
        <w:tc>
          <w:tcPr>
            <w:tcW w:w="5315" w:type="dxa"/>
            <w:tcMar>
              <w:top w:w="80" w:type="dxa"/>
              <w:left w:w="120" w:type="dxa"/>
              <w:bottom w:w="80" w:type="dxa"/>
              <w:right w:w="120" w:type="dxa"/>
            </w:tcMar>
          </w:tcPr>
          <w:p w14:paraId="1CE362B1"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Rollover, load transfer, g-g diagram, yaw moment (MMM)</w:t>
            </w:r>
          </w:p>
        </w:tc>
      </w:tr>
      <w:tr w:rsidR="00E959BF" w:rsidRPr="00130BEA" w14:paraId="3DC4F7E4" w14:textId="77777777" w:rsidTr="00106B79">
        <w:tc>
          <w:tcPr>
            <w:tcW w:w="927" w:type="dxa"/>
            <w:tcMar>
              <w:top w:w="80" w:type="dxa"/>
              <w:left w:w="120" w:type="dxa"/>
              <w:bottom w:w="80" w:type="dxa"/>
              <w:right w:w="120" w:type="dxa"/>
            </w:tcMar>
          </w:tcPr>
          <w:p w14:paraId="76916D29"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7</w:t>
            </w:r>
          </w:p>
        </w:tc>
        <w:tc>
          <w:tcPr>
            <w:tcW w:w="3118" w:type="dxa"/>
            <w:tcMar>
              <w:top w:w="80" w:type="dxa"/>
              <w:left w:w="120" w:type="dxa"/>
              <w:bottom w:w="80" w:type="dxa"/>
              <w:right w:w="120" w:type="dxa"/>
            </w:tcMar>
          </w:tcPr>
          <w:p w14:paraId="4415B6FB"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MBD, RLDA, off-road tire models</w:t>
            </w:r>
          </w:p>
        </w:tc>
        <w:tc>
          <w:tcPr>
            <w:tcW w:w="5315" w:type="dxa"/>
            <w:tcMar>
              <w:top w:w="80" w:type="dxa"/>
              <w:left w:w="120" w:type="dxa"/>
              <w:bottom w:w="80" w:type="dxa"/>
              <w:right w:w="120" w:type="dxa"/>
            </w:tcMar>
          </w:tcPr>
          <w:p w14:paraId="1019830B" w14:textId="77777777" w:rsidR="00E959BF" w:rsidRPr="00130BEA" w:rsidRDefault="00000000" w:rsidP="00106B79">
            <w:pPr>
              <w:spacing w:line="260" w:lineRule="auto"/>
              <w:jc w:val="center"/>
              <w:rPr>
                <w:rFonts w:ascii="Palatino Linotype" w:hAnsi="Palatino Linotype"/>
              </w:rPr>
            </w:pPr>
            <w:r w:rsidRPr="00130BEA">
              <w:rPr>
                <w:rFonts w:ascii="Palatino Linotype" w:hAnsi="Palatino Linotype"/>
                <w:sz w:val="19"/>
                <w:szCs w:val="19"/>
              </w:rPr>
              <w:t>Multibody checks, road load data, Bekker soil model finale</w:t>
            </w:r>
          </w:p>
        </w:tc>
      </w:tr>
    </w:tbl>
    <w:p w14:paraId="4866B6D3" w14:textId="36E47BD2" w:rsidR="00E959BF" w:rsidRPr="00130BEA" w:rsidRDefault="00000000" w:rsidP="00130BEA">
      <w:pPr>
        <w:spacing w:before="100" w:after="240"/>
        <w:ind w:firstLine="360"/>
        <w:jc w:val="center"/>
        <w:rPr>
          <w:rFonts w:ascii="Palatino Linotype" w:hAnsi="Palatino Linotype"/>
        </w:rPr>
      </w:pPr>
      <w:r w:rsidRPr="00130BEA">
        <w:rPr>
          <w:rFonts w:ascii="Palatino Linotype" w:hAnsi="Palatino Linotype"/>
          <w:b/>
          <w:bCs/>
          <w:sz w:val="20"/>
          <w:szCs w:val="20"/>
        </w:rPr>
        <w:t xml:space="preserve">Table </w:t>
      </w:r>
      <w:r w:rsidR="00106B79">
        <w:rPr>
          <w:rFonts w:ascii="Palatino Linotype" w:hAnsi="Palatino Linotype"/>
          <w:b/>
          <w:bCs/>
          <w:sz w:val="20"/>
          <w:szCs w:val="20"/>
        </w:rPr>
        <w:t>1</w:t>
      </w:r>
      <w:r w:rsidRPr="00130BEA">
        <w:rPr>
          <w:rFonts w:ascii="Palatino Linotype" w:hAnsi="Palatino Linotype"/>
          <w:b/>
          <w:bCs/>
          <w:sz w:val="20"/>
          <w:szCs w:val="20"/>
        </w:rPr>
        <w:t xml:space="preserve">. </w:t>
      </w:r>
      <w:r w:rsidRPr="00130BEA">
        <w:rPr>
          <w:rFonts w:ascii="Palatino Linotype" w:hAnsi="Palatino Linotype"/>
          <w:sz w:val="20"/>
          <w:szCs w:val="20"/>
        </w:rPr>
        <w:t>The seven-module roadmap</w:t>
      </w:r>
    </w:p>
    <w:p w14:paraId="2780A40E" w14:textId="571AD1D9" w:rsidR="00E959BF" w:rsidRPr="00130BEA" w:rsidRDefault="00000000" w:rsidP="00106B79">
      <w:pPr>
        <w:pStyle w:val="Heading1"/>
        <w:spacing w:before="320" w:after="160"/>
        <w:rPr>
          <w:rFonts w:ascii="Palatino Linotype" w:hAnsi="Palatino Linotype"/>
          <w:color w:val="auto"/>
        </w:rPr>
      </w:pPr>
      <w:r w:rsidRPr="00130BEA">
        <w:rPr>
          <w:rFonts w:ascii="Palatino Linotype" w:hAnsi="Palatino Linotype"/>
          <w:b/>
          <w:bCs/>
          <w:color w:val="auto"/>
          <w:sz w:val="28"/>
          <w:szCs w:val="28"/>
        </w:rPr>
        <w:t>Closing</w:t>
      </w:r>
      <w:r w:rsidR="00A85591">
        <w:rPr>
          <w:rFonts w:ascii="Palatino Linotype" w:hAnsi="Palatino Linotype"/>
          <w:b/>
          <w:bCs/>
          <w:color w:val="auto"/>
          <w:sz w:val="28"/>
          <w:szCs w:val="28"/>
        </w:rPr>
        <w:t xml:space="preserve"> remarks</w:t>
      </w:r>
    </w:p>
    <w:p w14:paraId="0D227A0A" w14:textId="5BF9E666" w:rsidR="00E959BF" w:rsidRPr="00130BEA" w:rsidRDefault="00000000" w:rsidP="00130BEA">
      <w:pPr>
        <w:spacing w:after="160" w:line="300" w:lineRule="auto"/>
        <w:ind w:firstLine="360"/>
        <w:jc w:val="both"/>
        <w:rPr>
          <w:rFonts w:ascii="Palatino Linotype" w:hAnsi="Palatino Linotype"/>
        </w:rPr>
      </w:pPr>
      <w:r w:rsidRPr="00130BEA">
        <w:rPr>
          <w:rFonts w:ascii="Palatino Linotype" w:hAnsi="Palatino Linotype"/>
        </w:rPr>
        <w:t xml:space="preserve">The principles of classical on-road vehicle dynamics are important to evaluate a vehicle's performance. Its assumptions define a domain, and off-road operation lies outside that domain in </w:t>
      </w:r>
      <w:r w:rsidR="00A85591">
        <w:rPr>
          <w:rFonts w:ascii="Palatino Linotype" w:hAnsi="Palatino Linotype"/>
        </w:rPr>
        <w:t>most of the</w:t>
      </w:r>
      <w:r w:rsidRPr="00130BEA">
        <w:rPr>
          <w:rFonts w:ascii="Palatino Linotype" w:hAnsi="Palatino Linotype"/>
        </w:rPr>
        <w:t xml:space="preserve"> dimension</w:t>
      </w:r>
      <w:r w:rsidR="00A85591">
        <w:rPr>
          <w:rFonts w:ascii="Palatino Linotype" w:hAnsi="Palatino Linotype"/>
        </w:rPr>
        <w:t>s</w:t>
      </w:r>
      <w:r w:rsidRPr="00130BEA">
        <w:rPr>
          <w:rFonts w:ascii="Palatino Linotype" w:hAnsi="Palatino Linotype"/>
        </w:rPr>
        <w:t>. Over the coming sessions we will rebuild the analysis toolchain from the contact patch upward. Next session: the tire</w:t>
      </w:r>
      <w:r w:rsidR="00A85591">
        <w:rPr>
          <w:rFonts w:ascii="Palatino Linotype" w:hAnsi="Palatino Linotype"/>
        </w:rPr>
        <w:t>,</w:t>
      </w:r>
      <w:r w:rsidRPr="00130BEA">
        <w:rPr>
          <w:rFonts w:ascii="Palatino Linotype" w:hAnsi="Palatino Linotype"/>
        </w:rPr>
        <w:t xml:space="preserve"> the only thing connecting your vehicle to the ground.</w:t>
      </w:r>
    </w:p>
    <w:p w14:paraId="09605738" w14:textId="77777777" w:rsidR="00130BEA" w:rsidRPr="00130BEA" w:rsidRDefault="00130BEA">
      <w:pPr>
        <w:spacing w:after="160" w:line="300" w:lineRule="auto"/>
        <w:ind w:firstLine="360"/>
        <w:jc w:val="both"/>
        <w:rPr>
          <w:rFonts w:ascii="Palatino Linotype" w:hAnsi="Palatino Linotype"/>
        </w:rPr>
      </w:pPr>
    </w:p>
    <w:sectPr w:rsidR="00130BEA" w:rsidRPr="00130B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DE0"/>
    <w:multiLevelType w:val="hybridMultilevel"/>
    <w:tmpl w:val="02ACD936"/>
    <w:lvl w:ilvl="0" w:tplc="68D2BD52">
      <w:start w:val="1"/>
      <w:numFmt w:val="decimal"/>
      <w:lvlText w:val="%1."/>
      <w:lvlJc w:val="left"/>
      <w:pPr>
        <w:ind w:left="480" w:hanging="360"/>
      </w:pPr>
    </w:lvl>
    <w:lvl w:ilvl="1" w:tplc="68AABA58">
      <w:numFmt w:val="decimal"/>
      <w:lvlText w:val=""/>
      <w:lvlJc w:val="left"/>
    </w:lvl>
    <w:lvl w:ilvl="2" w:tplc="66BA55CC">
      <w:numFmt w:val="decimal"/>
      <w:lvlText w:val=""/>
      <w:lvlJc w:val="left"/>
    </w:lvl>
    <w:lvl w:ilvl="3" w:tplc="EB6075AA">
      <w:numFmt w:val="decimal"/>
      <w:lvlText w:val=""/>
      <w:lvlJc w:val="left"/>
    </w:lvl>
    <w:lvl w:ilvl="4" w:tplc="A08E13AA">
      <w:numFmt w:val="decimal"/>
      <w:lvlText w:val=""/>
      <w:lvlJc w:val="left"/>
    </w:lvl>
    <w:lvl w:ilvl="5" w:tplc="A2A8ADAE">
      <w:numFmt w:val="decimal"/>
      <w:lvlText w:val=""/>
      <w:lvlJc w:val="left"/>
    </w:lvl>
    <w:lvl w:ilvl="6" w:tplc="8832565E">
      <w:numFmt w:val="decimal"/>
      <w:lvlText w:val=""/>
      <w:lvlJc w:val="left"/>
    </w:lvl>
    <w:lvl w:ilvl="7" w:tplc="CB844690">
      <w:numFmt w:val="decimal"/>
      <w:lvlText w:val=""/>
      <w:lvlJc w:val="left"/>
    </w:lvl>
    <w:lvl w:ilvl="8" w:tplc="62F6FD06">
      <w:numFmt w:val="decimal"/>
      <w:lvlText w:val=""/>
      <w:lvlJc w:val="left"/>
    </w:lvl>
  </w:abstractNum>
  <w:abstractNum w:abstractNumId="1" w15:restartNumberingAfterBreak="0">
    <w:nsid w:val="37AC7338"/>
    <w:multiLevelType w:val="hybridMultilevel"/>
    <w:tmpl w:val="FC32BD10"/>
    <w:lvl w:ilvl="0" w:tplc="C09EDF6C">
      <w:start w:val="1"/>
      <w:numFmt w:val="bullet"/>
      <w:lvlText w:val="●"/>
      <w:lvlJc w:val="left"/>
      <w:pPr>
        <w:ind w:left="720" w:hanging="360"/>
      </w:pPr>
    </w:lvl>
    <w:lvl w:ilvl="1" w:tplc="D048DE26">
      <w:start w:val="1"/>
      <w:numFmt w:val="bullet"/>
      <w:lvlText w:val="○"/>
      <w:lvlJc w:val="left"/>
      <w:pPr>
        <w:ind w:left="1440" w:hanging="360"/>
      </w:pPr>
    </w:lvl>
    <w:lvl w:ilvl="2" w:tplc="13A4BE92">
      <w:start w:val="1"/>
      <w:numFmt w:val="bullet"/>
      <w:lvlText w:val="■"/>
      <w:lvlJc w:val="left"/>
      <w:pPr>
        <w:ind w:left="2160" w:hanging="360"/>
      </w:pPr>
    </w:lvl>
    <w:lvl w:ilvl="3" w:tplc="7090E714">
      <w:start w:val="1"/>
      <w:numFmt w:val="bullet"/>
      <w:lvlText w:val="●"/>
      <w:lvlJc w:val="left"/>
      <w:pPr>
        <w:ind w:left="2880" w:hanging="360"/>
      </w:pPr>
    </w:lvl>
    <w:lvl w:ilvl="4" w:tplc="75EEB394">
      <w:start w:val="1"/>
      <w:numFmt w:val="bullet"/>
      <w:lvlText w:val="○"/>
      <w:lvlJc w:val="left"/>
      <w:pPr>
        <w:ind w:left="3600" w:hanging="360"/>
      </w:pPr>
    </w:lvl>
    <w:lvl w:ilvl="5" w:tplc="E12AADD0">
      <w:start w:val="1"/>
      <w:numFmt w:val="bullet"/>
      <w:lvlText w:val="■"/>
      <w:lvlJc w:val="left"/>
      <w:pPr>
        <w:ind w:left="4320" w:hanging="360"/>
      </w:pPr>
    </w:lvl>
    <w:lvl w:ilvl="6" w:tplc="71182F66">
      <w:start w:val="1"/>
      <w:numFmt w:val="bullet"/>
      <w:lvlText w:val="●"/>
      <w:lvlJc w:val="left"/>
      <w:pPr>
        <w:ind w:left="5040" w:hanging="360"/>
      </w:pPr>
    </w:lvl>
    <w:lvl w:ilvl="7" w:tplc="DCD2EF90">
      <w:start w:val="1"/>
      <w:numFmt w:val="bullet"/>
      <w:lvlText w:val="●"/>
      <w:lvlJc w:val="left"/>
      <w:pPr>
        <w:ind w:left="5760" w:hanging="360"/>
      </w:pPr>
    </w:lvl>
    <w:lvl w:ilvl="8" w:tplc="05B8A0EE">
      <w:start w:val="1"/>
      <w:numFmt w:val="bullet"/>
      <w:lvlText w:val="●"/>
      <w:lvlJc w:val="left"/>
      <w:pPr>
        <w:ind w:left="6480" w:hanging="360"/>
      </w:pPr>
    </w:lvl>
  </w:abstractNum>
  <w:abstractNum w:abstractNumId="2" w15:restartNumberingAfterBreak="0">
    <w:nsid w:val="48104770"/>
    <w:multiLevelType w:val="hybridMultilevel"/>
    <w:tmpl w:val="9A3C5648"/>
    <w:lvl w:ilvl="0" w:tplc="7E3ADA08">
      <w:start w:val="1"/>
      <w:numFmt w:val="decimal"/>
      <w:lvlText w:val="%1."/>
      <w:lvlJc w:val="left"/>
      <w:pPr>
        <w:ind w:left="480" w:hanging="360"/>
      </w:pPr>
    </w:lvl>
    <w:lvl w:ilvl="1" w:tplc="FD2036B6">
      <w:numFmt w:val="decimal"/>
      <w:lvlText w:val=""/>
      <w:lvlJc w:val="left"/>
    </w:lvl>
    <w:lvl w:ilvl="2" w:tplc="673013D8">
      <w:numFmt w:val="decimal"/>
      <w:lvlText w:val=""/>
      <w:lvlJc w:val="left"/>
    </w:lvl>
    <w:lvl w:ilvl="3" w:tplc="8626DB54">
      <w:numFmt w:val="decimal"/>
      <w:lvlText w:val=""/>
      <w:lvlJc w:val="left"/>
    </w:lvl>
    <w:lvl w:ilvl="4" w:tplc="BF9C49DE">
      <w:numFmt w:val="decimal"/>
      <w:lvlText w:val=""/>
      <w:lvlJc w:val="left"/>
    </w:lvl>
    <w:lvl w:ilvl="5" w:tplc="3CEA5302">
      <w:numFmt w:val="decimal"/>
      <w:lvlText w:val=""/>
      <w:lvlJc w:val="left"/>
    </w:lvl>
    <w:lvl w:ilvl="6" w:tplc="CEE23FA0">
      <w:numFmt w:val="decimal"/>
      <w:lvlText w:val=""/>
      <w:lvlJc w:val="left"/>
    </w:lvl>
    <w:lvl w:ilvl="7" w:tplc="6D049386">
      <w:numFmt w:val="decimal"/>
      <w:lvlText w:val=""/>
      <w:lvlJc w:val="left"/>
    </w:lvl>
    <w:lvl w:ilvl="8" w:tplc="1DB89BA0">
      <w:numFmt w:val="decimal"/>
      <w:lvlText w:val=""/>
      <w:lvlJc w:val="left"/>
    </w:lvl>
  </w:abstractNum>
  <w:abstractNum w:abstractNumId="3" w15:restartNumberingAfterBreak="0">
    <w:nsid w:val="68401ABB"/>
    <w:multiLevelType w:val="hybridMultilevel"/>
    <w:tmpl w:val="7876B04A"/>
    <w:lvl w:ilvl="0" w:tplc="83DAB7FE">
      <w:start w:val="1"/>
      <w:numFmt w:val="bullet"/>
      <w:lvlText w:val="•"/>
      <w:lvlJc w:val="left"/>
      <w:pPr>
        <w:ind w:left="480" w:hanging="240"/>
      </w:pPr>
    </w:lvl>
    <w:lvl w:ilvl="1" w:tplc="41FCAE08">
      <w:numFmt w:val="decimal"/>
      <w:lvlText w:val=""/>
      <w:lvlJc w:val="left"/>
    </w:lvl>
    <w:lvl w:ilvl="2" w:tplc="123A96E8">
      <w:numFmt w:val="decimal"/>
      <w:lvlText w:val=""/>
      <w:lvlJc w:val="left"/>
    </w:lvl>
    <w:lvl w:ilvl="3" w:tplc="DAF68F56">
      <w:numFmt w:val="decimal"/>
      <w:lvlText w:val=""/>
      <w:lvlJc w:val="left"/>
    </w:lvl>
    <w:lvl w:ilvl="4" w:tplc="39C6F18E">
      <w:numFmt w:val="decimal"/>
      <w:lvlText w:val=""/>
      <w:lvlJc w:val="left"/>
    </w:lvl>
    <w:lvl w:ilvl="5" w:tplc="9D7E605E">
      <w:numFmt w:val="decimal"/>
      <w:lvlText w:val=""/>
      <w:lvlJc w:val="left"/>
    </w:lvl>
    <w:lvl w:ilvl="6" w:tplc="664E5F4A">
      <w:numFmt w:val="decimal"/>
      <w:lvlText w:val=""/>
      <w:lvlJc w:val="left"/>
    </w:lvl>
    <w:lvl w:ilvl="7" w:tplc="2D0814FE">
      <w:numFmt w:val="decimal"/>
      <w:lvlText w:val=""/>
      <w:lvlJc w:val="left"/>
    </w:lvl>
    <w:lvl w:ilvl="8" w:tplc="C532B9AA">
      <w:numFmt w:val="decimal"/>
      <w:lvlText w:val=""/>
      <w:lvlJc w:val="left"/>
    </w:lvl>
  </w:abstractNum>
  <w:num w:numId="1" w16cid:durableId="892892347">
    <w:abstractNumId w:val="1"/>
    <w:lvlOverride w:ilvl="0">
      <w:startOverride w:val="1"/>
    </w:lvlOverride>
  </w:num>
  <w:num w:numId="2" w16cid:durableId="1177841819">
    <w:abstractNumId w:val="0"/>
    <w:lvlOverride w:ilvl="0">
      <w:startOverride w:val="1"/>
    </w:lvlOverride>
  </w:num>
  <w:num w:numId="3" w16cid:durableId="43606337">
    <w:abstractNumId w:val="3"/>
    <w:lvlOverride w:ilvl="0">
      <w:startOverride w:val="1"/>
    </w:lvlOverride>
  </w:num>
  <w:num w:numId="4" w16cid:durableId="17650356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9BF"/>
    <w:rsid w:val="00106B79"/>
    <w:rsid w:val="00130BEA"/>
    <w:rsid w:val="00542293"/>
    <w:rsid w:val="00564E91"/>
    <w:rsid w:val="00584309"/>
    <w:rsid w:val="00836480"/>
    <w:rsid w:val="00A85591"/>
    <w:rsid w:val="00C04FC8"/>
    <w:rsid w:val="00E959BF"/>
    <w:rsid w:val="00ED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FD97"/>
  <w15:docId w15:val="{AA9F6EAC-7154-4932-9040-E97D1B72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552</TotalTime>
  <Pages>4</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Sonalkar, Chaitanya Shekhar</cp:lastModifiedBy>
  <cp:revision>4</cp:revision>
  <dcterms:created xsi:type="dcterms:W3CDTF">2026-07-23T03:28:00Z</dcterms:created>
  <dcterms:modified xsi:type="dcterms:W3CDTF">2026-07-28T17:16:00Z</dcterms:modified>
</cp:coreProperties>
</file>