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800"/>
        <w:gridCol w:w="7066"/>
      </w:tblGrid>
      <w:tr>
        <w:trPr>
          <w:cantSplit/>
        </w:trPr>
        <w:tc>
          <w:tcPr>
            <w:tcW w:type="dxa" w:w="2800"/>
            <w:tcBorders>
              <w:top w:val="none" w:color="auto" w:sz="0"/>
              <w:left w:val="none" w:color="auto" w:sz="0"/>
              <w:bottom w:val="single" w:color="9A5B13" w:sz="16"/>
              <w:right w:val="none" w:color="auto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widowControl/>
              <w:shd w:fill="FFFFFF" w:color="auto" w:val="clear"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No logo supplied</w:t>
            </w:r>
          </w:p>
        </w:tc>
        <w:tc>
          <w:tcPr>
            <w:tcW w:type="dxa" w:w="7066"/>
            <w:tcBorders>
              <w:top w:val="none" w:color="auto" w:sz="0"/>
              <w:left w:val="none" w:color="auto" w:sz="0"/>
              <w:bottom w:val="single" w:color="9A5B13" w:sz="16"/>
              <w:right w:val="none" w:color="auto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widowControl/>
              <w:spacing w:after="0" w:before="0" w:line="432" w:lineRule="exact"/>
              <w:jc w:val="left"/>
            </w:pPr>
            <w:r>
              <w:rPr>
                <w:rFonts w:ascii="Archivo SemiCondensed SemiBold" w:cs="Archivo SemiCondensed SemiBold" w:eastAsia="Archivo SemiCondensed SemiBold" w:hAnsi="Archivo SemiCondensed SemiBold"/>
                <w:b w:val="false"/>
                <w:bCs w:val="false"/>
                <w:i w:val="false"/>
                <w:iCs w:val="false"/>
                <w:color w:val="1C1B19"/>
                <w:sz w:val="36"/>
                <w:szCs w:val="36"/>
              </w:rPr>
              <w:t xml:space="preserve">Saffron Loom Textiles Pvt. Ltd.</w:t>
            </w:r>
          </w:p>
        </w:tc>
      </w:tr>
    </w:tbl>
    <w:p>
      <w:pPr>
        <w:pStyle w:val="Heading1"/>
        <w:keepNext/>
        <w:widowControl/>
        <w:spacing w:after="0" w:before="480" w:line="644" w:lineRule="exact"/>
        <w:jc w:val="left"/>
      </w:pPr>
      <w:r>
        <w:rPr>
          <w:rFonts w:ascii="Archivo SemiCondensed SemiBold" w:cs="Archivo SemiCondensed SemiBold" w:eastAsia="Archivo SemiCondensed SemiBold" w:hAnsi="Archivo SemiCondensed SemiBold"/>
          <w:b w:val="false"/>
          <w:bCs w:val="false"/>
          <w:i w:val="false"/>
          <w:iCs w:val="false"/>
          <w:color w:val="1C1B19"/>
          <w:spacing w:val="-6"/>
          <w:sz w:val="56"/>
          <w:szCs w:val="56"/>
        </w:rPr>
        <w:t xml:space="preserve">Quote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449"/>
        <w:gridCol w:w="3449"/>
        <w:gridCol w:w="2969"/>
      </w:tblGrid>
      <w:tr>
        <w:trPr>
          <w:cantSplit/>
        </w:trPr>
        <w:tc>
          <w:tcPr>
            <w:tcW w:type="dxa" w:w="344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Quote number</w:t>
            </w:r>
          </w:p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Q-118</w:t>
            </w:r>
          </w:p>
        </w:tc>
        <w:tc>
          <w:tcPr>
            <w:tcW w:type="dxa" w:w="344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Quote date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pacing w:val="3"/>
                <w:sz w:val="17"/>
                <w:szCs w:val="17"/>
              </w:rPr>
              <w:t xml:space="preserve">30 September 2026</w:t>
            </w:r>
          </w:p>
        </w:tc>
        <w:tc>
          <w:tcPr>
            <w:tcW w:type="dxa" w:w="296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Valid until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pacing w:val="3"/>
                <w:sz w:val="17"/>
                <w:szCs w:val="17"/>
              </w:rPr>
              <w:t xml:space="preserve">15 October 2026</w:t>
            </w:r>
          </w:p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173"/>
        <w:gridCol w:w="4693"/>
      </w:tblGrid>
      <w:tr>
        <w:trPr>
          <w:cantSplit/>
        </w:trPr>
        <w:tc>
          <w:tcPr>
            <w:tcW w:type="dxa" w:w="5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Issuer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Saffron Loom Textiles Pvt. Ltd.</w:t>
            </w:r>
          </w:p>
        </w:tc>
        <w:tc>
          <w:tcPr>
            <w:tcW w:type="dxa" w:w="469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Quote for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Kavya Iyer</w:t>
            </w:r>
          </w:p>
        </w:tc>
      </w:tr>
      <w:tr>
        <w:trPr>
          <w:cantSplit/>
        </w:trPr>
        <w:tc>
          <w:tcPr>
            <w:tcW w:type="dxa" w:w="5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Issuer address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Plot 22, Weavers’ Colony</w:t>
            </w:r>
            <w:r>
              <w:rPr>
                <w:rFonts w:ascii="IBM Plex Sans" w:cs="IBM Plex Sans" w:eastAsia="IBM Plex Sans" w:hAnsi="IBM Plex Sans"/>
                <w:color w:val="1C1B19"/>
                <w:sz w:val="19"/>
                <w:szCs w:val="19"/>
              </w:rPr>
              <w:br/>
              <w:t xml:space="preserve">Bhuj, Gujarat 370001</w:t>
            </w:r>
            <w:r>
              <w:rPr>
                <w:rFonts w:ascii="IBM Plex Sans" w:cs="IBM Plex Sans" w:eastAsia="IBM Plex Sans" w:hAnsi="IBM Plex Sans"/>
                <w:color w:val="1C1B19"/>
                <w:sz w:val="19"/>
                <w:szCs w:val="19"/>
              </w:rPr>
              <w:br/>
              <w:t xml:space="preserve">India</w:t>
            </w:r>
          </w:p>
        </w:tc>
        <w:tc>
          <w:tcPr>
            <w:tcW w:type="dxa" w:w="469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p>
      <w:pPr>
        <w:keepNext/>
        <w:widowControl/>
        <w:spacing w:after="120" w:before="0" w:line="238" w:lineRule="exact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pacing w:val="3"/>
          <w:sz w:val="17"/>
          <w:szCs w:val="17"/>
        </w:rPr>
        <w:t xml:space="preserve">Quote details</w:t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173"/>
        <w:gridCol w:w="4693"/>
      </w:tblGrid>
      <w:tr>
        <w:trPr>
          <w:cantSplit/>
        </w:trPr>
        <w:tc>
          <w:tcPr>
            <w:tcW w:type="dxa" w:w="5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Currency</w:t>
            </w:r>
          </w:p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INR</w:t>
            </w:r>
          </w:p>
        </w:tc>
        <w:tc>
          <w:tcPr>
            <w:tcW w:type="dxa" w:w="469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p>
      <w:pPr>
        <w:keepNext/>
        <w:widowControl/>
        <w:spacing w:after="120" w:before="0" w:line="238" w:lineRule="exact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pacing w:val="3"/>
          <w:sz w:val="17"/>
          <w:szCs w:val="17"/>
        </w:rPr>
        <w:t xml:space="preserve">Amounts in INR</w:t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6791"/>
        <w:gridCol w:w="542"/>
        <w:gridCol w:w="1266"/>
        <w:gridCol w:w="1266"/>
      </w:tblGrid>
      <w:tr>
        <w:trPr>
          <w:cantSplit/>
          <w:tblHeader/>
        </w:trPr>
        <w:tc>
          <w:tcPr>
            <w:tcW w:type="dxa" w:w="6791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Qty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Unit price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6791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Silk-blend saree, Madder red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2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₹4,680.00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₹9,360.00</w:t>
            </w:r>
          </w:p>
        </w:tc>
      </w:tr>
      <w:tr>
        <w:trPr>
          <w:cantSplit/>
        </w:trPr>
        <w:tc>
          <w:tcPr>
            <w:tcW w:type="dxa" w:w="6791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Ikat stole, Indigo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4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₹1,510.00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₹6,040.00</w:t>
            </w:r>
          </w:p>
        </w:tc>
      </w:tr>
    </w:tbl>
    <w:p>
      <w:pPr>
        <w:keepNext/>
        <w:spacing w:after="0" w:before="0" w:line="320" w:lineRule="exact"/>
      </w:pPr>
      <w:r>
        <w:rPr>
          <w:sz w:val="2"/>
          <w:szCs w:val="2"/>
        </w:rPr>
        <w:t xml:space="preserve"/>
      </w:r>
    </w:p>
    <w:tbl>
      <w:tblPr>
        <w:tblW w:type="dxa" w:w="5426"/>
        <w:tblInd w:type="dxa" w:w="444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9"/>
        <w:gridCol w:w="4417"/>
      </w:tblGrid>
      <w:tr>
        <w:trPr>
          <w:cantSplit/>
        </w:trPr>
        <w:tc>
          <w:tcPr>
            <w:tcW w:type="dxa" w:w="100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Subtotal</w:t>
            </w:r>
          </w:p>
        </w:tc>
        <w:tc>
          <w:tcPr>
            <w:tcW w:type="dxa" w:w="441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₹15,400.00</w:t>
            </w:r>
          </w:p>
        </w:tc>
      </w:tr>
      <w:tr>
        <w:trPr>
          <w:cantSplit/>
        </w:trPr>
        <w:tc>
          <w:tcPr>
            <w:tcW w:type="dxa" w:w="100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Tax (5%)</w:t>
            </w:r>
          </w:p>
        </w:tc>
        <w:tc>
          <w:tcPr>
            <w:tcW w:type="dxa" w:w="441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₹770.00</w:t>
            </w:r>
          </w:p>
        </w:tc>
      </w:tr>
      <w:tr>
        <w:trPr>
          <w:cantSplit/>
        </w:trPr>
        <w:tc>
          <w:tcPr>
            <w:tcW w:type="dxa" w:w="1009"/>
            <w:tcBorders>
              <w:top w:val="single" w:color="1C1B19" w:sz="8"/>
              <w:left w:val="none" w:color="auto" w:sz="0"/>
              <w:bottom w:val="none" w:color="auto" w:sz="0"/>
              <w:right w:val="none" w:color="auto" w:sz="0"/>
            </w:tcBorders>
            <w:tcMar>
              <w:top w:type="dxa" w:w="16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Total</w:t>
            </w:r>
          </w:p>
        </w:tc>
        <w:tc>
          <w:tcPr>
            <w:tcW w:type="dxa" w:w="4417"/>
            <w:tcBorders>
              <w:top w:val="single" w:color="1C1B19" w:sz="8"/>
              <w:left w:val="none" w:color="auto" w:sz="0"/>
              <w:bottom w:val="none" w:color="auto" w:sz="0"/>
              <w:right w:val="none" w:color="auto" w:sz="0"/>
            </w:tcBorders>
            <w:tcMar>
              <w:top w:type="dxa" w:w="160"/>
              <w:left w:type="dxa" w:w="440"/>
              <w:bottom w:type="dxa" w:w="80"/>
              <w:right w:type="dxa" w:w="120"/>
            </w:tcMar>
          </w:tcPr>
          <w:p>
            <w:pPr>
              <w:widowControl/>
              <w:spacing w:after="0" w:before="0" w:line="312" w:lineRule="exact"/>
              <w:jc w:val="right"/>
            </w:pPr>
            <w:r>
              <w:rPr>
                <w:rFonts w:ascii="IBM Plex Mono Medm" w:cs="IBM Plex Mono Medm" w:eastAsia="IBM Plex Mono Medm" w:hAnsi="IBM Plex Mono Medm"/>
                <w:b w:val="false"/>
                <w:bCs w:val="false"/>
                <w:i w:val="false"/>
                <w:iCs w:val="false"/>
                <w:color w:val="1C1B19"/>
                <w:sz w:val="24"/>
                <w:szCs w:val="24"/>
              </w:rPr>
              <w:t xml:space="preserve">₹16,170.00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020" w:right="1020" w:bottom="1724" w:left="1020" w:header="480" w:footer="102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sreader 16pt">
    <w:family w:val="auto"/>
    <w:pitch w:val="variable"/>
    <w:sig w:usb0="E0002AFF" w:usb1="C000247B" w:usb2="00000009" w:usb3="00000000" w:csb0="000001FF" w:csb1="00000000"/>
    <w:embedRegular r:id="rId1" w:fontKey="{699D9534-490A-29DF-2FD3-B9A75B231A8D}"/>
    <w:embedItalic r:id="rId2" w:fontKey="{82340990-951A-1A71-2A61-45120DCAF91A}"/>
  </w:font>
  <w:font w:name="Newsreader 16pt SemiBold">
    <w:family w:val="auto"/>
    <w:pitch w:val="variable"/>
    <w:sig w:usb0="E0002AFF" w:usb1="C000247B" w:usb2="00000009" w:usb3="00000000" w:csb0="000001FF" w:csb1="00000000"/>
    <w:embedRegular r:id="rId3" w:fontKey="{2E2537E8-4DDB-F072-4018-B559A9C8750E}"/>
  </w:font>
  <w:font w:name="Archivo SemiCondensed SemiBold">
    <w:family w:val="auto"/>
    <w:pitch w:val="variable"/>
    <w:sig w:usb0="E0002AFF" w:usb1="C000247B" w:usb2="00000009" w:usb3="00000000" w:csb0="000001FF" w:csb1="00000000"/>
    <w:embedRegular r:id="rId4" w:fontKey="{CDECB280-7B00-2D73-15CF-0E559BAB133C}"/>
  </w:font>
  <w:font w:name="IBM Plex Sans">
    <w:family w:val="auto"/>
    <w:pitch w:val="variable"/>
    <w:sig w:usb0="E0002AFF" w:usb1="C000247B" w:usb2="00000009" w:usb3="00000000" w:csb0="000001FF" w:csb1="00000000"/>
    <w:embedRegular r:id="rId5" w:fontKey="{B4353E15-41C5-0D3E-3D01-8D655A23E5AF}"/>
  </w:font>
  <w:font w:name="IBM Plex Sans Medm">
    <w:family w:val="auto"/>
    <w:pitch w:val="variable"/>
    <w:sig w:usb0="E0002AFF" w:usb1="C000247B" w:usb2="00000009" w:usb3="00000000" w:csb0="000001FF" w:csb1="00000000"/>
    <w:embedRegular r:id="rId6" w:fontKey="{D88B7898-D024-2680-84D7-A6CF15AB14D3}"/>
  </w:font>
  <w:font w:name="IBM Plex Mono">
    <w:family w:val="auto"/>
    <w:pitch w:val="variable"/>
    <w:sig w:usb0="E0002AFF" w:usb1="C000247B" w:usb2="00000009" w:usb3="00000000" w:csb0="000001FF" w:csb1="00000000"/>
    <w:embedRegular r:id="rId7" w:fontKey="{994DDB0C-E95D-D4A6-A2D5-8C3E9F479DB8}"/>
  </w:font>
  <w:font w:name="IBM Plex Mono Medm">
    <w:family w:val="auto"/>
    <w:pitch w:val="variable"/>
    <w:sig w:usb0="E0002AFF" w:usb1="C000247B" w:usb2="00000009" w:usb3="00000000" w:csb0="000001FF" w:csb1="00000000"/>
    <w:embedRegular r:id="rId8" w:fontKey="{16448DBB-6DC9-B948-22AA-EEED8F5FB6A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widowControl/>
      <w:tabs>
        <w:tab w:val="right" w:pos="9866"/>
      </w:tabs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Saffron Loom Textiles Pvt. Ltd. · Q-118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	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Page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 of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widowControl/>
      <w:tabs>
        <w:tab w:val="right" w:pos="9866"/>
      </w:tabs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Saffron Loom Textiles Pvt. Ltd. · Q-118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	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Page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 of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widowControl/>
      <w:pBdr>
        <w:bottom w:val="single" w:color="D9D4CB" w:sz="4" w:space="4"/>
      </w:pBdr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Saffron Loom Textiles Pvt. Ltd. · Q-118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ewsreader 16pt" w:cs="Newsreader 16pt" w:eastAsia="Newsreader 16pt" w:hAnsi="Newsreader 16pt"/>
        <w:color w:val="1C1B19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Quote Q-118</dc:title>
  <dc:subject>Revision rev-s02-r1-4 (v1)</dc:subject>
  <dc:creator>Document-quality prototype (sample data)</dc:creator>
  <dc:description>Sample export. Fictional data.</dc:description>
  <cp:lastModifiedBy>Un-named</cp:lastModifiedBy>
  <cp:revision>1</cp:revision>
  <dcterms:created xsi:type="dcterms:W3CDTF">2026-10-17T15:08:34.213Z</dcterms:created>
  <dcterms:modified xsi:type="dcterms:W3CDTF">2026-10-17T15:08:34.213Z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