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800"/>
        <w:gridCol w:w="7066"/>
      </w:tblGrid>
      <w:tr>
        <w:trPr>
          <w:cantSplit/>
        </w:trPr>
        <w:tc>
          <w:tcPr>
            <w:tcW w:type="dxa" w:w="2800"/>
            <w:tcBorders>
              <w:top w:val="none" w:color="auto" w:sz="0"/>
              <w:left w:val="none" w:color="auto" w:sz="0"/>
              <w:bottom w:val="single" w:color="2B4C7E" w:sz="1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widowControl/>
              <w:shd w:fill="FFFFFF" w:color="auto" w:val="clear"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No logo supplied</w:t>
            </w:r>
          </w:p>
        </w:tc>
        <w:tc>
          <w:tcPr>
            <w:tcW w:type="dxa" w:w="7066"/>
            <w:tcBorders>
              <w:top w:val="none" w:color="auto" w:sz="0"/>
              <w:left w:val="none" w:color="auto" w:sz="0"/>
              <w:bottom w:val="single" w:color="2B4C7E" w:sz="1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widowControl/>
              <w:spacing w:after="0" w:before="0" w:line="432" w:lineRule="exact"/>
              <w:jc w:val="left"/>
            </w:pPr>
            <w:r>
              <w:rPr>
                <w:rFonts w:ascii="Archivo SemiCondensed SemiBold" w:cs="Archivo SemiCondensed SemiBold" w:eastAsia="Archivo SemiCondensed SemiBold" w:hAnsi="Archivo SemiCondensed SemiBold"/>
                <w:b w:val="false"/>
                <w:bCs w:val="false"/>
                <w:i w:val="false"/>
                <w:iCs w:val="false"/>
                <w:color w:val="1C1B19"/>
                <w:sz w:val="36"/>
                <w:szCs w:val="36"/>
              </w:rPr>
              <w:t xml:space="preserve">Brightwater Research Studio</w:t>
            </w:r>
          </w:p>
        </w:tc>
      </w:tr>
    </w:tbl>
    <w:p>
      <w:pPr>
        <w:pStyle w:val="Heading1"/>
        <w:keepNext/>
        <w:widowControl/>
        <w:spacing w:after="0" w:before="480" w:line="644" w:lineRule="exact"/>
        <w:jc w:val="left"/>
      </w:pPr>
      <w:r>
        <w:rPr>
          <w:rFonts w:ascii="Archivo SemiCondensed SemiBold" w:cs="Archivo SemiCondensed SemiBold" w:eastAsia="Archivo SemiCondensed SemiBold" w:hAnsi="Archivo SemiCondensed SemiBold"/>
          <w:b w:val="false"/>
          <w:bCs w:val="false"/>
          <w:i w:val="false"/>
          <w:iCs w:val="false"/>
          <w:color w:val="1C1B19"/>
          <w:spacing w:val="-6"/>
          <w:sz w:val="56"/>
          <w:szCs w:val="56"/>
        </w:rPr>
        <w:t xml:space="preserve">Reducing first-month cancellations for an independent bookshop’s subscription box: what the evidence supports and what it does not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49"/>
        <w:gridCol w:w="3449"/>
        <w:gridCol w:w="2969"/>
      </w:tblGrid>
      <w:tr>
        <w:trPr>
          <w:cantSplit/>
        </w:trPr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Reference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BRS-LQ-2026-11</w:t>
            </w:r>
          </w:p>
        </w:tc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Intended audience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Owners and shop-floor leads at Lantern &amp; Quire Books</w:t>
            </w:r>
          </w:p>
        </w:tc>
        <w:tc>
          <w:tcPr>
            <w:tcW w:type="dxa" w:w="296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Prepared by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Brightwater Research Studio</w:t>
            </w:r>
          </w:p>
        </w:tc>
      </w:tr>
      <w:tr>
        <w:trPr>
          <w:cantSplit/>
        </w:trPr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8 October 2026</w:t>
            </w:r>
          </w:p>
        </w:tc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296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widowControl/>
        <w:spacing w:after="120" w:before="480" w:line="338" w:lineRule="exact"/>
        <w:jc w:val="left"/>
      </w:pPr>
      <w:r>
        <w:rPr>
          <w:rFonts w:ascii="Newsreader 16pt SemiBold" w:cs="Newsreader 16pt SemiBold" w:eastAsia="Newsreader 16pt SemiBold" w:hAnsi="Newsreader 16pt SemiBold"/>
          <w:b w:val="false"/>
          <w:bCs w:val="false"/>
          <w:i w:val="false"/>
          <w:iCs w:val="false"/>
          <w:color w:val="1C1B19"/>
          <w:sz w:val="26"/>
          <w:szCs w:val="26"/>
        </w:rPr>
        <w:t xml:space="preserve">Summary</w:t>
      </w:r>
    </w:p>
    <w:p>
      <w:pPr>
        <w:keepLines/>
        <w:widowControl/>
        <w:pBdr>
          <w:left w:val="single" w:color="2B4C7E" w:sz="16" w:space="8"/>
        </w:pBdr>
        <w:spacing w:after="560" w:before="240" w:line="315" w:lineRule="exact"/>
        <w:ind w:left="240"/>
        <w:jc w:val="left"/>
      </w:pP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Most cancellations happen in the first four weeks, and the main stated reason is that the first box did not match what members expected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z w:val="16"/>
          <w:szCs w:val="16"/>
        </w:rPr>
        <w:t xml:space="preserve"> [1, 2]</w:t>
      </w: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. A short welcome email that sets expectations reduced first-month cancellations in a small test, but the test is too small to size the effect with confidence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z w:val="16"/>
          <w:szCs w:val="16"/>
        </w:rPr>
        <w:t xml:space="preserve"> [3]</w:t>
      </w: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.</w:t>
      </w:r>
    </w:p>
    <w:p>
      <w:pPr>
        <w:pStyle w:val="Heading2"/>
        <w:keepNext/>
        <w:keepLines/>
        <w:widowControl/>
        <w:spacing w:after="120" w:before="480" w:line="338" w:lineRule="exact"/>
        <w:jc w:val="left"/>
      </w:pPr>
      <w:r>
        <w:rPr>
          <w:rFonts w:ascii="Newsreader 16pt SemiBold" w:cs="Newsreader 16pt SemiBold" w:eastAsia="Newsreader 16pt SemiBold" w:hAnsi="Newsreader 16pt SemiBold"/>
          <w:b w:val="false"/>
          <w:bCs w:val="false"/>
          <w:i w:val="false"/>
          <w:iCs w:val="false"/>
          <w:color w:val="1C1B19"/>
          <w:sz w:val="26"/>
          <w:szCs w:val="26"/>
        </w:rPr>
        <w:t xml:space="preserve">Goals</w:t>
      </w:r>
    </w:p>
    <w:p>
      <w:pPr>
        <w:widowControl/>
        <w:spacing w:after="0" w:before="0" w:line="315" w:lineRule="exact"/>
        <w:ind w:left="320" w:hanging="320"/>
        <w:jc w:val="left"/>
      </w:pP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•	</w:t>
      </w: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Lower first-month cancellations without discounting the box.</w:t>
      </w:r>
    </w:p>
    <w:p>
      <w:pPr>
        <w:widowControl/>
        <w:spacing w:after="160" w:before="80" w:line="315" w:lineRule="exact"/>
        <w:ind w:left="320" w:hanging="320"/>
        <w:jc w:val="left"/>
      </w:pP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•	</w:t>
      </w: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Learn which expectation gaps matter most to new members.</w:t>
      </w:r>
    </w:p>
    <w:p>
      <w:pPr>
        <w:pStyle w:val="Heading2"/>
        <w:keepNext/>
        <w:keepLines/>
        <w:widowControl/>
        <w:spacing w:after="120" w:before="480" w:line="338" w:lineRule="exact"/>
        <w:jc w:val="left"/>
      </w:pPr>
      <w:r>
        <w:rPr>
          <w:rFonts w:ascii="Newsreader 16pt SemiBold" w:cs="Newsreader 16pt SemiBold" w:eastAsia="Newsreader 16pt SemiBold" w:hAnsi="Newsreader 16pt SemiBold"/>
          <w:b w:val="false"/>
          <w:bCs w:val="false"/>
          <w:i w:val="false"/>
          <w:iCs w:val="false"/>
          <w:color w:val="1C1B19"/>
          <w:sz w:val="26"/>
          <w:szCs w:val="26"/>
        </w:rPr>
        <w:t xml:space="preserve">Constraints</w:t>
      </w:r>
    </w:p>
    <w:p>
      <w:pPr>
        <w:widowControl/>
        <w:spacing w:after="0" w:before="0" w:line="315" w:lineRule="exact"/>
        <w:ind w:left="320" w:hanging="320"/>
        <w:jc w:val="left"/>
      </w:pP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•	</w:t>
      </w: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Two staff hours a week available for member communication.</w:t>
      </w:r>
    </w:p>
    <w:p>
      <w:pPr>
        <w:widowControl/>
        <w:spacing w:after="160" w:before="80" w:line="315" w:lineRule="exact"/>
        <w:ind w:left="320" w:hanging="320"/>
        <w:jc w:val="left"/>
      </w:pP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•	</w:t>
      </w: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No change to the box price this season.</w:t>
      </w:r>
    </w:p>
    <w:p>
      <w:pPr>
        <w:pStyle w:val="Heading2"/>
        <w:keepNext/>
        <w:keepLines/>
        <w:widowControl/>
        <w:spacing w:after="120" w:before="480" w:line="338" w:lineRule="exact"/>
        <w:jc w:val="left"/>
      </w:pPr>
      <w:r>
        <w:rPr>
          <w:rFonts w:ascii="Newsreader 16pt SemiBold" w:cs="Newsreader 16pt SemiBold" w:eastAsia="Newsreader 16pt SemiBold" w:hAnsi="Newsreader 16pt SemiBold"/>
          <w:b w:val="false"/>
          <w:bCs w:val="false"/>
          <w:i w:val="false"/>
          <w:iCs w:val="false"/>
          <w:color w:val="1C1B19"/>
          <w:sz w:val="26"/>
          <w:szCs w:val="26"/>
        </w:rPr>
        <w:t xml:space="preserve">Evidence: when members leave, and the reasons they give when asked at cancellation</w:t>
      </w:r>
    </w:p>
    <w:p>
      <w:pPr>
        <w:widowControl/>
        <w:spacing w:after="160" w:before="0" w:line="315" w:lineRule="exact"/>
        <w:jc w:val="left"/>
      </w:pP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Across the spring cohort, 61% of all cancellations happened within the first four weeks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z w:val="16"/>
          <w:szCs w:val="16"/>
        </w:rPr>
        <w:t xml:space="preserve"> [1]</w:t>
      </w: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. Of members who gave a reason, the most common was that the first selection “wasn’t my kind of book”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z w:val="16"/>
          <w:szCs w:val="16"/>
        </w:rPr>
        <w:t xml:space="preserve"> [2]</w:t>
      </w: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.</w:t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1C1B19"/>
          <w:spacing w:val="3"/>
          <w:sz w:val="17"/>
          <w:szCs w:val="17"/>
        </w:rPr>
        <w:t xml:space="preserve">Share of cancellations by week since joining, spring 2026 cohort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z w:val="16"/>
          <w:szCs w:val="16"/>
        </w:rPr>
        <w:t xml:space="preserve"> [1]</w:t>
      </w:r>
    </w:p>
    <w:p>
      <w:pPr>
        <w:keepNext/>
        <w:spacing w:after="80"/>
      </w:pPr>
      <w:r>
        <w:drawing>
          <wp:inline distT="0" distB="0" distL="0" distR="0">
            <wp:extent cx="6267450" cy="2095500"/>
            <wp:effectExtent t="0" r="0" b="0" l="0"/>
            <wp:docPr id="2" name="Share of cancellations by week since joining, spring 2026 cohort" descr="Share of cancellations by week since joining, spring 2026 cohort. Share of cancellations (%) by Week since joining." title="Share of cancellations by week since joining, spring 2026 coh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8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Week since joining · Share of cancellations (%) · Unit: % of all cancellations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Week since joining</w:t>
            </w:r>
          </w:p>
        </w:tc>
        <w:tc>
          <w:tcPr>
            <w:tcW w:type="dxa" w:w="4933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Share of cancellations (%)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Week 1</w:t>
            </w:r>
          </w:p>
        </w:tc>
        <w:tc>
          <w:tcPr>
            <w:tcW w:type="dxa" w:w="493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Week 2</w:t>
            </w:r>
          </w:p>
        </w:tc>
        <w:tc>
          <w:tcPr>
            <w:tcW w:type="dxa" w:w="493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Week 3</w:t>
            </w:r>
          </w:p>
        </w:tc>
        <w:tc>
          <w:tcPr>
            <w:tcW w:type="dxa" w:w="493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Week 4</w:t>
            </w:r>
          </w:p>
        </w:tc>
        <w:tc>
          <w:tcPr>
            <w:tcW w:type="dxa" w:w="493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Weeks 5–8</w:t>
            </w:r>
          </w:p>
        </w:tc>
        <w:tc>
          <w:tcPr>
            <w:tcW w:type="dxa" w:w="493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Weeks 9+</w:t>
            </w:r>
          </w:p>
        </w:tc>
        <w:tc>
          <w:tcPr>
            <w:tcW w:type="dxa" w:w="493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17</w:t>
            </w:r>
          </w:p>
        </w:tc>
      </w:tr>
    </w:tbl>
    <w:p>
      <w:pPr>
        <w:widowControl/>
        <w:spacing w:after="320" w:before="8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1C1B19"/>
          <w:spacing w:val="3"/>
          <w:sz w:val="17"/>
          <w:szCs w:val="17"/>
        </w:rPr>
        <w:t xml:space="preserve">Cancellations peak in week 3 (21%). Weeks 1–4 together account for 61% of all cancellations; weeks 5–8 for 22% and weeks 9 onward for 17%.</w:t>
      </w:r>
    </w:p>
    <w:p>
      <w:pPr>
        <w:widowControl/>
        <w:spacing w:after="160" w:before="0" w:line="315" w:lineRule="exact"/>
        <w:jc w:val="left"/>
      </w:pP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In a two-arm test, members who received a welcome email describing how books are chosen cancelled less often in their first month (8 of 112) than members who did not (15 of 109)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z w:val="16"/>
          <w:szCs w:val="16"/>
        </w:rPr>
        <w:t xml:space="preserve"> [3]</w:t>
      </w: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. The difference is encouraging, but with fewer than 250 members in total it could be chance.</w:t>
      </w:r>
    </w:p>
    <w:p>
      <w:pPr>
        <w:widowControl/>
        <w:spacing w:after="240" w:before="240" w:line="406" w:lineRule="exact"/>
        <w:ind w:left="480"/>
        <w:jc w:val="left"/>
      </w:pPr>
      <w:r>
        <w:rPr>
          <w:rFonts w:ascii="Newsreader 16pt" w:cs="Newsreader 16pt" w:eastAsia="Newsreader 16pt" w:hAnsi="Newsreader 16pt"/>
          <w:b w:val="false"/>
          <w:bCs w:val="false"/>
          <w:i/>
          <w:iCs/>
          <w:color w:val="1C1B19"/>
          <w:sz w:val="28"/>
          <w:szCs w:val="28"/>
        </w:rPr>
        <w:t xml:space="preserve">“I loved the idea, but the first book felt like it was picked for someone else.”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z w:val="16"/>
          <w:szCs w:val="16"/>
        </w:rPr>
        <w:t xml:space="preserve"> [2]</w:t>
      </w:r>
    </w:p>
    <w:p>
      <w:pPr>
        <w:pStyle w:val="Heading2"/>
        <w:keepNext/>
        <w:keepLines/>
        <w:widowControl/>
        <w:spacing w:after="120" w:before="480" w:line="338" w:lineRule="exact"/>
        <w:jc w:val="left"/>
      </w:pPr>
      <w:r>
        <w:rPr>
          <w:rFonts w:ascii="Newsreader 16pt SemiBold" w:cs="Newsreader 16pt SemiBold" w:eastAsia="Newsreader 16pt SemiBold" w:hAnsi="Newsreader 16pt SemiBold"/>
          <w:b w:val="false"/>
          <w:bCs w:val="false"/>
          <w:i w:val="false"/>
          <w:iCs w:val="false"/>
          <w:color w:val="1C1B19"/>
          <w:sz w:val="26"/>
          <w:szCs w:val="26"/>
        </w:rPr>
        <w:t xml:space="preserve">Recommendations</w:t>
      </w:r>
    </w:p>
    <w:p>
      <w:pPr>
        <w:widowControl/>
        <w:spacing w:after="0" w:before="0" w:line="315" w:lineRule="exact"/>
        <w:ind w:left="320" w:hanging="320"/>
        <w:jc w:val="left"/>
      </w:pP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1.	</w:t>
      </w: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Send the welcome email to every new member, and keep a 10% hold-out to keep measuring its effect.</w:t>
      </w:r>
    </w:p>
    <w:p>
      <w:pPr>
        <w:widowControl/>
        <w:spacing w:after="0" w:before="80" w:line="315" w:lineRule="exact"/>
        <w:ind w:left="320" w:hanging="320"/>
        <w:jc w:val="left"/>
      </w:pP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2.	</w:t>
      </w: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Add a three-question taste card at sign-up, and use it for the first selection only.</w:t>
      </w:r>
    </w:p>
    <w:p>
      <w:pPr>
        <w:widowControl/>
        <w:spacing w:after="160" w:before="80" w:line="315" w:lineRule="exact"/>
        <w:ind w:left="320" w:hanging="320"/>
        <w:jc w:val="left"/>
      </w:pP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3.	</w:t>
      </w: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Review week-3 cancellations monthly; benchmarks suggest a two-hour weekly budget is enough at this size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z w:val="16"/>
          <w:szCs w:val="16"/>
        </w:rPr>
        <w:t xml:space="preserve"> [4]</w:t>
      </w: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.</w:t>
      </w:r>
    </w:p>
    <w:p>
      <w:pPr>
        <w:keepLines/>
        <w:widowControl/>
        <w:pBdr>
          <w:left w:val="single" w:color="E3C46A" w:sz="16" w:space="8"/>
        </w:pBdr>
        <w:spacing w:after="480" w:before="320" w:line="315" w:lineRule="exact"/>
        <w:ind w:left="240"/>
        <w:jc w:val="left"/>
      </w:pPr>
      <w:r>
        <w:rPr>
          <w:rFonts w:ascii="Newsreader 16pt" w:cs="Newsreader 16pt" w:eastAsia="Newsreader 16pt" w:hAnsi="Newsreader 16pt"/>
          <w:b w:val="false"/>
          <w:bCs w:val="false"/>
          <w:i w:val="false"/>
          <w:iCs w:val="false"/>
          <w:color w:val="1C1B19"/>
          <w:sz w:val="21"/>
          <w:szCs w:val="21"/>
        </w:rPr>
        <w:t xml:space="preserve">The email test is small. Treat its effect size as directional until the hold-out has run for a full season.</w:t>
      </w:r>
    </w:p>
    <w:p>
      <w:pPr>
        <w:pStyle w:val="Heading2"/>
        <w:keepNext/>
        <w:keepLines/>
        <w:widowControl/>
        <w:spacing w:after="120" w:before="480" w:line="338" w:lineRule="exact"/>
        <w:jc w:val="left"/>
      </w:pPr>
      <w:r>
        <w:rPr>
          <w:rFonts w:ascii="Newsreader 16pt SemiBold" w:cs="Newsreader 16pt SemiBold" w:eastAsia="Newsreader 16pt SemiBold" w:hAnsi="Newsreader 16pt SemiBold"/>
          <w:b w:val="false"/>
          <w:bCs w:val="false"/>
          <w:i w:val="false"/>
          <w:iCs w:val="false"/>
          <w:color w:val="1C1B19"/>
          <w:sz w:val="26"/>
          <w:szCs w:val="26"/>
        </w:rPr>
        <w:t xml:space="preserve">Sources</w:t>
      </w:r>
    </w:p>
    <w:p>
      <w:pPr>
        <w:keepLines/>
        <w:widowControl/>
        <w:spacing w:after="0" w:before="0" w:line="224" w:lineRule="exact"/>
        <w:ind w:left="320" w:hanging="320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1C1B19"/>
          <w:sz w:val="16"/>
          <w:szCs w:val="16"/>
        </w:rPr>
        <w:t xml:space="preserve">1.	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1C1B19"/>
          <w:sz w:val="16"/>
          <w:szCs w:val="16"/>
        </w:rPr>
        <w:t xml:space="preserve">Subscription cohort summary, Q2 2026 (sample source). Northbridge Reader Panel — fictional. July 2026. Table 3</w:t>
      </w:r>
    </w:p>
    <w:p>
      <w:pPr>
        <w:keepLines/>
        <w:widowControl/>
        <w:spacing w:after="0" w:before="80" w:line="224" w:lineRule="exact"/>
        <w:ind w:left="320" w:hanging="320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1C1B19"/>
          <w:sz w:val="16"/>
          <w:szCs w:val="16"/>
        </w:rPr>
        <w:t xml:space="preserve">2.	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1C1B19"/>
          <w:sz w:val="16"/>
          <w:szCs w:val="16"/>
        </w:rPr>
        <w:t xml:space="preserve">Exit-survey responses from cancelled members (sample source). Lantern &amp; Quire Books — fictional. August 2026. Question 4</w:t>
      </w:r>
    </w:p>
    <w:p>
      <w:pPr>
        <w:keepLines/>
        <w:widowControl/>
        <w:spacing w:after="0" w:before="80" w:line="224" w:lineRule="exact"/>
        <w:ind w:left="320" w:hanging="320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1C1B19"/>
          <w:sz w:val="16"/>
          <w:szCs w:val="16"/>
        </w:rPr>
        <w:t xml:space="preserve">3.	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1C1B19"/>
          <w:sz w:val="16"/>
          <w:szCs w:val="16"/>
        </w:rPr>
        <w:t xml:space="preserve">Onboarding email test, two-arm comparison (sample source). Brightwater Research Studio — fictional. 14 September 2026. Results, para. 2</w:t>
      </w:r>
    </w:p>
    <w:p>
      <w:pPr>
        <w:keepLines/>
        <w:widowControl/>
        <w:spacing w:after="0" w:before="80" w:line="224" w:lineRule="exact"/>
        <w:ind w:left="320" w:hanging="320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1C1B19"/>
          <w:sz w:val="16"/>
          <w:szCs w:val="16"/>
        </w:rPr>
        <w:t xml:space="preserve">4.	</w:t>
      </w: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1C1B19"/>
          <w:sz w:val="16"/>
          <w:szCs w:val="16"/>
        </w:rPr>
        <w:t xml:space="preserve">Independent bookshop operating benchmarks 2026 (sample source). Guild of Small Booksellers — fictional. May 2026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20" w:right="1020" w:bottom="1724" w:left="1020" w:header="480" w:footer="10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sreader 16pt">
    <w:family w:val="auto"/>
    <w:pitch w:val="variable"/>
    <w:sig w:usb0="E0002AFF" w:usb1="C000247B" w:usb2="00000009" w:usb3="00000000" w:csb0="000001FF" w:csb1="00000000"/>
    <w:embedRegular r:id="rId1" w:fontKey="{4493D08B-E4DF-2816-28E1-8FFB57FC0FB6}"/>
    <w:embedItalic r:id="rId2" w:fontKey="{5BF7417E-46E5-AB15-FCB5-0812ED418E79}"/>
  </w:font>
  <w:font w:name="Newsreader 16pt SemiBold">
    <w:family w:val="auto"/>
    <w:pitch w:val="variable"/>
    <w:sig w:usb0="E0002AFF" w:usb1="C000247B" w:usb2="00000009" w:usb3="00000000" w:csb0="000001FF" w:csb1="00000000"/>
    <w:embedRegular r:id="rId3" w:fontKey="{BDE68B27-699D-5451-2866-480B875BC294}"/>
  </w:font>
  <w:font w:name="Archivo SemiCondensed SemiBold">
    <w:family w:val="auto"/>
    <w:pitch w:val="variable"/>
    <w:sig w:usb0="E0002AFF" w:usb1="C000247B" w:usb2="00000009" w:usb3="00000000" w:csb0="000001FF" w:csb1="00000000"/>
    <w:embedRegular r:id="rId4" w:fontKey="{41C77535-8262-E98E-10D2-D120FE8A24D1}"/>
  </w:font>
  <w:font w:name="IBM Plex Sans">
    <w:family w:val="auto"/>
    <w:pitch w:val="variable"/>
    <w:sig w:usb0="E0002AFF" w:usb1="C000247B" w:usb2="00000009" w:usb3="00000000" w:csb0="000001FF" w:csb1="00000000"/>
    <w:embedRegular r:id="rId5" w:fontKey="{3765DF97-3F7D-C469-9D48-2C12220AA163}"/>
  </w:font>
  <w:font w:name="IBM Plex Sans Medm">
    <w:family w:val="auto"/>
    <w:pitch w:val="variable"/>
    <w:sig w:usb0="E0002AFF" w:usb1="C000247B" w:usb2="00000009" w:usb3="00000000" w:csb0="000001FF" w:csb1="00000000"/>
    <w:embedRegular r:id="rId6" w:fontKey="{B82E2F6E-2C0C-AFA7-108F-21D5CAF471D8}"/>
  </w:font>
  <w:font w:name="IBM Plex Mono">
    <w:family w:val="auto"/>
    <w:pitch w:val="variable"/>
    <w:sig w:usb0="E0002AFF" w:usb1="C000247B" w:usb2="00000009" w:usb3="00000000" w:csb0="000001FF" w:csb1="00000000"/>
    <w:embedRegular r:id="rId7" w:fontKey="{AB5E690F-BB7A-AC00-4D60-F1093349EAE5}"/>
  </w:font>
  <w:font w:name="IBM Plex Mono Medm">
    <w:family w:val="auto"/>
    <w:pitch w:val="variable"/>
    <w:sig w:usb0="E0002AFF" w:usb1="C000247B" w:usb2="00000009" w:usb3="00000000" w:csb0="000001FF" w:csb1="00000000"/>
    <w:embedRegular r:id="rId8" w:fontKey="{C241DCCA-E37F-ED09-ED59-BB020DF7BE1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Brightwater Research Studio · BRS-LQ-2026-11 · Reducing first-month cancellations for an independent…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Brightwater Research Studio · BRS-LQ-2026-11 · Reducing first-month cancellations for an independent…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/>
      <w:pBdr>
        <w:bottom w:val="single" w:color="D9D4CB" w:sz="4" w:space="4"/>
      </w:pBdr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Brightwater Research Studio · BRS-LQ-2026-11 · Reducing first-month cancellations for an independent…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ewsreader 16pt" w:cs="Newsreader 16pt" w:eastAsia="Newsreader 16pt" w:hAnsi="Newsreader 16pt"/>
        <w:color w:val="1C1B1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b5332d01113bfa9ae96a6432fc03dd9087d11025.svg"/><Relationship Id="rId12" Type="http://schemas.openxmlformats.org/officeDocument/2006/relationships/image" Target="media/6aaf757c2df59dece68bb5cd0bb17e42d4cdb9d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brightwater-research-studio_reducing-first-month-cancellations-for_v1_aed3.docx</dc:title>
  <dc:subject>Revision rev-004 (v1) — sample export, fictional data</dc:subject>
  <dc:creator>Document-quality prototype (sample data)</dc:creator>
  <dc:description>Sample export. Fictional data.</dc:description>
  <cp:lastModifiedBy>Un-named</cp:lastModifiedBy>
  <cp:revision>1</cp:revision>
  <dcterms:created xsi:type="dcterms:W3CDTF">2026-10-14T18:37:50.257Z</dcterms:created>
  <dcterms:modified xsi:type="dcterms:W3CDTF">2026-10-14T18:37:50.257Z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