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800"/>
        <w:gridCol w:w="7066"/>
      </w:tblGrid>
      <w:tr>
        <w:trPr>
          <w:cantSplit/>
        </w:trPr>
        <w:tc>
          <w:tcPr>
            <w:tcW w:type="dxa" w:w="2800"/>
            <w:tcBorders>
              <w:top w:val="none" w:color="auto" w:sz="0"/>
              <w:left w:val="none" w:color="auto" w:sz="0"/>
              <w:bottom w:val="single" w:color="7A4B2A" w:sz="1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widowControl/>
              <w:shd w:fill="FFFFFF" w:color="auto" w:val="clear"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No logo supplied</w:t>
            </w:r>
          </w:p>
        </w:tc>
        <w:tc>
          <w:tcPr>
            <w:tcW w:type="dxa" w:w="7066"/>
            <w:tcBorders>
              <w:top w:val="none" w:color="auto" w:sz="0"/>
              <w:left w:val="none" w:color="auto" w:sz="0"/>
              <w:bottom w:val="single" w:color="7A4B2A" w:sz="1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widowControl/>
              <w:spacing w:after="0" w:before="0" w:line="432" w:lineRule="exact"/>
              <w:jc w:val="left"/>
            </w:pPr>
            <w:r>
              <w:rPr>
                <w:rFonts w:ascii="Archivo SemiCondensed SemiBold" w:cs="Archivo SemiCondensed SemiBold" w:eastAsia="Archivo SemiCondensed SemiBold" w:hAnsi="Archivo SemiCondensed SemiBold"/>
                <w:b w:val="false"/>
                <w:bCs w:val="false"/>
                <w:i w:val="false"/>
                <w:iCs w:val="false"/>
                <w:color w:val="1C1B19"/>
                <w:sz w:val="36"/>
                <w:szCs w:val="36"/>
              </w:rPr>
              <w:t xml:space="preserve">Marrow &amp; Finch Joinery</w:t>
            </w:r>
          </w:p>
        </w:tc>
      </w:tr>
    </w:tbl>
    <w:p>
      <w:pPr>
        <w:keepNext/>
        <w:widowControl/>
        <w:spacing w:after="0" w:before="480" w:line="238" w:lineRule="exact"/>
        <w:jc w:val="left"/>
      </w:pPr>
      <w:r>
        <w:rPr>
          <w:rFonts w:ascii="IBM Plex Sans Medm" w:cs="IBM Plex Sans Medm" w:eastAsia="IBM Plex Sans Medm" w:hAnsi="IBM Plex Sans Medm"/>
          <w:b w:val="false"/>
          <w:bCs w:val="false"/>
          <w:i w:val="false"/>
          <w:iCs w:val="false"/>
          <w:caps/>
          <w:color w:val="8A5A00"/>
          <w:spacing w:val="14"/>
          <w:sz w:val="17"/>
          <w:szCs w:val="17"/>
          <w:shd w:fill="FFF6DB" w:color="auto" w:val="clear"/>
        </w:rPr>
        <w:t xml:space="preserve">Draft — incomplete</w:t>
      </w:r>
    </w:p>
    <w:p>
      <w:pPr>
        <w:pStyle w:val="Heading1"/>
        <w:keepNext/>
        <w:widowControl/>
        <w:spacing w:after="0" w:before="160" w:line="644" w:lineRule="exact"/>
        <w:jc w:val="left"/>
      </w:pPr>
      <w:r>
        <w:rPr>
          <w:rFonts w:ascii="Archivo SemiCondensed SemiBold" w:cs="Archivo SemiCondensed SemiBold" w:eastAsia="Archivo SemiCondensed SemiBold" w:hAnsi="Archivo SemiCondensed SemiBold"/>
          <w:b w:val="false"/>
          <w:bCs w:val="false"/>
          <w:i w:val="false"/>
          <w:iCs w:val="false"/>
          <w:color w:val="1C1B19"/>
          <w:spacing w:val="-6"/>
          <w:sz w:val="56"/>
          <w:szCs w:val="56"/>
        </w:rPr>
        <w:t xml:space="preserve">Invoice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449"/>
        <w:gridCol w:w="3449"/>
        <w:gridCol w:w="2969"/>
      </w:tblGrid>
      <w:tr>
        <w:trPr>
          <w:cantSplit/>
        </w:trPr>
        <w:tc>
          <w:tcPr>
            <w:tcW w:type="dxa" w:w="344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Invoice number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MFJ-0388</w:t>
            </w:r>
          </w:p>
        </w:tc>
        <w:tc>
          <w:tcPr>
            <w:tcW w:type="dxa" w:w="344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Invoice date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pacing w:val="3"/>
                <w:sz w:val="17"/>
                <w:szCs w:val="17"/>
              </w:rPr>
              <w:t xml:space="preserve">2 October 2026</w:t>
            </w:r>
          </w:p>
        </w:tc>
        <w:tc>
          <w:tcPr>
            <w:tcW w:type="dxa" w:w="296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Due date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Due date</w:t>
            </w:r>
          </w:p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73"/>
        <w:gridCol w:w="4693"/>
      </w:tblGrid>
      <w:tr>
        <w:trPr>
          <w:cantSplit/>
        </w:trP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Marrow &amp; Finch Joinery</w:t>
            </w:r>
          </w:p>
        </w:tc>
        <w:tc>
          <w:tcPr>
            <w:tcW w:type="dxa" w:w="46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Bill to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Oakhurst Community Hall</w:t>
            </w:r>
          </w:p>
        </w:tc>
      </w:tr>
      <w:tr>
        <w:trPr>
          <w:cantSplit/>
        </w:trP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 address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Unit 7, Kilnworks Yard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Galway H91 X2Y4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Ireland</w:t>
            </w:r>
          </w:p>
        </w:tc>
        <w:tc>
          <w:tcPr>
            <w:tcW w:type="dxa" w:w="46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Billing address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Billing address</w:t>
            </w:r>
          </w:p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Invoice details</w:t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73"/>
        <w:gridCol w:w="4693"/>
      </w:tblGrid>
      <w:tr>
        <w:trPr>
          <w:cantSplit/>
        </w:trP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Currency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EUR</w:t>
            </w:r>
          </w:p>
        </w:tc>
        <w:tc>
          <w:tcPr>
            <w:tcW w:type="dxa" w:w="46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Amounts in EUR</w:t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250"/>
        <w:gridCol w:w="1266"/>
        <w:gridCol w:w="1083"/>
        <w:gridCol w:w="1266"/>
      </w:tblGrid>
      <w:tr>
        <w:trPr>
          <w:cantSplit/>
          <w:tblHeader/>
        </w:trPr>
        <w:tc>
          <w:tcPr>
            <w:tcW w:type="dxa" w:w="6250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Qty</w:t>
            </w:r>
          </w:p>
        </w:tc>
        <w:tc>
          <w:tcPr>
            <w:tcW w:type="dxa" w:w="1083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Unit price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6250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Oak bench, 1.8 m, oiled finish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2</w:t>
            </w:r>
          </w:p>
        </w:tc>
        <w:tc>
          <w:tcPr>
            <w:tcW w:type="dxa" w:w="108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€640.00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€1,280.00</w:t>
            </w:r>
          </w:p>
        </w:tc>
      </w:tr>
      <w:tr>
        <w:trPr>
          <w:cantSplit/>
        </w:trPr>
        <w:tc>
          <w:tcPr>
            <w:tcW w:type="dxa" w:w="6250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On-site installation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6.5 hours</w:t>
            </w:r>
          </w:p>
        </w:tc>
        <w:tc>
          <w:tcPr>
            <w:tcW w:type="dxa" w:w="108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€48.00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€312.00</w:t>
            </w:r>
          </w:p>
        </w:tc>
      </w:tr>
      <w:tr>
        <w:trPr>
          <w:cantSplit/>
        </w:trPr>
        <w:tc>
          <w:tcPr>
            <w:tcW w:type="dxa" w:w="6250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Hard-wax oil top-up kit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</w:t>
            </w:r>
          </w:p>
        </w:tc>
        <w:tc>
          <w:tcPr>
            <w:tcW w:type="dxa" w:w="108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€85.50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€85.50</w:t>
            </w:r>
          </w:p>
        </w:tc>
      </w:tr>
    </w:tbl>
    <w:p>
      <w:pPr>
        <w:keepNext/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5426"/>
        <w:tblInd w:type="dxa" w:w="444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61"/>
        <w:gridCol w:w="4465"/>
      </w:tblGrid>
      <w:tr>
        <w:trPr>
          <w:cantSplit/>
        </w:trPr>
        <w:tc>
          <w:tcPr>
            <w:tcW w:type="dxa" w:w="96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Subtotal</w:t>
            </w:r>
          </w:p>
        </w:tc>
        <w:tc>
          <w:tcPr>
            <w:tcW w:type="dxa" w:w="446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€1,677.50</w:t>
            </w:r>
          </w:p>
        </w:tc>
      </w:tr>
      <w:tr>
        <w:trPr>
          <w:cantSplit/>
        </w:trPr>
        <w:tc>
          <w:tcPr>
            <w:tcW w:type="dxa" w:w="96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Tax</w:t>
            </w:r>
          </w:p>
        </w:tc>
        <w:tc>
          <w:tcPr>
            <w:tcW w:type="dxa" w:w="446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38" w:lineRule="exact"/>
              <w:jc w:val="righ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Tax</w:t>
            </w:r>
          </w:p>
        </w:tc>
      </w:tr>
      <w:tr>
        <w:trPr>
          <w:cantSplit/>
        </w:trPr>
        <w:tc>
          <w:tcPr>
            <w:tcW w:type="dxa" w:w="961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Total</w:t>
            </w:r>
          </w:p>
        </w:tc>
        <w:tc>
          <w:tcPr>
            <w:tcW w:type="dxa" w:w="4465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9B2C1F"/>
                <w:sz w:val="19"/>
                <w:szCs w:val="19"/>
              </w:rPr>
              <w:t xml:space="preserve">Incomplete — not a final amount</w:t>
            </w:r>
          </w:p>
          <w:p>
            <w:pPr>
              <w:keepNext/>
              <w:widowControl/>
              <w:spacing w:after="0" w:before="40" w:line="238" w:lineRule="exact"/>
              <w:jc w:val="righ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Tax applicability not supplied — tax is unknown, not zero.</w:t>
            </w:r>
          </w:p>
        </w:tc>
      </w:tr>
    </w:tbl>
    <w:p>
      <w:pPr>
        <w:keepNext/>
        <w:spacing w:after="0" w:before="0" w:line="48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Payment</w:t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Payment terms</w:t>
            </w:r>
          </w:p>
          <w:p>
            <w:pPr>
              <w:keepNext/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Payment within 14 days of the due date.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020" w:right="1020" w:bottom="1724" w:left="1020" w:header="480" w:footer="102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sreader 16pt">
    <w:family w:val="auto"/>
    <w:pitch w:val="variable"/>
    <w:sig w:usb0="E0002AFF" w:usb1="C000247B" w:usb2="00000009" w:usb3="00000000" w:csb0="000001FF" w:csb1="00000000"/>
    <w:embedRegular r:id="rId1" w:fontKey="{43DF3139-8C71-EB5A-9584-27AD3980A6A6}"/>
    <w:embedItalic r:id="rId2" w:fontKey="{ABD3CCC5-4F21-38CD-4C80-998BF97E03F3}"/>
  </w:font>
  <w:font w:name="Newsreader 16pt SemiBold">
    <w:family w:val="auto"/>
    <w:pitch w:val="variable"/>
    <w:sig w:usb0="E0002AFF" w:usb1="C000247B" w:usb2="00000009" w:usb3="00000000" w:csb0="000001FF" w:csb1="00000000"/>
    <w:embedRegular r:id="rId3" w:fontKey="{FC30ED8F-3E4C-281F-A991-62AF7020BD24}"/>
  </w:font>
  <w:font w:name="Archivo SemiCondensed SemiBold">
    <w:family w:val="auto"/>
    <w:pitch w:val="variable"/>
    <w:sig w:usb0="E0002AFF" w:usb1="C000247B" w:usb2="00000009" w:usb3="00000000" w:csb0="000001FF" w:csb1="00000000"/>
    <w:embedRegular r:id="rId4" w:fontKey="{6A25FBC0-8CCC-A38E-B4F9-A3136AF9A41F}"/>
  </w:font>
  <w:font w:name="IBM Plex Sans">
    <w:family w:val="auto"/>
    <w:pitch w:val="variable"/>
    <w:sig w:usb0="E0002AFF" w:usb1="C000247B" w:usb2="00000009" w:usb3="00000000" w:csb0="000001FF" w:csb1="00000000"/>
    <w:embedRegular r:id="rId5" w:fontKey="{746B8732-0014-C007-AF12-8FA2A1E5BECA}"/>
  </w:font>
  <w:font w:name="IBM Plex Sans Medm">
    <w:family w:val="auto"/>
    <w:pitch w:val="variable"/>
    <w:sig w:usb0="E0002AFF" w:usb1="C000247B" w:usb2="00000009" w:usb3="00000000" w:csb0="000001FF" w:csb1="00000000"/>
    <w:embedRegular r:id="rId6" w:fontKey="{E5E8010D-ED9B-B133-CA84-1ADBA4B57A9D}"/>
  </w:font>
  <w:font w:name="IBM Plex Mono">
    <w:family w:val="auto"/>
    <w:pitch w:val="variable"/>
    <w:sig w:usb0="E0002AFF" w:usb1="C000247B" w:usb2="00000009" w:usb3="00000000" w:csb0="000001FF" w:csb1="00000000"/>
    <w:embedRegular r:id="rId7" w:fontKey="{87EAF833-35B5-8C7C-D2D2-8421FB3F6FD4}"/>
  </w:font>
  <w:font w:name="IBM Plex Mono Medm">
    <w:family w:val="auto"/>
    <w:pitch w:val="variable"/>
    <w:sig w:usb0="E0002AFF" w:usb1="C000247B" w:usb2="00000009" w:usb3="00000000" w:csb0="000001FF" w:csb1="00000000"/>
    <w:embedRegular r:id="rId8" w:fontKey="{8B44D39F-6702-520F-44C2-D0793A5D8CF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9866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Marrow &amp; Finch Joinery · MFJ-0388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9866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Marrow &amp; Finch Joinery · MFJ-0388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widowControl/>
      <w:pBdr>
        <w:bottom w:val="single" w:color="D9D4CB" w:sz="4" w:space="4"/>
      </w:pBdr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Marrow &amp; Finch Joinery · MFJ-0388 · Draft — incomplete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ewsreader 16pt" w:cs="Newsreader 16pt" w:eastAsia="Newsreader 16pt" w:hAnsi="Newsreader 16pt"/>
        <w:color w:val="1C1B19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marrow-finch-joinery_MFJ-0388_v1_b6b2.docx</dc:title>
  <dc:subject>Revision rev-003 (v1) — sample export, fictional data</dc:subject>
  <dc:creator>Document-quality prototype (sample data)</dc:creator>
  <dc:description>Sample export. Fictional data.</dc:description>
  <cp:lastModifiedBy>Un-named</cp:lastModifiedBy>
  <cp:revision>1</cp:revision>
  <dcterms:created xsi:type="dcterms:W3CDTF">2026-10-14T18:37:50.077Z</dcterms:created>
  <dcterms:modified xsi:type="dcterms:W3CDTF">2026-10-14T18:37:50.077Z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